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22" w:rsidRDefault="00593F22" w:rsidP="00593F22">
      <w:pPr>
        <w:jc w:val="center"/>
        <w:rPr>
          <w:rFonts w:ascii="Times New Roman" w:hAnsi="Times New Roman"/>
          <w:b/>
          <w:sz w:val="24"/>
          <w:szCs w:val="24"/>
        </w:rPr>
      </w:pPr>
      <w:r w:rsidRPr="00593F22">
        <w:rPr>
          <w:rFonts w:ascii="Times New Roman" w:hAnsi="Times New Roman"/>
          <w:b/>
          <w:sz w:val="24"/>
          <w:szCs w:val="24"/>
        </w:rPr>
        <w:t xml:space="preserve">New gTLD Draft Guidebook v.2 Comments </w:t>
      </w:r>
      <w:r>
        <w:rPr>
          <w:rFonts w:ascii="Times New Roman" w:hAnsi="Times New Roman"/>
          <w:b/>
          <w:sz w:val="24"/>
          <w:szCs w:val="24"/>
        </w:rPr>
        <w:t>on Registry-Registrar Separation</w:t>
      </w:r>
    </w:p>
    <w:p w:rsidR="00593F22" w:rsidRPr="00593F22" w:rsidRDefault="00593F22" w:rsidP="00593F22">
      <w:pPr>
        <w:jc w:val="center"/>
        <w:rPr>
          <w:rFonts w:ascii="Times New Roman" w:hAnsi="Times New Roman"/>
          <w:b/>
          <w:sz w:val="24"/>
          <w:szCs w:val="24"/>
        </w:rPr>
      </w:pPr>
      <w:r>
        <w:rPr>
          <w:rFonts w:ascii="Times New Roman" w:hAnsi="Times New Roman"/>
          <w:b/>
          <w:sz w:val="24"/>
          <w:szCs w:val="24"/>
        </w:rPr>
        <w:t xml:space="preserve"> and Section 2.8 of the </w:t>
      </w:r>
      <w:r w:rsidR="004A03F2">
        <w:rPr>
          <w:rFonts w:ascii="Times New Roman" w:hAnsi="Times New Roman"/>
          <w:b/>
          <w:sz w:val="24"/>
          <w:szCs w:val="24"/>
        </w:rPr>
        <w:t>New gTLD Agreement v. 2</w:t>
      </w:r>
    </w:p>
    <w:p w:rsidR="00593F22" w:rsidRPr="00593F22" w:rsidRDefault="00593F22" w:rsidP="00593F22">
      <w:pPr>
        <w:jc w:val="center"/>
        <w:rPr>
          <w:rFonts w:ascii="Times New Roman" w:hAnsi="Times New Roman"/>
          <w:b/>
          <w:sz w:val="24"/>
          <w:szCs w:val="24"/>
        </w:rPr>
      </w:pPr>
    </w:p>
    <w:p w:rsidR="00593F22" w:rsidRPr="00593F22" w:rsidRDefault="004A03F2" w:rsidP="00593F22">
      <w:pPr>
        <w:jc w:val="center"/>
        <w:rPr>
          <w:rFonts w:ascii="Times New Roman" w:hAnsi="Times New Roman"/>
          <w:sz w:val="24"/>
          <w:szCs w:val="24"/>
        </w:rPr>
      </w:pPr>
      <w:r>
        <w:rPr>
          <w:rFonts w:ascii="Times New Roman" w:hAnsi="Times New Roman"/>
          <w:sz w:val="24"/>
          <w:szCs w:val="24"/>
        </w:rPr>
        <w:t>13</w:t>
      </w:r>
      <w:r w:rsidR="00593F22" w:rsidRPr="00593F22">
        <w:rPr>
          <w:rFonts w:ascii="Times New Roman" w:hAnsi="Times New Roman"/>
          <w:sz w:val="24"/>
          <w:szCs w:val="24"/>
        </w:rPr>
        <w:t xml:space="preserve"> April 2009</w:t>
      </w:r>
    </w:p>
    <w:p w:rsidR="00593F22" w:rsidRPr="00593F22" w:rsidRDefault="00593F22" w:rsidP="00593F22">
      <w:pPr>
        <w:rPr>
          <w:rFonts w:ascii="Times New Roman" w:hAnsi="Times New Roman"/>
          <w:sz w:val="24"/>
          <w:szCs w:val="24"/>
        </w:rPr>
      </w:pPr>
    </w:p>
    <w:p w:rsidR="00D36073" w:rsidRDefault="00593F22" w:rsidP="00D36073">
      <w:pPr>
        <w:rPr>
          <w:rFonts w:ascii="Times New Roman" w:hAnsi="Times New Roman"/>
          <w:sz w:val="24"/>
          <w:szCs w:val="24"/>
        </w:rPr>
      </w:pPr>
      <w:r w:rsidRPr="00593F22">
        <w:rPr>
          <w:rFonts w:ascii="Times New Roman" w:hAnsi="Times New Roman"/>
          <w:sz w:val="24"/>
          <w:szCs w:val="24"/>
        </w:rPr>
        <w:t>The comments below are submitte</w:t>
      </w:r>
      <w:r w:rsidR="009E70A1">
        <w:rPr>
          <w:rFonts w:ascii="Times New Roman" w:hAnsi="Times New Roman"/>
          <w:sz w:val="24"/>
          <w:szCs w:val="24"/>
        </w:rPr>
        <w:t>d on behalf of the gTLD Registries</w:t>
      </w:r>
      <w:r w:rsidRPr="00593F22">
        <w:rPr>
          <w:rFonts w:ascii="Times New Roman" w:hAnsi="Times New Roman"/>
          <w:sz w:val="24"/>
          <w:szCs w:val="24"/>
        </w:rPr>
        <w:t xml:space="preserve"> Constituency</w:t>
      </w:r>
      <w:r w:rsidR="004A03F2">
        <w:rPr>
          <w:rFonts w:ascii="Times New Roman" w:hAnsi="Times New Roman"/>
          <w:sz w:val="24"/>
          <w:szCs w:val="24"/>
        </w:rPr>
        <w:t xml:space="preserve"> regarding</w:t>
      </w:r>
      <w:r w:rsidRPr="00593F22">
        <w:rPr>
          <w:rFonts w:ascii="Times New Roman" w:hAnsi="Times New Roman"/>
          <w:sz w:val="24"/>
          <w:szCs w:val="24"/>
        </w:rPr>
        <w:t xml:space="preserve"> </w:t>
      </w:r>
      <w:r w:rsidR="004A03F2">
        <w:rPr>
          <w:rFonts w:ascii="Times New Roman" w:hAnsi="Times New Roman"/>
          <w:sz w:val="24"/>
          <w:szCs w:val="24"/>
        </w:rPr>
        <w:t xml:space="preserve">Registry-Registrar Separation as well as Section 2.8 of the </w:t>
      </w:r>
      <w:r w:rsidRPr="00593F22">
        <w:rPr>
          <w:rFonts w:ascii="Times New Roman" w:hAnsi="Times New Roman"/>
          <w:sz w:val="24"/>
          <w:szCs w:val="24"/>
        </w:rPr>
        <w:t xml:space="preserve">New gTLD </w:t>
      </w:r>
      <w:r w:rsidR="00D17A86">
        <w:rPr>
          <w:rFonts w:ascii="Times New Roman" w:hAnsi="Times New Roman"/>
          <w:sz w:val="24"/>
          <w:szCs w:val="24"/>
        </w:rPr>
        <w:t xml:space="preserve">Agreement contained within the </w:t>
      </w:r>
      <w:r w:rsidRPr="00593F22">
        <w:rPr>
          <w:rFonts w:ascii="Times New Roman" w:hAnsi="Times New Roman"/>
          <w:sz w:val="24"/>
          <w:szCs w:val="24"/>
        </w:rPr>
        <w:t xml:space="preserve">Draft Applicant Guidebook Version 2 dated 18 February 2009.  They begin with some general comments followed by </w:t>
      </w:r>
      <w:r w:rsidR="004A03F2">
        <w:rPr>
          <w:rFonts w:ascii="Times New Roman" w:hAnsi="Times New Roman"/>
          <w:sz w:val="24"/>
          <w:szCs w:val="24"/>
        </w:rPr>
        <w:t>definitions and a new Section 2.8</w:t>
      </w:r>
      <w:r w:rsidRPr="00593F22">
        <w:rPr>
          <w:rFonts w:ascii="Times New Roman" w:hAnsi="Times New Roman"/>
          <w:sz w:val="24"/>
          <w:szCs w:val="24"/>
        </w:rPr>
        <w:t xml:space="preserve">.  </w:t>
      </w:r>
      <w:r w:rsidR="00D36073">
        <w:rPr>
          <w:rFonts w:ascii="Times New Roman" w:hAnsi="Times New Roman"/>
          <w:sz w:val="24"/>
          <w:szCs w:val="24"/>
        </w:rPr>
        <w:t>A minority position is stated at the end.</w:t>
      </w:r>
      <w:r w:rsidR="00D36073" w:rsidRPr="00593F22">
        <w:rPr>
          <w:rFonts w:ascii="Times New Roman" w:hAnsi="Times New Roman"/>
          <w:sz w:val="24"/>
          <w:szCs w:val="24"/>
        </w:rPr>
        <w:t xml:space="preserve">  </w:t>
      </w:r>
    </w:p>
    <w:p w:rsidR="004A03F2" w:rsidRDefault="004A03F2" w:rsidP="00593F22">
      <w:pPr>
        <w:rPr>
          <w:rFonts w:ascii="Times New Roman" w:hAnsi="Times New Roman"/>
          <w:sz w:val="24"/>
          <w:szCs w:val="24"/>
        </w:rPr>
      </w:pPr>
    </w:p>
    <w:p w:rsidR="004A03F2" w:rsidRDefault="004A03F2" w:rsidP="00593F22">
      <w:pPr>
        <w:rPr>
          <w:rFonts w:ascii="Times New Roman" w:hAnsi="Times New Roman"/>
          <w:sz w:val="24"/>
          <w:szCs w:val="24"/>
        </w:rPr>
      </w:pPr>
    </w:p>
    <w:p w:rsidR="004A03F2" w:rsidRPr="004A03F2" w:rsidRDefault="004A03F2" w:rsidP="004A03F2">
      <w:pPr>
        <w:pStyle w:val="ListParagraph"/>
        <w:numPr>
          <w:ilvl w:val="0"/>
          <w:numId w:val="14"/>
        </w:numPr>
        <w:rPr>
          <w:rFonts w:ascii="Times New Roman" w:hAnsi="Times New Roman"/>
          <w:b/>
          <w:sz w:val="24"/>
          <w:szCs w:val="24"/>
        </w:rPr>
      </w:pPr>
      <w:r>
        <w:rPr>
          <w:rFonts w:ascii="Times New Roman" w:hAnsi="Times New Roman"/>
          <w:b/>
          <w:sz w:val="24"/>
          <w:szCs w:val="24"/>
          <w:u w:val="single"/>
        </w:rPr>
        <w:t>INITIAL COMMENTS</w:t>
      </w:r>
    </w:p>
    <w:p w:rsidR="00227991" w:rsidRPr="00593F22" w:rsidRDefault="00227991" w:rsidP="00227991">
      <w:pPr>
        <w:rPr>
          <w:rFonts w:ascii="Times New Roman" w:hAnsi="Times New Roman"/>
          <w:sz w:val="24"/>
          <w:szCs w:val="24"/>
          <w:u w:val="single"/>
        </w:rPr>
      </w:pPr>
    </w:p>
    <w:p w:rsidR="006E1531" w:rsidRPr="00E018EA" w:rsidRDefault="006E1531" w:rsidP="006E1531">
      <w:pPr>
        <w:pStyle w:val="Default"/>
        <w:spacing w:before="240" w:after="120"/>
        <w:ind w:firstLine="720"/>
        <w:rPr>
          <w:rFonts w:ascii="Times New Roman" w:hAnsi="Times New Roman" w:cs="Times New Roman"/>
        </w:rPr>
      </w:pPr>
      <w:r w:rsidRPr="00593F22">
        <w:rPr>
          <w:rFonts w:ascii="Times New Roman" w:hAnsi="Times New Roman" w:cs="Times New Roman"/>
        </w:rPr>
        <w:t>Drawing on its review of the economic principles and the history of the gTLDs, the authors of the CRAI Report</w:t>
      </w:r>
      <w:r w:rsidRPr="00593F22">
        <w:rPr>
          <w:rStyle w:val="FootnoteReference"/>
          <w:rFonts w:ascii="Times New Roman" w:hAnsi="Times New Roman" w:cs="Times New Roman"/>
        </w:rPr>
        <w:footnoteReference w:id="2"/>
      </w:r>
      <w:r w:rsidRPr="00593F22">
        <w:rPr>
          <w:rFonts w:ascii="Times New Roman" w:hAnsi="Times New Roman" w:cs="Times New Roman"/>
        </w:rPr>
        <w:t>encouraged ICANN to re-examine the economic case for the separation requirement, and in particular to consider whether it might be possible to relax the requirement, initially only in limited cases. Recognizing that it would be “difficult to pull back once regulations have been pulled back,” CRAI</w:t>
      </w:r>
      <w:r>
        <w:rPr>
          <w:rFonts w:ascii="Times New Roman" w:hAnsi="Times New Roman" w:cs="Times New Roman"/>
        </w:rPr>
        <w:t xml:space="preserve"> </w:t>
      </w:r>
      <w:r w:rsidRPr="00E018EA">
        <w:rPr>
          <w:rFonts w:ascii="Times New Roman" w:hAnsi="Times New Roman" w:cs="Times New Roman"/>
        </w:rPr>
        <w:t>encourage</w:t>
      </w:r>
      <w:r>
        <w:rPr>
          <w:rFonts w:ascii="Times New Roman" w:hAnsi="Times New Roman" w:cs="Times New Roman"/>
        </w:rPr>
        <w:t>d</w:t>
      </w:r>
      <w:r w:rsidRPr="00E018EA">
        <w:rPr>
          <w:rFonts w:ascii="Times New Roman" w:hAnsi="Times New Roman" w:cs="Times New Roman"/>
        </w:rPr>
        <w:t xml:space="preserve"> ICANN to move slowly, but deliberately and in consultation with the industry, towards permitting integration of registry and registrar services under many, but not all, circumstances. </w:t>
      </w:r>
    </w:p>
    <w:p w:rsidR="006E1531" w:rsidRDefault="006E1531" w:rsidP="006E1531">
      <w:pPr>
        <w:pStyle w:val="Default"/>
        <w:spacing w:before="240" w:after="120"/>
        <w:ind w:firstLine="720"/>
        <w:rPr>
          <w:rFonts w:ascii="Times New Roman" w:hAnsi="Times New Roman"/>
        </w:rPr>
      </w:pPr>
      <w:r>
        <w:rPr>
          <w:rFonts w:ascii="Times New Roman" w:hAnsi="Times New Roman"/>
        </w:rPr>
        <w:t>In order to assist ICANN in determining how to slowly and deliberately introduce vertical integration, the CRAI Report recommended two possible test cases:  The Hybrid TLD and the Single Registrant TLD.  However, it cautioned that “</w:t>
      </w:r>
      <w:r w:rsidRPr="0018221C">
        <w:rPr>
          <w:rFonts w:ascii="Times New Roman" w:hAnsi="Times New Roman" w:cs="Times New Roman"/>
        </w:rPr>
        <w:t>ICANN may want to consider taking steps towards relaxing one or both of these requirements under certain, limited, conditions.</w:t>
      </w:r>
      <w:r>
        <w:rPr>
          <w:rFonts w:ascii="Times New Roman" w:hAnsi="Times New Roman"/>
        </w:rPr>
        <w:t>”  Further it argued that:</w:t>
      </w:r>
    </w:p>
    <w:p w:rsidR="006E1531" w:rsidRPr="00BC69CD" w:rsidRDefault="006E1531" w:rsidP="006E1531">
      <w:pPr>
        <w:pStyle w:val="Default"/>
        <w:spacing w:before="240" w:after="120"/>
        <w:ind w:left="1080" w:right="720"/>
        <w:rPr>
          <w:rFonts w:ascii="Times New Roman" w:hAnsi="Times New Roman" w:cs="Times New Roman"/>
          <w:i/>
        </w:rPr>
      </w:pPr>
      <w:r w:rsidRPr="00BC69CD">
        <w:rPr>
          <w:rFonts w:ascii="Times New Roman" w:hAnsi="Times New Roman" w:cs="Times New Roman"/>
          <w:i/>
        </w:rPr>
        <w:t xml:space="preserve">If ICANN should decide to go ahead with these test cases, it should be ready actively to monitor the performance of these new TLDs. If, after a reasonable period of time, ICANN is satisfied that competition is not being harmed – or, better, if it concludes that competition has been enhanced by their introductions, it may then want to consider relaxing one or both of the vertical separation and equal access requirements for a somewhat broader pool of TLDs. </w:t>
      </w:r>
    </w:p>
    <w:p w:rsidR="006E1531" w:rsidRDefault="006E1531" w:rsidP="006E1531">
      <w:pPr>
        <w:pStyle w:val="Default"/>
        <w:spacing w:before="240" w:after="120"/>
        <w:ind w:firstLine="720"/>
        <w:rPr>
          <w:rFonts w:ascii="Times New Roman" w:hAnsi="Times New Roman" w:cs="Times New Roman"/>
        </w:rPr>
      </w:pPr>
      <w:r>
        <w:rPr>
          <w:rFonts w:ascii="Times New Roman" w:hAnsi="Times New Roman" w:cs="Times New Roman"/>
        </w:rPr>
        <w:t xml:space="preserve">Despite the plea by the CRAI Report to move slowly and deliberately only with the two test cases identified in the report, the ICANN staff, swayed by a few registrars seeking to enter the gTLD Registry market, ignored the authors of the CRAI Report and recommended an approach to the registry/registrar issue that is not only inconsistent with the CRAI Report, but is rife with so many loopholes that the solution is certain to be gamed by new registry operators, registrars, resellers and their technical back-end providers.   </w:t>
      </w:r>
    </w:p>
    <w:p w:rsidR="006E1531" w:rsidRDefault="006E1531" w:rsidP="006E1531">
      <w:pPr>
        <w:pStyle w:val="Default"/>
        <w:spacing w:before="240" w:after="120"/>
        <w:ind w:firstLine="720"/>
        <w:rPr>
          <w:rFonts w:ascii="Times New Roman" w:hAnsi="Times New Roman" w:cs="Times New Roman"/>
        </w:rPr>
      </w:pPr>
      <w:r>
        <w:rPr>
          <w:rFonts w:ascii="Times New Roman" w:hAnsi="Times New Roman" w:cs="Times New Roman"/>
        </w:rPr>
        <w:lastRenderedPageBreak/>
        <w:t xml:space="preserve">The gTLD Registries Constituency, however, submits that its proposal below is not only consistent with the limited exceptions set forth in the CRAI Report, but also believes that it has significantly reduced the potential loopholes existing in the current gTLD Agreements as well as the proposed language contained in Section 2.8 of the new gTLD Agreement contained within the Second Version of the Draft Applicant Guidebook.   </w:t>
      </w:r>
    </w:p>
    <w:p w:rsidR="006E1531" w:rsidRDefault="006E1531" w:rsidP="00227991">
      <w:pPr>
        <w:rPr>
          <w:rFonts w:ascii="Times New Roman" w:hAnsi="Times New Roman"/>
          <w:sz w:val="24"/>
          <w:szCs w:val="24"/>
          <w:u w:val="single"/>
        </w:rPr>
      </w:pPr>
    </w:p>
    <w:p w:rsidR="004A03F2" w:rsidRDefault="004A03F2" w:rsidP="004A03F2">
      <w:pPr>
        <w:pStyle w:val="ListParagraph"/>
        <w:numPr>
          <w:ilvl w:val="0"/>
          <w:numId w:val="14"/>
        </w:numPr>
        <w:tabs>
          <w:tab w:val="left" w:pos="720"/>
        </w:tabs>
        <w:ind w:left="720"/>
        <w:rPr>
          <w:rFonts w:ascii="Times New Roman" w:hAnsi="Times New Roman"/>
          <w:b/>
          <w:sz w:val="24"/>
          <w:szCs w:val="24"/>
        </w:rPr>
      </w:pPr>
      <w:r>
        <w:rPr>
          <w:rFonts w:ascii="Times New Roman" w:hAnsi="Times New Roman"/>
          <w:b/>
          <w:sz w:val="24"/>
          <w:szCs w:val="24"/>
        </w:rPr>
        <w:t>SPECIFIC CONTRACTUAL PROVISIONS</w:t>
      </w:r>
    </w:p>
    <w:p w:rsidR="004A03F2" w:rsidRPr="004A03F2" w:rsidRDefault="004A03F2" w:rsidP="004A03F2">
      <w:pPr>
        <w:pStyle w:val="ListParagraph"/>
        <w:ind w:left="1080"/>
        <w:rPr>
          <w:rFonts w:ascii="Times New Roman" w:hAnsi="Times New Roman"/>
          <w:b/>
          <w:sz w:val="24"/>
          <w:szCs w:val="24"/>
        </w:rPr>
      </w:pPr>
    </w:p>
    <w:p w:rsidR="00227991" w:rsidRPr="004A03F2" w:rsidRDefault="00227991" w:rsidP="004A03F2">
      <w:pPr>
        <w:pStyle w:val="ListParagraph"/>
        <w:numPr>
          <w:ilvl w:val="0"/>
          <w:numId w:val="15"/>
        </w:numPr>
        <w:ind w:left="1440" w:hanging="720"/>
        <w:rPr>
          <w:rFonts w:ascii="Times New Roman" w:hAnsi="Times New Roman"/>
          <w:sz w:val="24"/>
          <w:szCs w:val="24"/>
          <w:u w:val="single"/>
        </w:rPr>
      </w:pPr>
      <w:r w:rsidRPr="004A03F2">
        <w:rPr>
          <w:rFonts w:ascii="Times New Roman" w:hAnsi="Times New Roman"/>
          <w:sz w:val="24"/>
          <w:szCs w:val="24"/>
          <w:u w:val="single"/>
        </w:rPr>
        <w:t>Definitions</w:t>
      </w:r>
    </w:p>
    <w:p w:rsidR="00227991" w:rsidRPr="00227991" w:rsidRDefault="00227991" w:rsidP="00227991">
      <w:pPr>
        <w:rPr>
          <w:rFonts w:ascii="Times New Roman" w:hAnsi="Times New Roman"/>
          <w:sz w:val="24"/>
          <w:szCs w:val="24"/>
          <w:u w:val="single"/>
        </w:rPr>
      </w:pPr>
    </w:p>
    <w:p w:rsidR="00227991" w:rsidRPr="00227991" w:rsidRDefault="00227991" w:rsidP="00227991">
      <w:pPr>
        <w:rPr>
          <w:rFonts w:ascii="Times New Roman" w:hAnsi="Times New Roman"/>
          <w:sz w:val="24"/>
          <w:szCs w:val="24"/>
        </w:rPr>
      </w:pPr>
      <w:r w:rsidRPr="00227991">
        <w:rPr>
          <w:rFonts w:ascii="Times New Roman" w:hAnsi="Times New Roman"/>
          <w:sz w:val="24"/>
          <w:szCs w:val="24"/>
        </w:rPr>
        <w:t>“</w:t>
      </w:r>
      <w:r w:rsidRPr="004A03F2">
        <w:rPr>
          <w:rFonts w:ascii="Times New Roman" w:hAnsi="Times New Roman"/>
          <w:i/>
          <w:sz w:val="24"/>
          <w:szCs w:val="24"/>
        </w:rPr>
        <w:t>Affiliate</w:t>
      </w:r>
      <w:r w:rsidRPr="00227991">
        <w:rPr>
          <w:rFonts w:ascii="Times New Roman" w:hAnsi="Times New Roman"/>
          <w:sz w:val="24"/>
          <w:szCs w:val="24"/>
        </w:rPr>
        <w:t xml:space="preserve">” shall mean a specified person or entity that directly, or indirectly through one or more intermediaries, controls or is controlled by, or is under common control with, the person or entity specified. </w:t>
      </w:r>
    </w:p>
    <w:p w:rsidR="00227991" w:rsidRPr="00227991" w:rsidRDefault="00227991" w:rsidP="00227991">
      <w:pPr>
        <w:rPr>
          <w:rFonts w:ascii="Times New Roman" w:hAnsi="Times New Roman"/>
          <w:sz w:val="24"/>
          <w:szCs w:val="24"/>
        </w:rPr>
      </w:pPr>
    </w:p>
    <w:p w:rsidR="00227991" w:rsidRPr="00227991" w:rsidRDefault="00227991" w:rsidP="00227991">
      <w:pPr>
        <w:rPr>
          <w:rFonts w:ascii="Times New Roman" w:hAnsi="Times New Roman"/>
          <w:sz w:val="24"/>
          <w:szCs w:val="24"/>
        </w:rPr>
      </w:pPr>
      <w:r w:rsidRPr="00227991">
        <w:rPr>
          <w:rFonts w:ascii="Times New Roman" w:hAnsi="Times New Roman"/>
          <w:sz w:val="24"/>
          <w:szCs w:val="24"/>
        </w:rPr>
        <w:t>“</w:t>
      </w:r>
      <w:r w:rsidRPr="004A03F2">
        <w:rPr>
          <w:rFonts w:ascii="Times New Roman" w:hAnsi="Times New Roman"/>
          <w:i/>
          <w:sz w:val="24"/>
          <w:szCs w:val="24"/>
        </w:rPr>
        <w:t>control</w:t>
      </w:r>
      <w:r w:rsidRPr="00227991">
        <w:rPr>
          <w:rFonts w:ascii="Times New Roman" w:hAnsi="Times New Roman"/>
          <w:sz w:val="24"/>
          <w:szCs w:val="24"/>
        </w:rPr>
        <w:t>”</w:t>
      </w:r>
      <w:r w:rsidRPr="00227991">
        <w:rPr>
          <w:rFonts w:ascii="Times New Roman" w:hAnsi="Times New Roman"/>
          <w:b/>
          <w:bCs/>
          <w:sz w:val="24"/>
          <w:szCs w:val="24"/>
        </w:rPr>
        <w:t xml:space="preserve"> </w:t>
      </w:r>
      <w:r w:rsidRPr="00227991">
        <w:rPr>
          <w:rFonts w:ascii="Times New Roman" w:hAnsi="Times New Roman"/>
          <w:sz w:val="24"/>
          <w:szCs w:val="24"/>
        </w:rPr>
        <w:t>(including the terms “controlling”, “controlled by” and “under common control with”) shall mean the possession, direct or indirect, of the power to direct or cause the direction of the management and policies of a person or entity, whether through the ownership of voting or debt securities, by contract, or otherwise.</w:t>
      </w:r>
    </w:p>
    <w:p w:rsidR="00227991" w:rsidRPr="00227991" w:rsidRDefault="00227991" w:rsidP="00227991">
      <w:pPr>
        <w:rPr>
          <w:rFonts w:ascii="Times New Roman" w:hAnsi="Times New Roman"/>
          <w:sz w:val="24"/>
          <w:szCs w:val="24"/>
        </w:rPr>
      </w:pPr>
    </w:p>
    <w:p w:rsidR="00227991" w:rsidRPr="000C0F13" w:rsidRDefault="00227991" w:rsidP="00227991">
      <w:pPr>
        <w:rPr>
          <w:rFonts w:ascii="Times New Roman" w:hAnsi="Times New Roman"/>
          <w:sz w:val="24"/>
          <w:szCs w:val="24"/>
        </w:rPr>
      </w:pPr>
      <w:r w:rsidRPr="00227991">
        <w:rPr>
          <w:rFonts w:ascii="Times New Roman" w:hAnsi="Times New Roman"/>
          <w:sz w:val="24"/>
          <w:szCs w:val="24"/>
        </w:rPr>
        <w:t>“</w:t>
      </w:r>
      <w:r w:rsidRPr="004A03F2">
        <w:rPr>
          <w:rFonts w:ascii="Times New Roman" w:hAnsi="Times New Roman"/>
          <w:i/>
          <w:sz w:val="24"/>
          <w:szCs w:val="24"/>
        </w:rPr>
        <w:t>Community-based TLD”</w:t>
      </w:r>
      <w:r w:rsidRPr="00227991">
        <w:rPr>
          <w:rFonts w:ascii="Times New Roman" w:hAnsi="Times New Roman"/>
          <w:sz w:val="24"/>
          <w:szCs w:val="24"/>
        </w:rPr>
        <w:t xml:space="preserve"> shall mean a gTLD that</w:t>
      </w:r>
      <w:r w:rsidR="00486ED6">
        <w:rPr>
          <w:rFonts w:ascii="Times New Roman" w:hAnsi="Times New Roman"/>
          <w:sz w:val="24"/>
          <w:szCs w:val="24"/>
        </w:rPr>
        <w:t xml:space="preserve"> (a)</w:t>
      </w:r>
      <w:r w:rsidRPr="00227991">
        <w:rPr>
          <w:rFonts w:ascii="Times New Roman" w:hAnsi="Times New Roman"/>
          <w:sz w:val="24"/>
          <w:szCs w:val="24"/>
        </w:rPr>
        <w:t xml:space="preserve"> is operated for the benefit of a defined existing community consisting of a restricted population which self-identify as members of the community</w:t>
      </w:r>
      <w:r w:rsidR="00486ED6">
        <w:rPr>
          <w:rFonts w:ascii="Times New Roman" w:hAnsi="Times New Roman"/>
          <w:sz w:val="24"/>
          <w:szCs w:val="24"/>
        </w:rPr>
        <w:t xml:space="preserve"> </w:t>
      </w:r>
      <w:r w:rsidR="00486ED6" w:rsidRPr="00075F94">
        <w:rPr>
          <w:rFonts w:ascii="Times New Roman" w:hAnsi="Times New Roman"/>
          <w:sz w:val="24"/>
          <w:szCs w:val="24"/>
        </w:rPr>
        <w:t>and (b) applied for the TLD on behalf of the existing community and was awarded the TLD on such basis</w:t>
      </w:r>
      <w:r w:rsidRPr="00227991">
        <w:rPr>
          <w:rFonts w:ascii="Times New Roman" w:hAnsi="Times New Roman"/>
          <w:sz w:val="24"/>
          <w:szCs w:val="24"/>
        </w:rPr>
        <w:t>.  </w:t>
      </w:r>
      <w:r w:rsidRPr="00486ED6">
        <w:rPr>
          <w:rFonts w:ascii="Times New Roman" w:hAnsi="Times New Roman"/>
          <w:sz w:val="24"/>
          <w:szCs w:val="24"/>
        </w:rPr>
        <w:t xml:space="preserve">For purposes of Section 2.8, </w:t>
      </w:r>
      <w:r w:rsidRPr="00227991">
        <w:rPr>
          <w:rFonts w:ascii="Times New Roman" w:hAnsi="Times New Roman"/>
          <w:sz w:val="24"/>
          <w:szCs w:val="24"/>
        </w:rPr>
        <w:t xml:space="preserve">the following shall not be </w:t>
      </w:r>
      <w:r w:rsidRPr="000C0F13">
        <w:rPr>
          <w:rFonts w:ascii="Times New Roman" w:hAnsi="Times New Roman"/>
          <w:sz w:val="24"/>
          <w:szCs w:val="24"/>
        </w:rPr>
        <w:t>deemed to be a community: (i) a subscriber or customer base; (ii) a business and its affiliated entities and (iii) a country or other region that is represented by a ccTLD</w:t>
      </w:r>
      <w:r w:rsidR="00486ED6" w:rsidRPr="000C0F13">
        <w:rPr>
          <w:rFonts w:ascii="Times New Roman" w:hAnsi="Times New Roman"/>
          <w:sz w:val="24"/>
          <w:szCs w:val="24"/>
        </w:rPr>
        <w:t>, or (iv) </w:t>
      </w:r>
      <w:r w:rsidR="000C0F13" w:rsidRPr="000C0F13">
        <w:rPr>
          <w:rFonts w:ascii="Times New Roman" w:eastAsia="Calibri" w:hAnsi="Times New Roman"/>
          <w:sz w:val="24"/>
          <w:szCs w:val="24"/>
        </w:rPr>
        <w:t>a language except in cases where the TLD directly relates to  a UNESCO recognized  language</w:t>
      </w:r>
      <w:r w:rsidRPr="000C0F13">
        <w:rPr>
          <w:rFonts w:ascii="Times New Roman" w:hAnsi="Times New Roman"/>
          <w:sz w:val="24"/>
          <w:szCs w:val="24"/>
        </w:rPr>
        <w:t>.</w:t>
      </w:r>
    </w:p>
    <w:p w:rsidR="00227991" w:rsidRDefault="00227991" w:rsidP="00227991">
      <w:pPr>
        <w:spacing w:before="100" w:beforeAutospacing="1" w:after="100" w:afterAutospacing="1"/>
        <w:rPr>
          <w:rFonts w:ascii="Times New Roman" w:hAnsi="Times New Roman"/>
          <w:sz w:val="24"/>
          <w:szCs w:val="24"/>
        </w:rPr>
      </w:pPr>
      <w:r w:rsidRPr="00227991">
        <w:rPr>
          <w:rFonts w:ascii="Times New Roman" w:hAnsi="Times New Roman"/>
          <w:sz w:val="24"/>
          <w:szCs w:val="24"/>
        </w:rPr>
        <w:t> “</w:t>
      </w:r>
      <w:r w:rsidRPr="004A03F2">
        <w:rPr>
          <w:rFonts w:ascii="Times New Roman" w:hAnsi="Times New Roman"/>
          <w:i/>
          <w:sz w:val="24"/>
          <w:szCs w:val="24"/>
        </w:rPr>
        <w:t>single registrant</w:t>
      </w:r>
      <w:r w:rsidRPr="00227991">
        <w:rPr>
          <w:rFonts w:ascii="Times New Roman" w:hAnsi="Times New Roman"/>
          <w:sz w:val="24"/>
          <w:szCs w:val="24"/>
        </w:rPr>
        <w:t>” TLD shall mean a TLD in which (i)  all domain name registrations are registered to a single person, business or other entity and not to any party other than the single person, business or other entity, and (ii) proxy and anonymous domain name registrations are not offered.</w:t>
      </w:r>
    </w:p>
    <w:p w:rsidR="006E1531" w:rsidRPr="00227991" w:rsidRDefault="006E1531" w:rsidP="00227991">
      <w:pPr>
        <w:spacing w:before="100" w:beforeAutospacing="1" w:after="100" w:afterAutospacing="1"/>
        <w:rPr>
          <w:rFonts w:ascii="Times New Roman" w:hAnsi="Times New Roman"/>
          <w:sz w:val="24"/>
          <w:szCs w:val="24"/>
        </w:rPr>
      </w:pPr>
      <w:r>
        <w:rPr>
          <w:rFonts w:ascii="Times New Roman" w:hAnsi="Times New Roman"/>
          <w:sz w:val="24"/>
          <w:szCs w:val="24"/>
        </w:rPr>
        <w:tab/>
      </w:r>
      <w:r w:rsidR="004A03F2">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Pr="006E1531">
        <w:rPr>
          <w:rFonts w:ascii="Times New Roman" w:hAnsi="Times New Roman"/>
          <w:sz w:val="24"/>
          <w:szCs w:val="24"/>
          <w:u w:val="single"/>
        </w:rPr>
        <w:t>New Section 2.8</w:t>
      </w:r>
    </w:p>
    <w:p w:rsidR="00227991" w:rsidRDefault="00227991" w:rsidP="00227991">
      <w:pPr>
        <w:rPr>
          <w:rFonts w:ascii="Times New Roman" w:hAnsi="Times New Roman"/>
          <w:sz w:val="24"/>
          <w:szCs w:val="24"/>
        </w:rPr>
      </w:pPr>
      <w:r w:rsidRPr="00227991">
        <w:rPr>
          <w:rFonts w:ascii="Times New Roman" w:hAnsi="Times New Roman"/>
          <w:sz w:val="24"/>
          <w:szCs w:val="24"/>
        </w:rPr>
        <w:t xml:space="preserve">2.8       </w:t>
      </w:r>
      <w:r w:rsidRPr="00227991">
        <w:rPr>
          <w:rFonts w:ascii="Times New Roman" w:hAnsi="Times New Roman"/>
          <w:sz w:val="24"/>
          <w:szCs w:val="24"/>
          <w:u w:val="single"/>
        </w:rPr>
        <w:t>Use of Registrars</w:t>
      </w:r>
      <w:r w:rsidRPr="00227991">
        <w:rPr>
          <w:rFonts w:ascii="Times New Roman" w:hAnsi="Times New Roman"/>
          <w:sz w:val="24"/>
          <w:szCs w:val="24"/>
        </w:rPr>
        <w:t xml:space="preserve">. Registry Operator must use only ICANN accredited registrars in registering domain names. Affiliates of Registry Operator or of any entity providing Registry Services for the TLD may be ICANN-accredited registrars, provided that such Affiliates or entities providing Registry Services for the TLD may not distribute domain names in the TLD unless (i) </w:t>
      </w:r>
      <w:r w:rsidRPr="00AC7E57">
        <w:rPr>
          <w:rFonts w:ascii="Times New Roman" w:hAnsi="Times New Roman"/>
          <w:sz w:val="24"/>
          <w:szCs w:val="24"/>
        </w:rPr>
        <w:t>the TLD is a “single registrant” TLD, or (ii) the TLD is “community-based”</w:t>
      </w:r>
      <w:r w:rsidR="000C0F13">
        <w:rPr>
          <w:rFonts w:ascii="Times New Roman" w:hAnsi="Times New Roman"/>
          <w:sz w:val="24"/>
          <w:szCs w:val="24"/>
        </w:rPr>
        <w:t>,</w:t>
      </w:r>
      <w:r w:rsidRPr="00AC7E57">
        <w:rPr>
          <w:rFonts w:ascii="Times New Roman" w:hAnsi="Times New Roman"/>
          <w:sz w:val="24"/>
          <w:szCs w:val="24"/>
        </w:rPr>
        <w:t xml:space="preserve"> provided however that in such event (a) the Affiliates or entities providing Registry Services for the </w:t>
      </w:r>
      <w:r w:rsidRPr="00486ED6">
        <w:rPr>
          <w:rFonts w:ascii="Times New Roman" w:hAnsi="Times New Roman"/>
          <w:sz w:val="24"/>
          <w:szCs w:val="24"/>
        </w:rPr>
        <w:t>Community-based TLD  together may act as a distributor for no more than 50,000 names registered in the TLD and (b) neither Registry Operator nor any entity providing Registry Services for the Community-based TLD may themselves act as an authorized registrar, reseller or distributor of domain names within the</w:t>
      </w:r>
      <w:r w:rsidRPr="00AC7E57">
        <w:rPr>
          <w:rFonts w:ascii="Times New Roman" w:hAnsi="Times New Roman"/>
          <w:sz w:val="24"/>
          <w:szCs w:val="24"/>
        </w:rPr>
        <w:t xml:space="preserve"> TLD through the same entity that provides Registry Services for the TLD.  Registry Operator must provide non-discriminatory access to Registry Services to all ICANN accredited registrars that enter into and are in compliance with Registry </w:t>
      </w:r>
      <w:r w:rsidRPr="00AC7E57">
        <w:rPr>
          <w:rFonts w:ascii="Times New Roman" w:hAnsi="Times New Roman"/>
          <w:sz w:val="24"/>
          <w:szCs w:val="24"/>
        </w:rPr>
        <w:lastRenderedPageBreak/>
        <w:t>Operator’s registry-registrar agreement for the TLD. Registry Operator must use a uniform agreement with all registrars authorized to register names in the TLD, which may be revised by Registry Operator from time to time, provided however, that any such revisions must be approved in advance by ICANN.</w:t>
      </w:r>
    </w:p>
    <w:p w:rsidR="004A03F2" w:rsidRDefault="004A03F2" w:rsidP="00227991">
      <w:pPr>
        <w:rPr>
          <w:rFonts w:ascii="Times New Roman" w:hAnsi="Times New Roman"/>
          <w:sz w:val="24"/>
          <w:szCs w:val="24"/>
        </w:rPr>
      </w:pPr>
    </w:p>
    <w:p w:rsidR="004A03F2" w:rsidRPr="004A03F2" w:rsidRDefault="004A03F2" w:rsidP="00227991">
      <w:pPr>
        <w:rPr>
          <w:rFonts w:ascii="Times New Roman" w:hAnsi="Times New Roman"/>
          <w:sz w:val="24"/>
          <w:szCs w:val="24"/>
          <w:u w:val="single"/>
        </w:rPr>
      </w:pPr>
      <w:r>
        <w:rPr>
          <w:rFonts w:ascii="Times New Roman" w:hAnsi="Times New Roman"/>
          <w:sz w:val="24"/>
          <w:szCs w:val="24"/>
        </w:rPr>
        <w:tab/>
        <w:t>C.</w:t>
      </w:r>
      <w:r>
        <w:rPr>
          <w:rFonts w:ascii="Times New Roman" w:hAnsi="Times New Roman"/>
          <w:sz w:val="24"/>
          <w:szCs w:val="24"/>
        </w:rPr>
        <w:tab/>
      </w:r>
      <w:r>
        <w:rPr>
          <w:rFonts w:ascii="Times New Roman" w:hAnsi="Times New Roman"/>
          <w:sz w:val="24"/>
          <w:szCs w:val="24"/>
          <w:u w:val="single"/>
        </w:rPr>
        <w:t>Notes on Section 2.8</w:t>
      </w:r>
    </w:p>
    <w:p w:rsidR="00075F94" w:rsidRDefault="00075F94" w:rsidP="00227991">
      <w:pPr>
        <w:rPr>
          <w:rFonts w:ascii="Times New Roman" w:hAnsi="Times New Roman"/>
          <w:sz w:val="24"/>
          <w:szCs w:val="24"/>
        </w:rPr>
      </w:pPr>
    </w:p>
    <w:p w:rsidR="00075F94" w:rsidRDefault="00075F94" w:rsidP="00075F94">
      <w:pPr>
        <w:rPr>
          <w:rFonts w:ascii="Times New Roman" w:hAnsi="Times New Roman"/>
          <w:i/>
          <w:iCs/>
          <w:sz w:val="24"/>
          <w:szCs w:val="24"/>
        </w:rPr>
      </w:pPr>
      <w:r>
        <w:rPr>
          <w:rFonts w:ascii="Times New Roman" w:hAnsi="Times New Roman"/>
          <w:i/>
          <w:iCs/>
          <w:sz w:val="24"/>
          <w:szCs w:val="24"/>
        </w:rPr>
        <w:t>Note 1:  The RyC believes that for true Single Registrant TLDs, as stated in the provision above, we do not necessarily believe that 50,000 names restriction must apply.  However, until we can be sure that this cannot be gamed, we would recommend the ICANN setting the 50,000 name threshold, but allow the Single Registrant TLD to present to the ICANN Board any information why they believe the 50,000 name threshold may need to be exceeded (i.e., the TLD will be used by employees of a company with more than 50,000 employees). We would like input from the rest of the ICANN community to figure out other ways to stop the potential gaming of these restrictions.</w:t>
      </w:r>
    </w:p>
    <w:p w:rsidR="00075F94" w:rsidRDefault="00075F94" w:rsidP="00075F94">
      <w:pPr>
        <w:rPr>
          <w:rFonts w:ascii="Times New Roman" w:hAnsi="Times New Roman"/>
          <w:i/>
          <w:iCs/>
          <w:sz w:val="24"/>
          <w:szCs w:val="24"/>
        </w:rPr>
      </w:pPr>
    </w:p>
    <w:p w:rsidR="00075F94" w:rsidRDefault="00075F94" w:rsidP="00075F94">
      <w:pPr>
        <w:rPr>
          <w:rFonts w:ascii="Times New Roman" w:hAnsi="Times New Roman"/>
          <w:i/>
          <w:iCs/>
          <w:sz w:val="24"/>
          <w:szCs w:val="24"/>
        </w:rPr>
      </w:pPr>
      <w:r>
        <w:rPr>
          <w:rFonts w:ascii="Times New Roman" w:hAnsi="Times New Roman"/>
          <w:i/>
          <w:iCs/>
          <w:sz w:val="24"/>
          <w:szCs w:val="24"/>
        </w:rPr>
        <w:t>Note 2: The restrictions we have placed in Section 2.8 are not limited to the official registry or registry operator that signs an Agreement with ICANN.  Rather, the restrictions are towards ANY entity (or affiliate of any entity) providing Registry Services for the TLD.  This would include back-end registry operators.   It is only this type of restriction that will effectively put a stop to the gaming and prevent an argument from existing registrars (or affiliates of registrars) that since they are not the entity signing an agreement with ICANN.  The RyC will submit in a separate paper its rationale for this.</w:t>
      </w:r>
    </w:p>
    <w:p w:rsidR="00075F94" w:rsidRDefault="00075F94" w:rsidP="00075F94">
      <w:pPr>
        <w:rPr>
          <w:rFonts w:ascii="Times New Roman" w:hAnsi="Times New Roman"/>
          <w:i/>
          <w:iCs/>
          <w:sz w:val="24"/>
          <w:szCs w:val="24"/>
        </w:rPr>
      </w:pPr>
    </w:p>
    <w:p w:rsidR="00075F94" w:rsidRPr="0018221C" w:rsidRDefault="00075F94" w:rsidP="00075F94">
      <w:pPr>
        <w:rPr>
          <w:rFonts w:ascii="Times New Roman" w:hAnsi="Times New Roman"/>
          <w:i/>
          <w:iCs/>
          <w:sz w:val="24"/>
          <w:szCs w:val="24"/>
        </w:rPr>
      </w:pPr>
      <w:r>
        <w:rPr>
          <w:rFonts w:ascii="Times New Roman" w:hAnsi="Times New Roman"/>
          <w:i/>
          <w:iCs/>
          <w:sz w:val="24"/>
          <w:szCs w:val="24"/>
        </w:rPr>
        <w:t xml:space="preserve">Note 3:  In addition, the restrictions above do not just apply to being a “registrar” in the TLD, but </w:t>
      </w:r>
      <w:r w:rsidRPr="0018221C">
        <w:rPr>
          <w:rFonts w:ascii="Times New Roman" w:hAnsi="Times New Roman"/>
          <w:i/>
          <w:iCs/>
          <w:sz w:val="24"/>
          <w:szCs w:val="24"/>
        </w:rPr>
        <w:t xml:space="preserve">rather distributing domain names in the TLD as either a registrar, reseller or any other form of distributor.  This too would close a “loop hole” that has existing in the Agreements to date. </w:t>
      </w:r>
    </w:p>
    <w:p w:rsidR="00075F94" w:rsidRPr="0018221C" w:rsidRDefault="00075F94" w:rsidP="00075F94">
      <w:pPr>
        <w:rPr>
          <w:rFonts w:ascii="Times New Roman" w:hAnsi="Times New Roman"/>
          <w:i/>
          <w:iCs/>
          <w:sz w:val="24"/>
          <w:szCs w:val="24"/>
        </w:rPr>
      </w:pPr>
    </w:p>
    <w:p w:rsidR="00075F94" w:rsidRPr="0018221C" w:rsidRDefault="00075F94" w:rsidP="00075F94">
      <w:pPr>
        <w:rPr>
          <w:rFonts w:ascii="Times New Roman" w:hAnsi="Times New Roman"/>
          <w:i/>
          <w:iCs/>
          <w:sz w:val="24"/>
          <w:szCs w:val="24"/>
        </w:rPr>
      </w:pPr>
      <w:r w:rsidRPr="0018221C">
        <w:rPr>
          <w:rFonts w:ascii="Times New Roman" w:hAnsi="Times New Roman"/>
          <w:i/>
          <w:iCs/>
          <w:sz w:val="24"/>
          <w:szCs w:val="24"/>
        </w:rPr>
        <w:t>Note 4:  The registries in support of this proposal have indicated that they would imposing these restrictions on themselves if the RyC proposal is adopted by the ICANN Board for future TLDs; provided that existing sponsored TLDs are considered “Community-based TLDs” under the language above.</w:t>
      </w:r>
    </w:p>
    <w:p w:rsidR="00075F94" w:rsidRPr="0018221C" w:rsidRDefault="00075F94" w:rsidP="00227991">
      <w:pPr>
        <w:rPr>
          <w:rFonts w:ascii="Times New Roman" w:hAnsi="Times New Roman"/>
          <w:sz w:val="24"/>
          <w:szCs w:val="24"/>
        </w:rPr>
      </w:pPr>
    </w:p>
    <w:p w:rsidR="004A03F2" w:rsidRPr="004A03F2" w:rsidRDefault="004A03F2" w:rsidP="004A03F2">
      <w:pPr>
        <w:rPr>
          <w:rFonts w:ascii="Times New Roman" w:hAnsi="Times New Roman"/>
          <w:b/>
          <w:sz w:val="24"/>
          <w:szCs w:val="24"/>
        </w:rPr>
      </w:pPr>
      <w:r w:rsidRPr="004A03F2">
        <w:rPr>
          <w:rFonts w:ascii="Times New Roman" w:hAnsi="Times New Roman"/>
          <w:b/>
          <w:sz w:val="24"/>
          <w:szCs w:val="24"/>
        </w:rPr>
        <w:t>GNSO gTLD Registry Constituency Statement of Support</w:t>
      </w:r>
    </w:p>
    <w:p w:rsidR="004A03F2" w:rsidRPr="004A03F2" w:rsidRDefault="004A03F2" w:rsidP="004A03F2">
      <w:pPr>
        <w:rPr>
          <w:rFonts w:ascii="Times New Roman" w:hAnsi="Times New Roman"/>
          <w:b/>
          <w:sz w:val="24"/>
          <w:szCs w:val="24"/>
        </w:rPr>
      </w:pPr>
    </w:p>
    <w:p w:rsidR="004A03F2" w:rsidRDefault="004A03F2" w:rsidP="004A03F2">
      <w:pPr>
        <w:rPr>
          <w:rFonts w:ascii="Times New Roman" w:hAnsi="Times New Roman"/>
          <w:sz w:val="24"/>
          <w:szCs w:val="24"/>
        </w:rPr>
      </w:pPr>
      <w:r w:rsidRPr="004A03F2">
        <w:rPr>
          <w:rFonts w:ascii="Times New Roman" w:hAnsi="Times New Roman"/>
          <w:sz w:val="24"/>
          <w:szCs w:val="24"/>
        </w:rPr>
        <w:t>Issue:</w:t>
      </w:r>
      <w:r w:rsidRPr="004A03F2">
        <w:rPr>
          <w:rFonts w:ascii="Times New Roman" w:hAnsi="Times New Roman"/>
          <w:sz w:val="24"/>
          <w:szCs w:val="24"/>
        </w:rPr>
        <w:tab/>
      </w:r>
      <w:r w:rsidR="00320D76">
        <w:rPr>
          <w:rFonts w:ascii="Times New Roman" w:hAnsi="Times New Roman"/>
          <w:sz w:val="24"/>
          <w:szCs w:val="24"/>
        </w:rPr>
        <w:t xml:space="preserve">Registry-Registrar Separation </w:t>
      </w:r>
    </w:p>
    <w:p w:rsidR="00320D76" w:rsidRPr="004A03F2" w:rsidRDefault="00320D76" w:rsidP="004A03F2">
      <w:pPr>
        <w:rPr>
          <w:rFonts w:ascii="Times New Roman" w:hAnsi="Times New Roman"/>
          <w:sz w:val="24"/>
          <w:szCs w:val="24"/>
        </w:rPr>
      </w:pPr>
    </w:p>
    <w:p w:rsidR="004A03F2" w:rsidRPr="004A03F2" w:rsidRDefault="004A03F2" w:rsidP="004A03F2">
      <w:pPr>
        <w:rPr>
          <w:rFonts w:ascii="Times New Roman" w:hAnsi="Times New Roman"/>
          <w:sz w:val="24"/>
          <w:szCs w:val="24"/>
        </w:rPr>
      </w:pPr>
      <w:r w:rsidRPr="004A03F2">
        <w:rPr>
          <w:rFonts w:ascii="Times New Roman" w:hAnsi="Times New Roman"/>
          <w:sz w:val="24"/>
          <w:szCs w:val="24"/>
        </w:rPr>
        <w:t>Date:</w:t>
      </w:r>
      <w:r w:rsidRPr="004A03F2">
        <w:rPr>
          <w:rFonts w:ascii="Times New Roman" w:hAnsi="Times New Roman"/>
          <w:sz w:val="24"/>
          <w:szCs w:val="24"/>
        </w:rPr>
        <w:tab/>
      </w:r>
      <w:r w:rsidR="00320D76">
        <w:rPr>
          <w:rFonts w:ascii="Times New Roman" w:hAnsi="Times New Roman"/>
          <w:sz w:val="24"/>
          <w:szCs w:val="24"/>
        </w:rPr>
        <w:t>April 13, 2009</w:t>
      </w:r>
    </w:p>
    <w:p w:rsidR="004A03F2" w:rsidRPr="004A03F2" w:rsidRDefault="004A03F2" w:rsidP="004A03F2">
      <w:pPr>
        <w:rPr>
          <w:rFonts w:ascii="Times New Roman" w:hAnsi="Times New Roman"/>
          <w:sz w:val="24"/>
          <w:szCs w:val="24"/>
        </w:rPr>
      </w:pPr>
    </w:p>
    <w:p w:rsidR="004A03F2" w:rsidRPr="004A03F2" w:rsidRDefault="004A03F2" w:rsidP="004A03F2">
      <w:pPr>
        <w:spacing w:after="120"/>
        <w:rPr>
          <w:rFonts w:ascii="Times New Roman" w:hAnsi="Times New Roman"/>
          <w:sz w:val="24"/>
          <w:szCs w:val="24"/>
          <w:u w:val="single"/>
        </w:rPr>
      </w:pPr>
      <w:r w:rsidRPr="004A03F2">
        <w:rPr>
          <w:rFonts w:ascii="Times New Roman" w:hAnsi="Times New Roman"/>
          <w:sz w:val="24"/>
          <w:szCs w:val="24"/>
          <w:u w:val="single"/>
        </w:rPr>
        <w:t>General RyC Information</w:t>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t>Total # of eligible RyC Members</w:t>
      </w:r>
      <w:r w:rsidRPr="004A03F2">
        <w:rPr>
          <w:rStyle w:val="FootnoteReference"/>
          <w:rFonts w:ascii="Times New Roman" w:hAnsi="Times New Roman"/>
          <w:sz w:val="24"/>
          <w:szCs w:val="24"/>
        </w:rPr>
        <w:footnoteReference w:id="3"/>
      </w:r>
      <w:r w:rsidRPr="004A03F2">
        <w:rPr>
          <w:rFonts w:ascii="Times New Roman" w:hAnsi="Times New Roman"/>
          <w:sz w:val="24"/>
          <w:szCs w:val="24"/>
        </w:rPr>
        <w:t>:</w:t>
      </w:r>
      <w:r w:rsidRPr="004A03F2">
        <w:rPr>
          <w:rFonts w:ascii="Times New Roman" w:hAnsi="Times New Roman"/>
          <w:sz w:val="24"/>
          <w:szCs w:val="24"/>
        </w:rPr>
        <w:tab/>
        <w:t>14</w:t>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lastRenderedPageBreak/>
        <w:t>Total # of RyC Members:</w:t>
      </w:r>
      <w:r w:rsidRPr="004A03F2">
        <w:rPr>
          <w:rFonts w:ascii="Times New Roman" w:hAnsi="Times New Roman"/>
          <w:sz w:val="24"/>
          <w:szCs w:val="24"/>
        </w:rPr>
        <w:tab/>
        <w:t>14</w:t>
      </w:r>
      <w:r w:rsidRPr="004A03F2">
        <w:rPr>
          <w:rFonts w:ascii="Times New Roman" w:hAnsi="Times New Roman"/>
          <w:sz w:val="24"/>
          <w:szCs w:val="24"/>
        </w:rPr>
        <w:tab/>
      </w:r>
      <w:r w:rsidRPr="004A03F2">
        <w:rPr>
          <w:rFonts w:ascii="Times New Roman" w:hAnsi="Times New Roman"/>
          <w:sz w:val="24"/>
          <w:szCs w:val="24"/>
        </w:rPr>
        <w:tab/>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t>Total # of Active RyC Members</w:t>
      </w:r>
      <w:r w:rsidRPr="004A03F2">
        <w:rPr>
          <w:rStyle w:val="FootnoteReference"/>
          <w:rFonts w:ascii="Times New Roman" w:hAnsi="Times New Roman"/>
          <w:sz w:val="24"/>
          <w:szCs w:val="24"/>
        </w:rPr>
        <w:footnoteReference w:id="4"/>
      </w:r>
      <w:r w:rsidRPr="004A03F2">
        <w:rPr>
          <w:rFonts w:ascii="Times New Roman" w:hAnsi="Times New Roman"/>
          <w:sz w:val="24"/>
          <w:szCs w:val="24"/>
        </w:rPr>
        <w:t>:  14</w:t>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t>Minimum requirement for supermajority of Active Members:  10</w:t>
      </w:r>
      <w:r w:rsidRPr="004A03F2">
        <w:rPr>
          <w:rFonts w:ascii="Times New Roman" w:hAnsi="Times New Roman"/>
          <w:sz w:val="24"/>
          <w:szCs w:val="24"/>
        </w:rPr>
        <w:tab/>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t>Minimum requirement for majority of Active Members:  8</w:t>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t xml:space="preserve"># of Members that participated in this process:  </w:t>
      </w:r>
      <w:r w:rsidR="00320D76">
        <w:rPr>
          <w:rFonts w:ascii="Times New Roman" w:hAnsi="Times New Roman"/>
          <w:sz w:val="24"/>
          <w:szCs w:val="24"/>
        </w:rPr>
        <w:t>13</w:t>
      </w:r>
    </w:p>
    <w:p w:rsidR="004A03F2" w:rsidRPr="004A03F2" w:rsidRDefault="004A03F2" w:rsidP="004A03F2">
      <w:pPr>
        <w:numPr>
          <w:ilvl w:val="2"/>
          <w:numId w:val="17"/>
        </w:numPr>
        <w:tabs>
          <w:tab w:val="clear" w:pos="2160"/>
        </w:tabs>
        <w:spacing w:after="120"/>
        <w:ind w:left="720"/>
        <w:rPr>
          <w:rFonts w:ascii="Times New Roman" w:hAnsi="Times New Roman"/>
          <w:sz w:val="24"/>
          <w:szCs w:val="24"/>
        </w:rPr>
      </w:pPr>
      <w:r w:rsidRPr="004A03F2">
        <w:rPr>
          <w:rFonts w:ascii="Times New Roman" w:hAnsi="Times New Roman"/>
          <w:sz w:val="24"/>
          <w:szCs w:val="24"/>
        </w:rPr>
        <w:t>Names of Members that participated in this process:</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Afilias (.info)</w:t>
      </w:r>
    </w:p>
    <w:p w:rsidR="004A03F2" w:rsidRPr="00320D76" w:rsidRDefault="004A03F2" w:rsidP="004A03F2">
      <w:pPr>
        <w:numPr>
          <w:ilvl w:val="0"/>
          <w:numId w:val="18"/>
        </w:numPr>
        <w:ind w:left="1080"/>
        <w:rPr>
          <w:rFonts w:ascii="Times New Roman" w:hAnsi="Times New Roman"/>
          <w:sz w:val="24"/>
          <w:szCs w:val="24"/>
        </w:rPr>
      </w:pPr>
      <w:r w:rsidRPr="00320D76">
        <w:rPr>
          <w:rFonts w:ascii="Times New Roman" w:hAnsi="Times New Roman"/>
          <w:sz w:val="24"/>
          <w:szCs w:val="24"/>
        </w:rPr>
        <w:t>DotAsia Organisation (.asia)</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DotCooperation (.coop)</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Employ Media (.jobs)</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Fundació puntCAT (.cat)</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mTLD Top Level Domain (.mobi)</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Museum Domain Management Association – MuseDoma (.museum)</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NeuStar (.biz)</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Public Interest Registry (.org)</w:t>
      </w:r>
    </w:p>
    <w:p w:rsidR="004A03F2"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RegistryPro (.pro)</w:t>
      </w:r>
    </w:p>
    <w:p w:rsidR="009A44B8" w:rsidRPr="00320D76" w:rsidRDefault="009A44B8" w:rsidP="004A03F2">
      <w:pPr>
        <w:numPr>
          <w:ilvl w:val="0"/>
          <w:numId w:val="18"/>
        </w:numPr>
        <w:tabs>
          <w:tab w:val="clear" w:pos="360"/>
        </w:tabs>
        <w:ind w:left="1080"/>
        <w:rPr>
          <w:rFonts w:ascii="Times New Roman" w:hAnsi="Times New Roman"/>
          <w:sz w:val="24"/>
          <w:szCs w:val="24"/>
        </w:rPr>
      </w:pPr>
      <w:r>
        <w:rPr>
          <w:rFonts w:ascii="Times New Roman" w:hAnsi="Times New Roman"/>
          <w:sz w:val="24"/>
          <w:szCs w:val="24"/>
        </w:rPr>
        <w:t>SITA (.aero)</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Telnic (.tel)</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The Travel Partnership Corporation – TTPC (.travel)</w:t>
      </w:r>
    </w:p>
    <w:p w:rsidR="004A03F2" w:rsidRPr="00320D76" w:rsidRDefault="004A03F2" w:rsidP="004A03F2">
      <w:pPr>
        <w:numPr>
          <w:ilvl w:val="0"/>
          <w:numId w:val="18"/>
        </w:numPr>
        <w:tabs>
          <w:tab w:val="clear" w:pos="360"/>
        </w:tabs>
        <w:ind w:left="1080"/>
        <w:rPr>
          <w:rFonts w:ascii="Times New Roman" w:hAnsi="Times New Roman"/>
          <w:sz w:val="24"/>
          <w:szCs w:val="24"/>
        </w:rPr>
      </w:pPr>
      <w:r w:rsidRPr="00320D76">
        <w:rPr>
          <w:rFonts w:ascii="Times New Roman" w:hAnsi="Times New Roman"/>
          <w:sz w:val="24"/>
          <w:szCs w:val="24"/>
        </w:rPr>
        <w:t>VeriSign (.com, .name &amp; .net)</w:t>
      </w:r>
    </w:p>
    <w:p w:rsidR="004A03F2" w:rsidRPr="004A03F2" w:rsidRDefault="004A03F2" w:rsidP="004A03F2">
      <w:pPr>
        <w:numPr>
          <w:ilvl w:val="0"/>
          <w:numId w:val="17"/>
        </w:numPr>
        <w:rPr>
          <w:rFonts w:ascii="Times New Roman" w:hAnsi="Times New Roman"/>
          <w:sz w:val="24"/>
          <w:szCs w:val="24"/>
        </w:rPr>
      </w:pPr>
      <w:r w:rsidRPr="004A03F2">
        <w:rPr>
          <w:rFonts w:ascii="Times New Roman" w:hAnsi="Times New Roman"/>
          <w:sz w:val="24"/>
          <w:szCs w:val="24"/>
        </w:rPr>
        <w:t>Names &amp; email addresses for points of contact:</w:t>
      </w:r>
    </w:p>
    <w:p w:rsidR="004A03F2" w:rsidRPr="004A03F2" w:rsidRDefault="004A03F2" w:rsidP="004A03F2">
      <w:pPr>
        <w:numPr>
          <w:ilvl w:val="1"/>
          <w:numId w:val="18"/>
        </w:numPr>
        <w:rPr>
          <w:rFonts w:ascii="Times New Roman" w:hAnsi="Times New Roman"/>
          <w:sz w:val="24"/>
          <w:szCs w:val="24"/>
        </w:rPr>
      </w:pPr>
      <w:r w:rsidRPr="004A03F2">
        <w:rPr>
          <w:rFonts w:ascii="Times New Roman" w:hAnsi="Times New Roman"/>
          <w:sz w:val="24"/>
          <w:szCs w:val="24"/>
        </w:rPr>
        <w:t>Chair:</w:t>
      </w:r>
      <w:r w:rsidRPr="004A03F2">
        <w:rPr>
          <w:rFonts w:ascii="Times New Roman" w:hAnsi="Times New Roman"/>
          <w:sz w:val="24"/>
          <w:szCs w:val="24"/>
        </w:rPr>
        <w:tab/>
        <w:t xml:space="preserve">David Maher, </w:t>
      </w:r>
      <w:hyperlink r:id="rId8" w:history="1">
        <w:r w:rsidRPr="004A03F2">
          <w:rPr>
            <w:rStyle w:val="Hyperlink"/>
            <w:rFonts w:ascii="Times New Roman" w:hAnsi="Times New Roman"/>
            <w:sz w:val="24"/>
            <w:szCs w:val="24"/>
          </w:rPr>
          <w:t>dmaher@pir.org</w:t>
        </w:r>
      </w:hyperlink>
    </w:p>
    <w:p w:rsidR="004A03F2" w:rsidRPr="004A03F2" w:rsidRDefault="004A03F2" w:rsidP="004A03F2">
      <w:pPr>
        <w:numPr>
          <w:ilvl w:val="1"/>
          <w:numId w:val="18"/>
        </w:numPr>
        <w:rPr>
          <w:rFonts w:ascii="Times New Roman" w:hAnsi="Times New Roman"/>
          <w:sz w:val="24"/>
          <w:szCs w:val="24"/>
        </w:rPr>
      </w:pPr>
      <w:r w:rsidRPr="004A03F2">
        <w:rPr>
          <w:rFonts w:ascii="Times New Roman" w:hAnsi="Times New Roman"/>
          <w:sz w:val="24"/>
          <w:szCs w:val="24"/>
        </w:rPr>
        <w:t xml:space="preserve">Alternate Chair:  Jeff Neuman, </w:t>
      </w:r>
      <w:hyperlink r:id="rId9" w:history="1">
        <w:r w:rsidRPr="004A03F2">
          <w:rPr>
            <w:rStyle w:val="Hyperlink"/>
            <w:rFonts w:ascii="Times New Roman" w:hAnsi="Times New Roman"/>
            <w:sz w:val="24"/>
            <w:szCs w:val="24"/>
          </w:rPr>
          <w:t>Jeff.Neuman@Neustar.us</w:t>
        </w:r>
      </w:hyperlink>
    </w:p>
    <w:p w:rsidR="004A03F2" w:rsidRPr="004A03F2" w:rsidRDefault="004A03F2" w:rsidP="004A03F2">
      <w:pPr>
        <w:pStyle w:val="Heading2"/>
        <w:numPr>
          <w:ilvl w:val="1"/>
          <w:numId w:val="18"/>
        </w:numPr>
      </w:pPr>
      <w:r w:rsidRPr="004A03F2">
        <w:rPr>
          <w:color w:val="000000"/>
          <w:u w:val="none"/>
        </w:rPr>
        <w:t>Secretariat:  Cherie Stubbs,</w:t>
      </w:r>
      <w:r w:rsidRPr="004A03F2">
        <w:t xml:space="preserve"> </w:t>
      </w:r>
      <w:hyperlink r:id="rId10" w:history="1">
        <w:r w:rsidRPr="004A03F2">
          <w:rPr>
            <w:rStyle w:val="Hyperlink"/>
          </w:rPr>
          <w:t>Cherstubbs@aol.com</w:t>
        </w:r>
      </w:hyperlink>
      <w:r w:rsidRPr="004A03F2">
        <w:t xml:space="preserve"> </w:t>
      </w:r>
    </w:p>
    <w:p w:rsidR="004A03F2" w:rsidRPr="004A03F2" w:rsidRDefault="004A03F2" w:rsidP="004A03F2">
      <w:pPr>
        <w:rPr>
          <w:rFonts w:ascii="Times New Roman" w:hAnsi="Times New Roman"/>
          <w:sz w:val="24"/>
          <w:szCs w:val="24"/>
        </w:rPr>
      </w:pPr>
    </w:p>
    <w:p w:rsidR="004A03F2" w:rsidRPr="004A03F2" w:rsidRDefault="004A03F2" w:rsidP="004A03F2">
      <w:pPr>
        <w:rPr>
          <w:rFonts w:ascii="Times New Roman" w:hAnsi="Times New Roman"/>
          <w:sz w:val="24"/>
          <w:szCs w:val="24"/>
        </w:rPr>
      </w:pPr>
      <w:r w:rsidRPr="004A03F2">
        <w:rPr>
          <w:rFonts w:ascii="Times New Roman" w:hAnsi="Times New Roman"/>
          <w:sz w:val="24"/>
          <w:szCs w:val="24"/>
        </w:rPr>
        <w:t>Regarding the issue noted above, the level of support in the RyC is summarized below.</w:t>
      </w:r>
    </w:p>
    <w:p w:rsidR="004A03F2" w:rsidRPr="004A03F2" w:rsidRDefault="004A03F2" w:rsidP="004A03F2">
      <w:pPr>
        <w:rPr>
          <w:rFonts w:ascii="Times New Roman" w:hAnsi="Times New Roman"/>
          <w:sz w:val="24"/>
          <w:szCs w:val="24"/>
        </w:rPr>
      </w:pPr>
    </w:p>
    <w:p w:rsidR="004A03F2" w:rsidRPr="004A03F2" w:rsidRDefault="004A03F2" w:rsidP="004A03F2">
      <w:pPr>
        <w:numPr>
          <w:ilvl w:val="0"/>
          <w:numId w:val="16"/>
        </w:numPr>
        <w:spacing w:after="120"/>
        <w:rPr>
          <w:rFonts w:ascii="Times New Roman" w:hAnsi="Times New Roman"/>
          <w:sz w:val="24"/>
          <w:szCs w:val="24"/>
        </w:rPr>
      </w:pPr>
      <w:r w:rsidRPr="004A03F2">
        <w:rPr>
          <w:rFonts w:ascii="Times New Roman" w:hAnsi="Times New Roman"/>
          <w:b/>
          <w:sz w:val="24"/>
          <w:szCs w:val="24"/>
        </w:rPr>
        <w:t>Level of Support of Active Members</w:t>
      </w:r>
      <w:r w:rsidRPr="004A03F2">
        <w:rPr>
          <w:rFonts w:ascii="Times New Roman" w:hAnsi="Times New Roman"/>
          <w:sz w:val="24"/>
          <w:szCs w:val="24"/>
        </w:rPr>
        <w:t xml:space="preserve">: </w:t>
      </w:r>
      <w:r w:rsidR="00320D76">
        <w:rPr>
          <w:rFonts w:ascii="Times New Roman" w:hAnsi="Times New Roman"/>
          <w:sz w:val="24"/>
          <w:szCs w:val="24"/>
        </w:rPr>
        <w:t>Supermajority</w:t>
      </w:r>
    </w:p>
    <w:p w:rsidR="004A03F2" w:rsidRPr="004A03F2" w:rsidRDefault="004A03F2" w:rsidP="004A03F2">
      <w:pPr>
        <w:numPr>
          <w:ilvl w:val="1"/>
          <w:numId w:val="16"/>
        </w:numPr>
        <w:spacing w:after="120"/>
        <w:rPr>
          <w:rFonts w:ascii="Times New Roman" w:hAnsi="Times New Roman"/>
          <w:sz w:val="24"/>
          <w:szCs w:val="24"/>
        </w:rPr>
      </w:pPr>
      <w:r w:rsidRPr="004A03F2">
        <w:rPr>
          <w:rFonts w:ascii="Times New Roman" w:hAnsi="Times New Roman"/>
          <w:sz w:val="24"/>
          <w:szCs w:val="24"/>
        </w:rPr>
        <w:t xml:space="preserve"># of Members in Favor:  </w:t>
      </w:r>
      <w:r w:rsidR="009A44B8">
        <w:rPr>
          <w:rFonts w:ascii="Times New Roman" w:hAnsi="Times New Roman"/>
          <w:sz w:val="24"/>
          <w:szCs w:val="24"/>
        </w:rPr>
        <w:t>11</w:t>
      </w:r>
      <w:r w:rsidRPr="004A03F2">
        <w:rPr>
          <w:rFonts w:ascii="Times New Roman" w:hAnsi="Times New Roman"/>
          <w:sz w:val="24"/>
          <w:szCs w:val="24"/>
        </w:rPr>
        <w:tab/>
      </w:r>
    </w:p>
    <w:p w:rsidR="004A03F2" w:rsidRPr="004A03F2" w:rsidRDefault="004A03F2" w:rsidP="004A03F2">
      <w:pPr>
        <w:numPr>
          <w:ilvl w:val="1"/>
          <w:numId w:val="16"/>
        </w:numPr>
        <w:spacing w:after="120"/>
        <w:rPr>
          <w:rFonts w:ascii="Times New Roman" w:hAnsi="Times New Roman"/>
          <w:sz w:val="24"/>
          <w:szCs w:val="24"/>
        </w:rPr>
      </w:pPr>
      <w:r w:rsidRPr="004A03F2">
        <w:rPr>
          <w:rFonts w:ascii="Times New Roman" w:hAnsi="Times New Roman"/>
          <w:sz w:val="24"/>
          <w:szCs w:val="24"/>
        </w:rPr>
        <w:t xml:space="preserve"># of Members Opposed:  </w:t>
      </w:r>
      <w:r w:rsidR="00320D76">
        <w:rPr>
          <w:rFonts w:ascii="Times New Roman" w:hAnsi="Times New Roman"/>
          <w:sz w:val="24"/>
          <w:szCs w:val="24"/>
        </w:rPr>
        <w:t>2</w:t>
      </w:r>
      <w:r w:rsidRPr="004A03F2">
        <w:rPr>
          <w:rFonts w:ascii="Times New Roman" w:hAnsi="Times New Roman"/>
          <w:sz w:val="24"/>
          <w:szCs w:val="24"/>
        </w:rPr>
        <w:tab/>
      </w:r>
      <w:r w:rsidRPr="004A03F2">
        <w:rPr>
          <w:rFonts w:ascii="Times New Roman" w:hAnsi="Times New Roman"/>
          <w:sz w:val="24"/>
          <w:szCs w:val="24"/>
        </w:rPr>
        <w:tab/>
      </w:r>
    </w:p>
    <w:p w:rsidR="004A03F2" w:rsidRPr="004A03F2" w:rsidRDefault="004A03F2" w:rsidP="004A03F2">
      <w:pPr>
        <w:numPr>
          <w:ilvl w:val="1"/>
          <w:numId w:val="16"/>
        </w:numPr>
        <w:spacing w:after="120"/>
        <w:rPr>
          <w:rFonts w:ascii="Times New Roman" w:hAnsi="Times New Roman"/>
          <w:sz w:val="24"/>
          <w:szCs w:val="24"/>
        </w:rPr>
      </w:pPr>
      <w:r w:rsidRPr="004A03F2">
        <w:rPr>
          <w:rFonts w:ascii="Times New Roman" w:hAnsi="Times New Roman"/>
          <w:sz w:val="24"/>
          <w:szCs w:val="24"/>
        </w:rPr>
        <w:t># of Members that Abstained:</w:t>
      </w:r>
      <w:r w:rsidRPr="004A03F2">
        <w:rPr>
          <w:rFonts w:ascii="Times New Roman" w:hAnsi="Times New Roman"/>
          <w:sz w:val="24"/>
          <w:szCs w:val="24"/>
        </w:rPr>
        <w:tab/>
        <w:t xml:space="preserve">  </w:t>
      </w:r>
      <w:r w:rsidR="00320D76">
        <w:rPr>
          <w:rFonts w:ascii="Times New Roman" w:hAnsi="Times New Roman"/>
          <w:sz w:val="24"/>
          <w:szCs w:val="24"/>
        </w:rPr>
        <w:t>1</w:t>
      </w:r>
      <w:r w:rsidRPr="004A03F2">
        <w:rPr>
          <w:rFonts w:ascii="Times New Roman" w:hAnsi="Times New Roman"/>
          <w:sz w:val="24"/>
          <w:szCs w:val="24"/>
        </w:rPr>
        <w:tab/>
      </w:r>
      <w:r w:rsidRPr="004A03F2">
        <w:rPr>
          <w:rFonts w:ascii="Times New Roman" w:hAnsi="Times New Roman"/>
          <w:sz w:val="24"/>
          <w:szCs w:val="24"/>
        </w:rPr>
        <w:tab/>
      </w:r>
    </w:p>
    <w:p w:rsidR="004A03F2" w:rsidRPr="004A03F2" w:rsidRDefault="004A03F2" w:rsidP="004A03F2">
      <w:pPr>
        <w:numPr>
          <w:ilvl w:val="1"/>
          <w:numId w:val="16"/>
        </w:numPr>
        <w:spacing w:after="120"/>
        <w:rPr>
          <w:rFonts w:ascii="Times New Roman" w:hAnsi="Times New Roman"/>
          <w:sz w:val="24"/>
          <w:szCs w:val="24"/>
        </w:rPr>
      </w:pPr>
      <w:r w:rsidRPr="004A03F2">
        <w:rPr>
          <w:rFonts w:ascii="Times New Roman" w:hAnsi="Times New Roman"/>
          <w:sz w:val="24"/>
          <w:szCs w:val="24"/>
        </w:rPr>
        <w:t xml:space="preserve"># of Members that did not vote:  </w:t>
      </w:r>
      <w:r w:rsidR="009A44B8">
        <w:rPr>
          <w:rFonts w:ascii="Times New Roman" w:hAnsi="Times New Roman"/>
          <w:sz w:val="24"/>
          <w:szCs w:val="24"/>
        </w:rPr>
        <w:t>0</w:t>
      </w:r>
      <w:r w:rsidRPr="004A03F2">
        <w:rPr>
          <w:rFonts w:ascii="Times New Roman" w:hAnsi="Times New Roman"/>
          <w:sz w:val="24"/>
          <w:szCs w:val="24"/>
        </w:rPr>
        <w:tab/>
      </w:r>
      <w:r w:rsidRPr="004A03F2">
        <w:rPr>
          <w:rFonts w:ascii="Times New Roman" w:hAnsi="Times New Roman"/>
          <w:sz w:val="24"/>
          <w:szCs w:val="24"/>
        </w:rPr>
        <w:tab/>
      </w:r>
    </w:p>
    <w:p w:rsidR="004A03F2" w:rsidRPr="004A03F2" w:rsidRDefault="004A03F2" w:rsidP="004A03F2">
      <w:pPr>
        <w:numPr>
          <w:ilvl w:val="0"/>
          <w:numId w:val="16"/>
        </w:numPr>
        <w:spacing w:after="120"/>
        <w:rPr>
          <w:rFonts w:ascii="Times New Roman" w:hAnsi="Times New Roman"/>
          <w:sz w:val="24"/>
          <w:szCs w:val="24"/>
        </w:rPr>
      </w:pPr>
      <w:r w:rsidRPr="004A03F2">
        <w:rPr>
          <w:rFonts w:ascii="Times New Roman" w:hAnsi="Times New Roman"/>
          <w:b/>
          <w:sz w:val="24"/>
          <w:szCs w:val="24"/>
        </w:rPr>
        <w:t>Minority Position</w:t>
      </w:r>
      <w:r w:rsidRPr="00320D76">
        <w:rPr>
          <w:rFonts w:ascii="Times New Roman" w:hAnsi="Times New Roman"/>
          <w:sz w:val="24"/>
          <w:szCs w:val="24"/>
        </w:rPr>
        <w:t>(s)</w:t>
      </w:r>
      <w:r w:rsidRPr="004A03F2">
        <w:rPr>
          <w:rFonts w:ascii="Times New Roman" w:hAnsi="Times New Roman"/>
          <w:sz w:val="24"/>
          <w:szCs w:val="24"/>
        </w:rPr>
        <w:t>:</w:t>
      </w:r>
      <w:r w:rsidRPr="004A03F2">
        <w:rPr>
          <w:rFonts w:ascii="Times New Roman" w:hAnsi="Times New Roman"/>
          <w:sz w:val="24"/>
          <w:szCs w:val="24"/>
        </w:rPr>
        <w:tab/>
      </w:r>
    </w:p>
    <w:p w:rsidR="00AC7E57" w:rsidRDefault="004A03F2" w:rsidP="00AC7E57">
      <w:pPr>
        <w:ind w:left="360"/>
        <w:rPr>
          <w:rFonts w:ascii="Times New Roman" w:hAnsi="Times New Roman"/>
          <w:sz w:val="24"/>
          <w:szCs w:val="24"/>
        </w:rPr>
      </w:pPr>
      <w:r>
        <w:rPr>
          <w:rFonts w:ascii="Times New Roman" w:hAnsi="Times New Roman"/>
          <w:sz w:val="24"/>
          <w:szCs w:val="24"/>
        </w:rPr>
        <w:lastRenderedPageBreak/>
        <w:t>During the course of our deliberations, VeriSign</w:t>
      </w:r>
      <w:r w:rsidR="008726F2">
        <w:rPr>
          <w:rFonts w:ascii="Times New Roman" w:hAnsi="Times New Roman"/>
          <w:sz w:val="24"/>
          <w:szCs w:val="24"/>
        </w:rPr>
        <w:t>, who voted against the gTLD Registries Constituency Statement had</w:t>
      </w:r>
      <w:r>
        <w:rPr>
          <w:rFonts w:ascii="Times New Roman" w:hAnsi="Times New Roman"/>
          <w:sz w:val="24"/>
          <w:szCs w:val="24"/>
        </w:rPr>
        <w:t xml:space="preserve"> put forth the following as a new Section 2.8 (including definitions).  This view, however, was not adopted by a </w:t>
      </w:r>
      <w:r w:rsidR="00320D76">
        <w:rPr>
          <w:rFonts w:ascii="Times New Roman" w:hAnsi="Times New Roman"/>
          <w:sz w:val="24"/>
          <w:szCs w:val="24"/>
        </w:rPr>
        <w:t>Supermajority</w:t>
      </w:r>
      <w:r>
        <w:rPr>
          <w:rFonts w:ascii="Times New Roman" w:hAnsi="Times New Roman"/>
          <w:sz w:val="24"/>
          <w:szCs w:val="24"/>
        </w:rPr>
        <w:t xml:space="preserve"> of the gTLD Registries Constituency.  </w:t>
      </w:r>
      <w:r w:rsidR="000A452A">
        <w:rPr>
          <w:rFonts w:ascii="Book Antiqua" w:hAnsi="Book Antiqua"/>
          <w:color w:val="000000"/>
        </w:rPr>
        <w:t>RegistryPro joins VeriSign in submitting this minority position, with additional comments added by RegistryPro at the end to clarify intent.</w:t>
      </w:r>
    </w:p>
    <w:p w:rsidR="004A03F2" w:rsidRDefault="004A03F2" w:rsidP="00AC7E57">
      <w:pPr>
        <w:ind w:left="360"/>
        <w:rPr>
          <w:rFonts w:ascii="Times New Roman" w:hAnsi="Times New Roman"/>
          <w:sz w:val="24"/>
          <w:szCs w:val="24"/>
        </w:rPr>
      </w:pPr>
    </w:p>
    <w:p w:rsidR="004A03F2" w:rsidRDefault="004A03F2" w:rsidP="004A03F2"/>
    <w:p w:rsidR="004A03F2" w:rsidRPr="004A03F2" w:rsidRDefault="004A03F2" w:rsidP="004A03F2">
      <w:pPr>
        <w:rPr>
          <w:rFonts w:ascii="Times New Roman" w:hAnsi="Times New Roman"/>
          <w:sz w:val="24"/>
          <w:szCs w:val="24"/>
        </w:rPr>
      </w:pPr>
      <w:r w:rsidRPr="004A03F2">
        <w:rPr>
          <w:rFonts w:ascii="Times New Roman" w:hAnsi="Times New Roman"/>
          <w:sz w:val="24"/>
          <w:szCs w:val="24"/>
        </w:rPr>
        <w:t>Comment on Section 2.8, Use of Registrars</w:t>
      </w:r>
    </w:p>
    <w:p w:rsidR="004A03F2" w:rsidRPr="004A03F2" w:rsidRDefault="004A03F2" w:rsidP="004A03F2">
      <w:pPr>
        <w:rPr>
          <w:rFonts w:ascii="Times New Roman" w:hAnsi="Times New Roman"/>
          <w:sz w:val="24"/>
          <w:szCs w:val="24"/>
        </w:rPr>
      </w:pPr>
      <w:r w:rsidRPr="004A03F2">
        <w:rPr>
          <w:rFonts w:ascii="Times New Roman" w:hAnsi="Times New Roman"/>
          <w:sz w:val="24"/>
          <w:szCs w:val="24"/>
        </w:rPr>
        <w:t> </w:t>
      </w:r>
    </w:p>
    <w:p w:rsidR="004A03F2" w:rsidRPr="004A03F2" w:rsidRDefault="004A03F2" w:rsidP="004A03F2">
      <w:pPr>
        <w:rPr>
          <w:rFonts w:ascii="Times New Roman" w:hAnsi="Times New Roman"/>
          <w:sz w:val="24"/>
          <w:szCs w:val="24"/>
        </w:rPr>
      </w:pPr>
      <w:r w:rsidRPr="004A03F2">
        <w:rPr>
          <w:rFonts w:ascii="Times New Roman" w:hAnsi="Times New Roman"/>
          <w:sz w:val="24"/>
          <w:szCs w:val="24"/>
        </w:rPr>
        <w:t xml:space="preserve">We believe that in order to promote a competitive marketplace between TLDs, the Registry/Registrar Cross-Ownership rule must be applied in a uniform manner.  This requires that the current rules be refined to eliminate existing loopholes by (i) adopting a clear definition of “affiliates”; and (ii) imposing consistency in the ownership restrictions faced by registries in owning registrars by applying the same restriction to registrars owning registries. Limiting Registry/Registrar cross-ownership promotes a level playing field.  We believe that there should be no exceptions to the cross-ownership restrictions  but would allow smaller registries (less than 50K names, e.g.) which are intended to serve smaller communities or a single business, and which would otherwise have a hard time attracting registrar support to work with either a single or a few  unaffiliated ICANN-accredited registrars.  We believe that at some size, even defined communities and single company TLDs should become a market option and should be treated as a non-restricted gTLD. Accordingly, we would recommend that Section 2.8 be revised as follows: </w:t>
      </w:r>
    </w:p>
    <w:p w:rsidR="004A03F2" w:rsidRPr="004A03F2" w:rsidRDefault="004A03F2" w:rsidP="004A03F2">
      <w:pPr>
        <w:rPr>
          <w:rFonts w:ascii="Times New Roman" w:hAnsi="Times New Roman"/>
          <w:sz w:val="24"/>
          <w:szCs w:val="24"/>
        </w:rPr>
      </w:pPr>
    </w:p>
    <w:p w:rsidR="004A03F2" w:rsidRPr="004A03F2" w:rsidRDefault="004A03F2" w:rsidP="004A03F2">
      <w:pPr>
        <w:rPr>
          <w:rFonts w:ascii="Times New Roman" w:hAnsi="Times New Roman"/>
          <w:i/>
          <w:color w:val="000000"/>
          <w:sz w:val="24"/>
          <w:szCs w:val="24"/>
        </w:rPr>
      </w:pPr>
      <w:r w:rsidRPr="004A03F2">
        <w:rPr>
          <w:rFonts w:ascii="Times New Roman" w:hAnsi="Times New Roman"/>
          <w:i/>
          <w:sz w:val="24"/>
          <w:szCs w:val="24"/>
          <w:u w:val="single"/>
        </w:rPr>
        <w:t>2.8 Use of Registrars</w:t>
      </w:r>
      <w:r w:rsidRPr="004A03F2">
        <w:rPr>
          <w:rFonts w:ascii="Times New Roman" w:hAnsi="Times New Roman"/>
          <w:i/>
          <w:color w:val="000000"/>
          <w:sz w:val="24"/>
          <w:szCs w:val="24"/>
        </w:rPr>
        <w:t>. (a) Registry Operator must use o</w:t>
      </w:r>
      <w:r w:rsidR="00B9350D">
        <w:rPr>
          <w:rFonts w:ascii="Times New Roman" w:hAnsi="Times New Roman"/>
          <w:i/>
          <w:color w:val="000000"/>
          <w:sz w:val="24"/>
          <w:szCs w:val="24"/>
        </w:rPr>
        <w:t>nly ICANN-accredited registrars</w:t>
      </w:r>
      <w:r w:rsidRPr="004A03F2">
        <w:rPr>
          <w:rFonts w:ascii="Times New Roman" w:hAnsi="Times New Roman"/>
          <w:i/>
          <w:color w:val="000000"/>
          <w:sz w:val="24"/>
          <w:szCs w:val="24"/>
        </w:rPr>
        <w:t xml:space="preserve"> that are not Affiliates of the Registry Operator, in registering domain names within the TLD. Registry Operator must provide non-discriminatory access to Registry Services to all ICANN-accredited registrars that enter into and are in compliance with Registry Operator’s registry-registrar agreement for the TLD. Registry Operator must use a uniform agreement with all registrars authorized to register names in the TLD, which may be revised by Registry Operator from time to time, provided however, that any such revisions must be approved in advance by ICANN.  As long as the number of names registered in the TLD is no more than 50,000 and either  (i) the TLD is a “single registrant” TLD, or (ii) the TLD is a “community-based” TLD, the Registry Operator may limit the number of ICANN accredited registrars with whom it enters into a registry-registrar agreement.</w:t>
      </w:r>
    </w:p>
    <w:p w:rsidR="004A03F2" w:rsidRPr="004A03F2" w:rsidRDefault="004A03F2" w:rsidP="004A03F2">
      <w:pPr>
        <w:rPr>
          <w:rFonts w:ascii="Times New Roman" w:hAnsi="Times New Roman"/>
          <w:i/>
          <w:color w:val="000000"/>
          <w:sz w:val="24"/>
          <w:szCs w:val="24"/>
        </w:rPr>
      </w:pPr>
    </w:p>
    <w:p w:rsidR="004A03F2" w:rsidRPr="004A03F2" w:rsidRDefault="004A03F2" w:rsidP="004A03F2">
      <w:pPr>
        <w:rPr>
          <w:rFonts w:ascii="Times New Roman" w:hAnsi="Times New Roman"/>
          <w:i/>
          <w:color w:val="000000"/>
          <w:sz w:val="24"/>
          <w:szCs w:val="24"/>
        </w:rPr>
      </w:pPr>
      <w:r w:rsidRPr="004A03F2">
        <w:rPr>
          <w:rFonts w:ascii="Times New Roman" w:hAnsi="Times New Roman"/>
          <w:i/>
          <w:color w:val="000000"/>
          <w:sz w:val="24"/>
          <w:szCs w:val="24"/>
        </w:rPr>
        <w:t xml:space="preserve">(b) “Affiliate” shall mean a specified person or entity that directly or indirectly through one or more intermediaries, controls or is controlled by, or is under common control with, the person or entity specified. </w:t>
      </w:r>
    </w:p>
    <w:p w:rsidR="004A03F2" w:rsidRPr="004A03F2" w:rsidRDefault="004A03F2" w:rsidP="004A03F2">
      <w:pPr>
        <w:rPr>
          <w:rFonts w:ascii="Times New Roman" w:hAnsi="Times New Roman"/>
          <w:i/>
          <w:color w:val="000000"/>
          <w:sz w:val="24"/>
          <w:szCs w:val="24"/>
        </w:rPr>
      </w:pPr>
    </w:p>
    <w:p w:rsidR="004A03F2" w:rsidRPr="004A03F2" w:rsidRDefault="004A03F2" w:rsidP="004A03F2">
      <w:pPr>
        <w:rPr>
          <w:rFonts w:ascii="Times New Roman" w:hAnsi="Times New Roman"/>
          <w:i/>
          <w:color w:val="000000"/>
          <w:sz w:val="24"/>
          <w:szCs w:val="24"/>
        </w:rPr>
      </w:pPr>
      <w:r w:rsidRPr="004A03F2">
        <w:rPr>
          <w:rFonts w:ascii="Times New Roman" w:hAnsi="Times New Roman"/>
          <w:i/>
          <w:color w:val="000000"/>
          <w:sz w:val="24"/>
          <w:szCs w:val="24"/>
        </w:rPr>
        <w:t>(c) The term “</w:t>
      </w:r>
      <w:r w:rsidRPr="004A03F2">
        <w:rPr>
          <w:rFonts w:ascii="Times New Roman" w:hAnsi="Times New Roman"/>
          <w:bCs/>
          <w:i/>
          <w:iCs/>
          <w:color w:val="000000"/>
          <w:sz w:val="24"/>
          <w:szCs w:val="24"/>
        </w:rPr>
        <w:t>control”</w:t>
      </w:r>
      <w:r w:rsidRPr="004A03F2">
        <w:rPr>
          <w:rFonts w:ascii="Times New Roman" w:hAnsi="Times New Roman"/>
          <w:bCs/>
          <w:i/>
          <w:color w:val="000000"/>
          <w:sz w:val="24"/>
          <w:szCs w:val="24"/>
        </w:rPr>
        <w:t xml:space="preserve"> </w:t>
      </w:r>
      <w:r w:rsidRPr="004A03F2">
        <w:rPr>
          <w:rFonts w:ascii="Times New Roman" w:hAnsi="Times New Roman"/>
          <w:i/>
          <w:color w:val="000000"/>
          <w:sz w:val="24"/>
          <w:szCs w:val="24"/>
        </w:rPr>
        <w:t>(including the terms “</w:t>
      </w:r>
      <w:r w:rsidRPr="004A03F2">
        <w:rPr>
          <w:rFonts w:ascii="Times New Roman" w:hAnsi="Times New Roman"/>
          <w:bCs/>
          <w:i/>
          <w:iCs/>
          <w:color w:val="000000"/>
          <w:sz w:val="24"/>
          <w:szCs w:val="24"/>
        </w:rPr>
        <w:t>controlling”</w:t>
      </w:r>
      <w:r w:rsidRPr="004A03F2">
        <w:rPr>
          <w:rFonts w:ascii="Times New Roman" w:hAnsi="Times New Roman"/>
          <w:i/>
          <w:iCs/>
          <w:color w:val="000000"/>
          <w:sz w:val="24"/>
          <w:szCs w:val="24"/>
        </w:rPr>
        <w:t>,</w:t>
      </w:r>
      <w:r w:rsidRPr="004A03F2">
        <w:rPr>
          <w:rFonts w:ascii="Times New Roman" w:hAnsi="Times New Roman"/>
          <w:i/>
          <w:color w:val="000000"/>
          <w:sz w:val="24"/>
          <w:szCs w:val="24"/>
        </w:rPr>
        <w:t xml:space="preserve"> “</w:t>
      </w:r>
      <w:r w:rsidRPr="004A03F2">
        <w:rPr>
          <w:rFonts w:ascii="Times New Roman" w:hAnsi="Times New Roman"/>
          <w:bCs/>
          <w:i/>
          <w:iCs/>
          <w:color w:val="000000"/>
          <w:sz w:val="24"/>
          <w:szCs w:val="24"/>
        </w:rPr>
        <w:t>controlled by”</w:t>
      </w:r>
      <w:r w:rsidRPr="004A03F2">
        <w:rPr>
          <w:rFonts w:ascii="Times New Roman" w:hAnsi="Times New Roman"/>
          <w:i/>
          <w:color w:val="000000"/>
          <w:sz w:val="24"/>
          <w:szCs w:val="24"/>
        </w:rPr>
        <w:t xml:space="preserve"> and “</w:t>
      </w:r>
      <w:r w:rsidRPr="004A03F2">
        <w:rPr>
          <w:rFonts w:ascii="Times New Roman" w:hAnsi="Times New Roman"/>
          <w:bCs/>
          <w:i/>
          <w:iCs/>
          <w:color w:val="000000"/>
          <w:sz w:val="24"/>
          <w:szCs w:val="24"/>
        </w:rPr>
        <w:t>under common control with”</w:t>
      </w:r>
      <w:r w:rsidRPr="004A03F2">
        <w:rPr>
          <w:rFonts w:ascii="Times New Roman" w:hAnsi="Times New Roman"/>
          <w:i/>
          <w:color w:val="000000"/>
          <w:sz w:val="24"/>
          <w:szCs w:val="24"/>
        </w:rPr>
        <w:t>) means the possession, direct or indirect, of the power to direct or cause the direction of the management and policies of a person or entity, whether through the ownership of voting  or debt  securities, by contract, or otherwise.</w:t>
      </w:r>
    </w:p>
    <w:p w:rsidR="004A03F2" w:rsidRPr="004A03F2" w:rsidRDefault="004A03F2" w:rsidP="004A03F2">
      <w:pPr>
        <w:rPr>
          <w:rFonts w:ascii="Times New Roman" w:hAnsi="Times New Roman"/>
          <w:i/>
          <w:color w:val="000000"/>
          <w:sz w:val="24"/>
          <w:szCs w:val="24"/>
        </w:rPr>
      </w:pPr>
    </w:p>
    <w:p w:rsidR="004A03F2" w:rsidRPr="004A03F2" w:rsidRDefault="004A03F2" w:rsidP="004A03F2">
      <w:pPr>
        <w:rPr>
          <w:rFonts w:ascii="Times New Roman" w:hAnsi="Times New Roman"/>
          <w:i/>
          <w:color w:val="000000"/>
          <w:sz w:val="24"/>
          <w:szCs w:val="24"/>
        </w:rPr>
      </w:pPr>
      <w:r w:rsidRPr="004A03F2">
        <w:rPr>
          <w:rFonts w:ascii="Times New Roman" w:hAnsi="Times New Roman"/>
          <w:i/>
          <w:color w:val="000000"/>
          <w:sz w:val="24"/>
          <w:szCs w:val="24"/>
        </w:rPr>
        <w:t>(d) The term</w:t>
      </w:r>
      <w:r w:rsidRPr="004A03F2">
        <w:rPr>
          <w:rFonts w:ascii="Times New Roman" w:hAnsi="Times New Roman"/>
          <w:sz w:val="24"/>
          <w:szCs w:val="24"/>
        </w:rPr>
        <w:t xml:space="preserve"> </w:t>
      </w:r>
      <w:r w:rsidRPr="004A03F2">
        <w:rPr>
          <w:rFonts w:ascii="Times New Roman" w:hAnsi="Times New Roman"/>
          <w:i/>
          <w:color w:val="000000"/>
          <w:sz w:val="24"/>
          <w:szCs w:val="24"/>
        </w:rPr>
        <w:t xml:space="preserve">“single registrant” TLD shall mean a TLD in which (i) all domain name registrations are registered to a single person, business or other entity and not to any party other </w:t>
      </w:r>
      <w:r w:rsidRPr="004A03F2">
        <w:rPr>
          <w:rFonts w:ascii="Times New Roman" w:hAnsi="Times New Roman"/>
          <w:i/>
          <w:color w:val="000000"/>
          <w:sz w:val="24"/>
          <w:szCs w:val="24"/>
        </w:rPr>
        <w:lastRenderedPageBreak/>
        <w:t>than the single person, business or other entity, and (ii) proxy and anonymous domain name registrations are not offered and (iii) no person, business or entity who is not an Affiliate is granted rights to use any of the domain names.</w:t>
      </w:r>
    </w:p>
    <w:p w:rsidR="004A03F2" w:rsidRPr="004A03F2" w:rsidRDefault="004A03F2" w:rsidP="004A03F2">
      <w:pPr>
        <w:rPr>
          <w:rFonts w:ascii="Times New Roman" w:hAnsi="Times New Roman"/>
          <w:i/>
          <w:color w:val="FF0000"/>
          <w:sz w:val="24"/>
          <w:szCs w:val="24"/>
        </w:rPr>
      </w:pPr>
    </w:p>
    <w:p w:rsidR="00D36073" w:rsidRDefault="004A03F2" w:rsidP="004A03F2">
      <w:pPr>
        <w:rPr>
          <w:rFonts w:ascii="Times New Roman" w:hAnsi="Times New Roman"/>
          <w:i/>
          <w:color w:val="000000"/>
          <w:sz w:val="24"/>
          <w:szCs w:val="24"/>
        </w:rPr>
      </w:pPr>
      <w:r w:rsidRPr="004A03F2">
        <w:rPr>
          <w:rFonts w:ascii="Times New Roman" w:hAnsi="Times New Roman"/>
          <w:i/>
          <w:color w:val="000000"/>
          <w:sz w:val="24"/>
          <w:szCs w:val="24"/>
        </w:rPr>
        <w:t xml:space="preserve">(e) The term “community-based” TLD shall mean a TLD that is operated for the benefit of a defined existing community consisting of a restricted population which self-identify as members of the community.  The following shall </w:t>
      </w:r>
      <w:r w:rsidRPr="004A03F2">
        <w:rPr>
          <w:rFonts w:ascii="Times New Roman" w:hAnsi="Times New Roman"/>
          <w:i/>
          <w:color w:val="000000"/>
          <w:sz w:val="24"/>
          <w:szCs w:val="24"/>
          <w:u w:val="single"/>
        </w:rPr>
        <w:t>not</w:t>
      </w:r>
      <w:r w:rsidRPr="004A03F2">
        <w:rPr>
          <w:rFonts w:ascii="Times New Roman" w:hAnsi="Times New Roman"/>
          <w:i/>
          <w:color w:val="000000"/>
          <w:sz w:val="24"/>
          <w:szCs w:val="24"/>
        </w:rPr>
        <w:t xml:space="preserve"> be deemed to be a community: (i) a subscriber or customer base; (ii) a business and its affiliated entities; (iii) a country or other region that is represented by a ccTLD; or (iv) a language</w:t>
      </w:r>
      <w:r w:rsidRPr="004A03F2">
        <w:rPr>
          <w:rFonts w:ascii="Times New Roman" w:hAnsi="Times New Roman"/>
          <w:sz w:val="24"/>
          <w:szCs w:val="24"/>
        </w:rPr>
        <w:t xml:space="preserve"> </w:t>
      </w:r>
      <w:r w:rsidRPr="004A03F2">
        <w:rPr>
          <w:rFonts w:ascii="Times New Roman" w:hAnsi="Times New Roman"/>
          <w:i/>
          <w:color w:val="000000"/>
          <w:sz w:val="24"/>
          <w:szCs w:val="24"/>
        </w:rPr>
        <w:t>except in cases where the TLD directly refers to a UNESCO-recognized language.”</w:t>
      </w:r>
    </w:p>
    <w:p w:rsidR="00D36073" w:rsidRDefault="00D36073" w:rsidP="004A03F2">
      <w:pPr>
        <w:rPr>
          <w:rFonts w:ascii="Times New Roman" w:hAnsi="Times New Roman"/>
          <w:i/>
          <w:color w:val="000000"/>
          <w:sz w:val="24"/>
          <w:szCs w:val="24"/>
        </w:rPr>
      </w:pPr>
    </w:p>
    <w:p w:rsidR="00D36073" w:rsidRDefault="00D36073" w:rsidP="00D36073">
      <w:pPr>
        <w:rPr>
          <w:rFonts w:ascii="Times New Roman" w:hAnsi="Times New Roman"/>
          <w:i/>
          <w:color w:val="000000"/>
          <w:sz w:val="24"/>
          <w:szCs w:val="24"/>
        </w:rPr>
      </w:pPr>
    </w:p>
    <w:p w:rsidR="00D36073" w:rsidRDefault="00D36073" w:rsidP="00D36073">
      <w:pPr>
        <w:rPr>
          <w:rFonts w:ascii="Times New Roman" w:hAnsi="Times New Roman"/>
          <w:color w:val="000000"/>
          <w:sz w:val="24"/>
          <w:szCs w:val="24"/>
        </w:rPr>
      </w:pPr>
      <w:r w:rsidRPr="00D36073">
        <w:rPr>
          <w:rFonts w:ascii="Times New Roman" w:hAnsi="Times New Roman"/>
          <w:color w:val="000000"/>
          <w:sz w:val="24"/>
          <w:szCs w:val="24"/>
          <w:u w:val="single"/>
        </w:rPr>
        <w:t>RegistryPro additional comment</w:t>
      </w:r>
      <w:r>
        <w:rPr>
          <w:rFonts w:ascii="Times New Roman" w:hAnsi="Times New Roman"/>
          <w:color w:val="000000"/>
          <w:sz w:val="24"/>
          <w:szCs w:val="24"/>
        </w:rPr>
        <w:t>:</w:t>
      </w:r>
    </w:p>
    <w:p w:rsidR="00D36073" w:rsidRDefault="00D36073" w:rsidP="00D36073">
      <w:pPr>
        <w:rPr>
          <w:rFonts w:ascii="Times New Roman" w:hAnsi="Times New Roman"/>
          <w:color w:val="000000"/>
          <w:sz w:val="24"/>
          <w:szCs w:val="24"/>
        </w:rPr>
      </w:pPr>
    </w:p>
    <w:p w:rsidR="00D36073" w:rsidRPr="00FE083F" w:rsidRDefault="00D36073" w:rsidP="00D36073">
      <w:pPr>
        <w:rPr>
          <w:rFonts w:ascii="Times New Roman" w:hAnsi="Times New Roman"/>
          <w:color w:val="000000"/>
          <w:sz w:val="24"/>
          <w:szCs w:val="24"/>
        </w:rPr>
      </w:pPr>
      <w:r>
        <w:rPr>
          <w:rFonts w:ascii="Times New Roman" w:hAnsi="Times New Roman"/>
          <w:color w:val="000000"/>
          <w:sz w:val="24"/>
          <w:szCs w:val="24"/>
        </w:rPr>
        <w:t>In the event that ICANN's resolution to this issue includes restricting the services that registries can provide, by ownership of registrars or otherwise, an exception for early stage, small, community based and single owner registries ought to be considered so that these registries are not unduly constrained in their ability to distribute names.</w:t>
      </w:r>
    </w:p>
    <w:p w:rsidR="00D36073" w:rsidRPr="00BA15FE" w:rsidRDefault="00D36073" w:rsidP="00D36073">
      <w:pPr>
        <w:rPr>
          <w:rFonts w:ascii="Times New Roman" w:hAnsi="Times New Roman"/>
          <w:color w:val="000000"/>
          <w:sz w:val="24"/>
          <w:szCs w:val="24"/>
        </w:rPr>
      </w:pPr>
    </w:p>
    <w:p w:rsidR="004A03F2" w:rsidRPr="004A03F2" w:rsidRDefault="004A03F2" w:rsidP="004A03F2">
      <w:pPr>
        <w:rPr>
          <w:rFonts w:ascii="Times New Roman" w:hAnsi="Times New Roman"/>
          <w:i/>
          <w:color w:val="000000"/>
          <w:sz w:val="24"/>
          <w:szCs w:val="24"/>
        </w:rPr>
      </w:pPr>
      <w:r w:rsidRPr="004A03F2">
        <w:rPr>
          <w:rFonts w:ascii="Times New Roman" w:hAnsi="Times New Roman"/>
          <w:i/>
          <w:color w:val="000000"/>
          <w:sz w:val="24"/>
          <w:szCs w:val="24"/>
        </w:rPr>
        <w:t xml:space="preserve"> </w:t>
      </w:r>
    </w:p>
    <w:p w:rsidR="004A03F2" w:rsidRPr="004A03F2" w:rsidRDefault="004A03F2" w:rsidP="00AC7E57">
      <w:pPr>
        <w:ind w:left="360"/>
        <w:rPr>
          <w:rFonts w:ascii="Times New Roman" w:hAnsi="Times New Roman"/>
          <w:sz w:val="24"/>
          <w:szCs w:val="24"/>
        </w:rPr>
      </w:pPr>
    </w:p>
    <w:p w:rsidR="00BC69CD" w:rsidRDefault="00BC69CD" w:rsidP="00BC69CD">
      <w:pPr>
        <w:pStyle w:val="Default"/>
        <w:spacing w:before="240" w:after="120"/>
        <w:ind w:firstLine="720"/>
        <w:rPr>
          <w:rFonts w:ascii="Times New Roman" w:hAnsi="Times New Roman" w:cs="Times New Roman"/>
        </w:rPr>
      </w:pPr>
    </w:p>
    <w:p w:rsidR="00E018EA" w:rsidRPr="00AC7E57" w:rsidRDefault="00E018EA" w:rsidP="00AC7E57">
      <w:pPr>
        <w:ind w:left="360"/>
        <w:rPr>
          <w:rFonts w:ascii="Times New Roman" w:hAnsi="Times New Roman"/>
          <w:sz w:val="24"/>
          <w:szCs w:val="24"/>
        </w:rPr>
      </w:pPr>
    </w:p>
    <w:sectPr w:rsidR="00E018EA" w:rsidRPr="00AC7E57" w:rsidSect="0030698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366" w:rsidRDefault="00634366" w:rsidP="00AC7E57">
      <w:r>
        <w:separator/>
      </w:r>
    </w:p>
  </w:endnote>
  <w:endnote w:type="continuationSeparator" w:id="1">
    <w:p w:rsidR="00634366" w:rsidRDefault="00634366" w:rsidP="00AC7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40235"/>
      <w:docPartObj>
        <w:docPartGallery w:val="Page Numbers (Bottom of Page)"/>
        <w:docPartUnique/>
      </w:docPartObj>
    </w:sdtPr>
    <w:sdtContent>
      <w:p w:rsidR="00E41C1D" w:rsidRDefault="00E41C1D">
        <w:pPr>
          <w:pStyle w:val="Footer"/>
          <w:jc w:val="center"/>
        </w:pPr>
        <w:fldSimple w:instr=" PAGE   \* MERGEFORMAT ">
          <w:r w:rsidR="00D17A86">
            <w:rPr>
              <w:noProof/>
            </w:rPr>
            <w:t>1</w:t>
          </w:r>
        </w:fldSimple>
      </w:p>
    </w:sdtContent>
  </w:sdt>
  <w:p w:rsidR="00E41C1D" w:rsidRDefault="00E41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366" w:rsidRDefault="00634366" w:rsidP="00AC7E57">
      <w:r>
        <w:separator/>
      </w:r>
    </w:p>
  </w:footnote>
  <w:footnote w:type="continuationSeparator" w:id="1">
    <w:p w:rsidR="00634366" w:rsidRDefault="00634366" w:rsidP="00AC7E57">
      <w:r>
        <w:continuationSeparator/>
      </w:r>
    </w:p>
  </w:footnote>
  <w:footnote w:id="2">
    <w:p w:rsidR="006E1531" w:rsidRDefault="006E1531" w:rsidP="006E1531">
      <w:pPr>
        <w:pStyle w:val="FootnoteText"/>
      </w:pPr>
      <w:r>
        <w:rPr>
          <w:rStyle w:val="FootnoteReference"/>
        </w:rPr>
        <w:footnoteRef/>
      </w:r>
      <w:r>
        <w:t xml:space="preserve"> </w:t>
      </w:r>
      <w:hyperlink r:id="rId1" w:history="1">
        <w:r w:rsidRPr="001409FD">
          <w:rPr>
            <w:rStyle w:val="Hyperlink"/>
            <w:rFonts w:ascii="Times New Roman" w:hAnsi="Times New Roman"/>
            <w:sz w:val="24"/>
            <w:szCs w:val="24"/>
          </w:rPr>
          <w:t>http://www.icann.org/en/topics/new-gtlds/crai-report-24oct08-en.pdf</w:t>
        </w:r>
      </w:hyperlink>
    </w:p>
  </w:footnote>
  <w:footnote w:id="3">
    <w:p w:rsidR="004A03F2" w:rsidRDefault="004A03F2" w:rsidP="004A03F2">
      <w:pPr>
        <w:pStyle w:val="FootnoteText"/>
      </w:pPr>
      <w:r w:rsidRPr="008D07A7">
        <w:rPr>
          <w:rStyle w:val="FootnoteReference"/>
        </w:rPr>
        <w:footnoteRef/>
      </w:r>
      <w:r w:rsidRPr="008D07A7">
        <w:t xml:space="preserve"> All top-level domain sponsors or registry operators that have agreements with ICANN to provide Registry Services in support of one or more gTLDs are eligible for membership upon the “effective date” set forth in the operator’s or sponsor’s agreement</w:t>
      </w:r>
      <w:r>
        <w:t xml:space="preserve"> (Article III, Membership, ¶ 1). T</w:t>
      </w:r>
      <w:r w:rsidRPr="008D07A7">
        <w:t>he</w:t>
      </w:r>
      <w:r>
        <w:t xml:space="preserve"> RyC Articles of Operations can be found at </w:t>
      </w:r>
      <w:hyperlink r:id="rId2" w:history="1">
        <w:r w:rsidRPr="00D11A37">
          <w:rPr>
            <w:rStyle w:val="Hyperlink"/>
          </w:rPr>
          <w:t>http://www.gtldregistries.org/about_us/articles</w:t>
        </w:r>
      </w:hyperlink>
      <w:r>
        <w:t xml:space="preserve"> . </w:t>
      </w:r>
    </w:p>
  </w:footnote>
  <w:footnote w:id="4">
    <w:p w:rsidR="004A03F2" w:rsidRDefault="004A03F2" w:rsidP="004A03F2">
      <w:pPr>
        <w:pStyle w:val="FootnoteText"/>
      </w:pPr>
      <w:r>
        <w:rPr>
          <w:rStyle w:val="FootnoteReference"/>
        </w:rPr>
        <w:footnoteRef/>
      </w:r>
      <w:r>
        <w:t xml:space="preserve"> Per the RyC Articles of Operations, Article III, Membership, ¶ 4: </w:t>
      </w:r>
      <w:r>
        <w:rPr>
          <w:rFonts w:ascii="Arial" w:hAnsi="Arial" w:cs="Arial"/>
        </w:rPr>
        <w:t>Members shall be classified as “Active” or “Inactive”. A member shall be classified as “Active” unless it is classified as “Inactive” pursuant to the provisions of this paragraph.  Members become Inactive by failing to participate in a Constituency meeting or voting process for a total of three consecutive meetings or voting processes or both, or by failing to participate in meetings or voting processes, or both, for six weeks, whichever is shorter.  An Inactive member shall have all rights and duties of membership other than being counted as present or absent in the determination of a quorum. An Inactive member may resume Active status at any time by participating in a Constituency meeting or by voting.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2646B"/>
    <w:multiLevelType w:val="hybridMultilevel"/>
    <w:tmpl w:val="3BF9AE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25EA0C"/>
    <w:multiLevelType w:val="hybridMultilevel"/>
    <w:tmpl w:val="EE5946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20D35D"/>
    <w:multiLevelType w:val="hybridMultilevel"/>
    <w:tmpl w:val="3EA63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5E6FF6"/>
    <w:multiLevelType w:val="hybridMultilevel"/>
    <w:tmpl w:val="90BDB3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E9AA01"/>
    <w:multiLevelType w:val="hybridMultilevel"/>
    <w:tmpl w:val="03CBC2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C2611C"/>
    <w:multiLevelType w:val="hybridMultilevel"/>
    <w:tmpl w:val="454CAA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F76E0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D04A88"/>
    <w:multiLevelType w:val="hybridMultilevel"/>
    <w:tmpl w:val="5498D8E8"/>
    <w:lvl w:ilvl="0" w:tplc="9DD0B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4360A"/>
    <w:multiLevelType w:val="hybridMultilevel"/>
    <w:tmpl w:val="65E4569A"/>
    <w:lvl w:ilvl="0" w:tplc="8A8A5A6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ECF7"/>
    <w:multiLevelType w:val="hybridMultilevel"/>
    <w:tmpl w:val="03203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E1367F"/>
    <w:multiLevelType w:val="hybridMultilevel"/>
    <w:tmpl w:val="9AB0B7EC"/>
    <w:lvl w:ilvl="0" w:tplc="BC848696">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386896"/>
    <w:multiLevelType w:val="hybridMultilevel"/>
    <w:tmpl w:val="31A4BC96"/>
    <w:lvl w:ilvl="0" w:tplc="D668E5A0">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F3BAC"/>
    <w:multiLevelType w:val="hybridMultilevel"/>
    <w:tmpl w:val="C4DEEFC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8E386C"/>
    <w:multiLevelType w:val="hybridMultilevel"/>
    <w:tmpl w:val="69CF8E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76D312B"/>
    <w:multiLevelType w:val="hybridMultilevel"/>
    <w:tmpl w:val="1D825C84"/>
    <w:lvl w:ilvl="0" w:tplc="0C5A202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DE63A7"/>
    <w:multiLevelType w:val="hybridMultilevel"/>
    <w:tmpl w:val="DA0AA3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55401D"/>
    <w:multiLevelType w:val="hybridMultilevel"/>
    <w:tmpl w:val="0988146A"/>
    <w:lvl w:ilvl="0" w:tplc="D62A9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49CD2"/>
    <w:multiLevelType w:val="hybridMultilevel"/>
    <w:tmpl w:val="5D379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17"/>
  </w:num>
  <w:num w:numId="4">
    <w:abstractNumId w:val="5"/>
  </w:num>
  <w:num w:numId="5">
    <w:abstractNumId w:val="15"/>
  </w:num>
  <w:num w:numId="6">
    <w:abstractNumId w:val="13"/>
  </w:num>
  <w:num w:numId="7">
    <w:abstractNumId w:val="4"/>
  </w:num>
  <w:num w:numId="8">
    <w:abstractNumId w:val="0"/>
  </w:num>
  <w:num w:numId="9">
    <w:abstractNumId w:val="9"/>
  </w:num>
  <w:num w:numId="10">
    <w:abstractNumId w:val="3"/>
  </w:num>
  <w:num w:numId="11">
    <w:abstractNumId w:val="1"/>
  </w:num>
  <w:num w:numId="12">
    <w:abstractNumId w:val="10"/>
  </w:num>
  <w:num w:numId="13">
    <w:abstractNumId w:val="8"/>
  </w:num>
  <w:num w:numId="14">
    <w:abstractNumId w:val="16"/>
  </w:num>
  <w:num w:numId="15">
    <w:abstractNumId w:val="14"/>
  </w:num>
  <w:num w:numId="16">
    <w:abstractNumId w:val="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7991"/>
    <w:rsid w:val="00075F94"/>
    <w:rsid w:val="000A452A"/>
    <w:rsid w:val="000B6AE7"/>
    <w:rsid w:val="000C0F13"/>
    <w:rsid w:val="000D2F7C"/>
    <w:rsid w:val="0018221C"/>
    <w:rsid w:val="001B4D7F"/>
    <w:rsid w:val="00225E2B"/>
    <w:rsid w:val="00227991"/>
    <w:rsid w:val="002D0ED2"/>
    <w:rsid w:val="002F531F"/>
    <w:rsid w:val="0030130B"/>
    <w:rsid w:val="0030698C"/>
    <w:rsid w:val="00320D76"/>
    <w:rsid w:val="00326531"/>
    <w:rsid w:val="003544CB"/>
    <w:rsid w:val="003C6C71"/>
    <w:rsid w:val="003E2BD7"/>
    <w:rsid w:val="00453B30"/>
    <w:rsid w:val="0048376A"/>
    <w:rsid w:val="00486ED6"/>
    <w:rsid w:val="004A03F2"/>
    <w:rsid w:val="00516256"/>
    <w:rsid w:val="005255C8"/>
    <w:rsid w:val="00593F22"/>
    <w:rsid w:val="0063074A"/>
    <w:rsid w:val="00634366"/>
    <w:rsid w:val="00662036"/>
    <w:rsid w:val="006D760B"/>
    <w:rsid w:val="006E1531"/>
    <w:rsid w:val="00772ED5"/>
    <w:rsid w:val="007B5E6B"/>
    <w:rsid w:val="007C116A"/>
    <w:rsid w:val="007F3801"/>
    <w:rsid w:val="008726F2"/>
    <w:rsid w:val="008B6DF4"/>
    <w:rsid w:val="00940FD0"/>
    <w:rsid w:val="0097530F"/>
    <w:rsid w:val="009A44B8"/>
    <w:rsid w:val="009E70A1"/>
    <w:rsid w:val="009F5299"/>
    <w:rsid w:val="009F5B12"/>
    <w:rsid w:val="00A0162C"/>
    <w:rsid w:val="00A07E46"/>
    <w:rsid w:val="00A12F68"/>
    <w:rsid w:val="00A41AE8"/>
    <w:rsid w:val="00A906C9"/>
    <w:rsid w:val="00AB2976"/>
    <w:rsid w:val="00AC7E57"/>
    <w:rsid w:val="00AE7A88"/>
    <w:rsid w:val="00B41C5E"/>
    <w:rsid w:val="00B9350D"/>
    <w:rsid w:val="00BC69CD"/>
    <w:rsid w:val="00BE644F"/>
    <w:rsid w:val="00C04108"/>
    <w:rsid w:val="00C346D1"/>
    <w:rsid w:val="00CB3AF9"/>
    <w:rsid w:val="00CD3C02"/>
    <w:rsid w:val="00CE2B12"/>
    <w:rsid w:val="00CF0EFB"/>
    <w:rsid w:val="00D17A86"/>
    <w:rsid w:val="00D36073"/>
    <w:rsid w:val="00DA13FE"/>
    <w:rsid w:val="00E018EA"/>
    <w:rsid w:val="00E41C1D"/>
    <w:rsid w:val="00E84253"/>
    <w:rsid w:val="00F0148F"/>
    <w:rsid w:val="00F16132"/>
    <w:rsid w:val="00F7632C"/>
    <w:rsid w:val="00F8068A"/>
    <w:rsid w:val="00F868D2"/>
    <w:rsid w:val="00FE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91"/>
    <w:pPr>
      <w:spacing w:after="0" w:line="240" w:lineRule="auto"/>
    </w:pPr>
    <w:rPr>
      <w:rFonts w:ascii="Calibri" w:hAnsi="Calibri" w:cs="Times New Roman"/>
    </w:rPr>
  </w:style>
  <w:style w:type="paragraph" w:styleId="Heading2">
    <w:name w:val="heading 2"/>
    <w:basedOn w:val="Normal"/>
    <w:next w:val="Normal"/>
    <w:link w:val="Heading2Char"/>
    <w:qFormat/>
    <w:rsid w:val="004A03F2"/>
    <w:pPr>
      <w:keepNext/>
      <w:outlineLvl w:val="1"/>
    </w:pPr>
    <w:rPr>
      <w:rFonts w:ascii="Times New Roman" w:eastAsia="Times New Roman" w:hAnsi="Times New Roman"/>
      <w:color w:val="3366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91"/>
    <w:pPr>
      <w:ind w:left="720"/>
      <w:contextualSpacing/>
    </w:pPr>
  </w:style>
  <w:style w:type="paragraph" w:styleId="FootnoteText">
    <w:name w:val="footnote text"/>
    <w:basedOn w:val="Normal"/>
    <w:link w:val="FootnoteTextChar"/>
    <w:semiHidden/>
    <w:unhideWhenUsed/>
    <w:rsid w:val="00AC7E57"/>
    <w:rPr>
      <w:sz w:val="20"/>
      <w:szCs w:val="20"/>
    </w:rPr>
  </w:style>
  <w:style w:type="character" w:customStyle="1" w:styleId="FootnoteTextChar">
    <w:name w:val="Footnote Text Char"/>
    <w:basedOn w:val="DefaultParagraphFont"/>
    <w:link w:val="FootnoteText"/>
    <w:uiPriority w:val="99"/>
    <w:semiHidden/>
    <w:rsid w:val="00AC7E57"/>
    <w:rPr>
      <w:rFonts w:ascii="Calibri" w:hAnsi="Calibri" w:cs="Times New Roman"/>
      <w:sz w:val="20"/>
      <w:szCs w:val="20"/>
    </w:rPr>
  </w:style>
  <w:style w:type="character" w:styleId="FootnoteReference">
    <w:name w:val="footnote reference"/>
    <w:basedOn w:val="DefaultParagraphFont"/>
    <w:semiHidden/>
    <w:unhideWhenUsed/>
    <w:rsid w:val="00AC7E57"/>
    <w:rPr>
      <w:vertAlign w:val="superscript"/>
    </w:rPr>
  </w:style>
  <w:style w:type="character" w:styleId="Hyperlink">
    <w:name w:val="Hyperlink"/>
    <w:basedOn w:val="DefaultParagraphFont"/>
    <w:uiPriority w:val="99"/>
    <w:unhideWhenUsed/>
    <w:rsid w:val="00AC7E57"/>
    <w:rPr>
      <w:color w:val="0000FF" w:themeColor="hyperlink"/>
      <w:u w:val="single"/>
    </w:rPr>
  </w:style>
  <w:style w:type="paragraph" w:customStyle="1" w:styleId="Default">
    <w:name w:val="Default"/>
    <w:rsid w:val="000B6AE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4A03F2"/>
    <w:rPr>
      <w:rFonts w:ascii="Times New Roman" w:eastAsia="Times New Roman" w:hAnsi="Times New Roman" w:cs="Times New Roman"/>
      <w:color w:val="3366FF"/>
      <w:sz w:val="24"/>
      <w:szCs w:val="24"/>
      <w:u w:val="single"/>
    </w:rPr>
  </w:style>
  <w:style w:type="paragraph" w:styleId="Header">
    <w:name w:val="header"/>
    <w:basedOn w:val="Normal"/>
    <w:link w:val="HeaderChar"/>
    <w:uiPriority w:val="99"/>
    <w:semiHidden/>
    <w:unhideWhenUsed/>
    <w:rsid w:val="00E41C1D"/>
    <w:pPr>
      <w:tabs>
        <w:tab w:val="center" w:pos="4680"/>
        <w:tab w:val="right" w:pos="9360"/>
      </w:tabs>
    </w:pPr>
  </w:style>
  <w:style w:type="character" w:customStyle="1" w:styleId="HeaderChar">
    <w:name w:val="Header Char"/>
    <w:basedOn w:val="DefaultParagraphFont"/>
    <w:link w:val="Header"/>
    <w:uiPriority w:val="99"/>
    <w:semiHidden/>
    <w:rsid w:val="00E41C1D"/>
    <w:rPr>
      <w:rFonts w:ascii="Calibri" w:hAnsi="Calibri" w:cs="Times New Roman"/>
    </w:rPr>
  </w:style>
  <w:style w:type="paragraph" w:styleId="Footer">
    <w:name w:val="footer"/>
    <w:basedOn w:val="Normal"/>
    <w:link w:val="FooterChar"/>
    <w:uiPriority w:val="99"/>
    <w:unhideWhenUsed/>
    <w:rsid w:val="00E41C1D"/>
    <w:pPr>
      <w:tabs>
        <w:tab w:val="center" w:pos="4680"/>
        <w:tab w:val="right" w:pos="9360"/>
      </w:tabs>
    </w:pPr>
  </w:style>
  <w:style w:type="character" w:customStyle="1" w:styleId="FooterChar">
    <w:name w:val="Footer Char"/>
    <w:basedOn w:val="DefaultParagraphFont"/>
    <w:link w:val="Footer"/>
    <w:uiPriority w:val="99"/>
    <w:rsid w:val="00E41C1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270431053">
      <w:bodyDiv w:val="1"/>
      <w:marLeft w:val="0"/>
      <w:marRight w:val="0"/>
      <w:marTop w:val="0"/>
      <w:marBottom w:val="0"/>
      <w:divBdr>
        <w:top w:val="none" w:sz="0" w:space="0" w:color="auto"/>
        <w:left w:val="none" w:sz="0" w:space="0" w:color="auto"/>
        <w:bottom w:val="none" w:sz="0" w:space="0" w:color="auto"/>
        <w:right w:val="none" w:sz="0" w:space="0" w:color="auto"/>
      </w:divBdr>
    </w:div>
    <w:div w:id="1691681912">
      <w:bodyDiv w:val="1"/>
      <w:marLeft w:val="0"/>
      <w:marRight w:val="0"/>
      <w:marTop w:val="0"/>
      <w:marBottom w:val="0"/>
      <w:divBdr>
        <w:top w:val="none" w:sz="0" w:space="0" w:color="auto"/>
        <w:left w:val="none" w:sz="0" w:space="0" w:color="auto"/>
        <w:bottom w:val="none" w:sz="0" w:space="0" w:color="auto"/>
        <w:right w:val="none" w:sz="0" w:space="0" w:color="auto"/>
      </w:divBdr>
    </w:div>
    <w:div w:id="2051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her@pi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rstubbs@aol.com" TargetMode="External"/><Relationship Id="rId4" Type="http://schemas.openxmlformats.org/officeDocument/2006/relationships/settings" Target="settings.xml"/><Relationship Id="rId9" Type="http://schemas.openxmlformats.org/officeDocument/2006/relationships/hyperlink" Target="mailto:Jeff.Neuman@Neustar.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tldregistries.org/about_us/articles" TargetMode="External"/><Relationship Id="rId1" Type="http://schemas.openxmlformats.org/officeDocument/2006/relationships/hyperlink" Target="http://www.icann.org/en/topics/new-gtlds/crai-report-24oct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DB77-3621-4B95-B803-378B2A07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Neuman</dc:creator>
  <cp:keywords/>
  <dc:description/>
  <cp:lastModifiedBy>Jeff Neuman</cp:lastModifiedBy>
  <cp:revision>16</cp:revision>
  <dcterms:created xsi:type="dcterms:W3CDTF">2009-04-13T00:55:00Z</dcterms:created>
  <dcterms:modified xsi:type="dcterms:W3CDTF">2009-04-13T18:50:00Z</dcterms:modified>
</cp:coreProperties>
</file>