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38B" w:rsidRDefault="00B6538B" w:rsidP="00B6538B">
      <w:pPr>
        <w:ind w:left="780"/>
        <w:jc w:val="both"/>
        <w:rPr>
          <w:rFonts w:cs="Arial"/>
          <w:color w:val="000000"/>
        </w:rPr>
      </w:pPr>
    </w:p>
    <w:p w:rsidR="00B6538B" w:rsidRDefault="00B6538B" w:rsidP="00B6538B">
      <w:pPr>
        <w:ind w:left="780"/>
        <w:jc w:val="both"/>
        <w:rPr>
          <w:rFonts w:cs="Arial"/>
          <w:color w:val="000000"/>
        </w:rPr>
      </w:pPr>
    </w:p>
    <w:p w:rsidR="00B6538B" w:rsidRDefault="00B6538B" w:rsidP="00B6538B">
      <w:pPr>
        <w:ind w:left="780"/>
        <w:jc w:val="both"/>
        <w:rPr>
          <w:rFonts w:cs="Arial"/>
          <w:color w:val="000000"/>
        </w:rPr>
      </w:pPr>
    </w:p>
    <w:p w:rsidR="00B6538B" w:rsidRDefault="00B6538B" w:rsidP="00B6538B">
      <w:pPr>
        <w:ind w:left="78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21 July 2010</w:t>
      </w:r>
    </w:p>
    <w:p w:rsidR="00B6538B" w:rsidRDefault="00B6538B" w:rsidP="00B6538B">
      <w:pPr>
        <w:ind w:left="780"/>
        <w:jc w:val="both"/>
        <w:rPr>
          <w:rFonts w:cs="Arial"/>
          <w:color w:val="000000"/>
        </w:rPr>
      </w:pPr>
    </w:p>
    <w:p w:rsidR="00B6538B" w:rsidRDefault="00B6538B" w:rsidP="00B6538B">
      <w:pPr>
        <w:ind w:left="780"/>
        <w:jc w:val="both"/>
        <w:rPr>
          <w:rFonts w:cs="Arial"/>
          <w:color w:val="000000"/>
        </w:rPr>
      </w:pPr>
    </w:p>
    <w:p w:rsidR="00B6538B" w:rsidRPr="00B6538B" w:rsidRDefault="00B6538B" w:rsidP="00B6538B">
      <w:pPr>
        <w:ind w:left="780"/>
        <w:jc w:val="both"/>
        <w:rPr>
          <w:rFonts w:cs="Arial"/>
          <w:b/>
          <w:color w:val="000000"/>
        </w:rPr>
      </w:pPr>
      <w:r w:rsidRPr="00B6538B">
        <w:rPr>
          <w:rFonts w:cs="Arial"/>
          <w:b/>
          <w:color w:val="000000"/>
        </w:rPr>
        <w:t>Comments from Nestlé on DAG 4</w:t>
      </w:r>
    </w:p>
    <w:p w:rsidR="00B6538B" w:rsidRPr="00B6538B" w:rsidRDefault="00B6538B" w:rsidP="00B6538B">
      <w:pPr>
        <w:ind w:left="780"/>
        <w:jc w:val="both"/>
        <w:rPr>
          <w:rFonts w:cs="Arial"/>
          <w:color w:val="000000"/>
        </w:rPr>
      </w:pPr>
    </w:p>
    <w:p w:rsidR="00B6538B" w:rsidRPr="00B6538B" w:rsidRDefault="00B6538B" w:rsidP="00B6538B">
      <w:pPr>
        <w:ind w:left="780"/>
        <w:jc w:val="both"/>
        <w:rPr>
          <w:rFonts w:cs="Arial"/>
          <w:color w:val="000000"/>
        </w:rPr>
      </w:pPr>
    </w:p>
    <w:p w:rsidR="00B6538B" w:rsidRDefault="00B6538B" w:rsidP="00B6538B">
      <w:pPr>
        <w:ind w:left="780"/>
        <w:jc w:val="both"/>
        <w:rPr>
          <w:rFonts w:cs="Arial"/>
          <w:color w:val="000000"/>
        </w:rPr>
      </w:pPr>
      <w:r w:rsidRPr="00B6538B">
        <w:rPr>
          <w:rFonts w:cs="Arial"/>
          <w:color w:val="000000"/>
        </w:rPr>
        <w:t>Nestlé Group, as brand owner, has been following up ICANN’s work</w:t>
      </w:r>
      <w:r w:rsidR="00044A08">
        <w:rPr>
          <w:rFonts w:cs="Arial"/>
          <w:color w:val="000000"/>
        </w:rPr>
        <w:t>-</w:t>
      </w:r>
      <w:r w:rsidRPr="00B6538B">
        <w:rPr>
          <w:rFonts w:cs="Arial"/>
          <w:color w:val="000000"/>
        </w:rPr>
        <w:t>in</w:t>
      </w:r>
      <w:r w:rsidR="00044A08">
        <w:rPr>
          <w:rFonts w:cs="Arial"/>
          <w:color w:val="000000"/>
        </w:rPr>
        <w:t>-</w:t>
      </w:r>
      <w:r w:rsidRPr="00B6538B">
        <w:rPr>
          <w:rFonts w:cs="Arial"/>
          <w:color w:val="000000"/>
        </w:rPr>
        <w:t xml:space="preserve">progress to implement coherent and effective legal measures into the new </w:t>
      </w:r>
      <w:proofErr w:type="spellStart"/>
      <w:r w:rsidRPr="00B6538B">
        <w:rPr>
          <w:rFonts w:cs="Arial"/>
          <w:color w:val="000000"/>
        </w:rPr>
        <w:t>gTLDs</w:t>
      </w:r>
      <w:proofErr w:type="spellEnd"/>
      <w:r w:rsidRPr="00B6538B">
        <w:rPr>
          <w:rFonts w:cs="Arial"/>
          <w:color w:val="000000"/>
        </w:rPr>
        <w:t xml:space="preserve"> process. While Nestlé appreciates ICANN’s efforts, it does believe that the IRT minimum standards have been diluted and the currently suggested measures </w:t>
      </w:r>
      <w:r w:rsidR="00044A08">
        <w:rPr>
          <w:rFonts w:cs="Arial"/>
          <w:color w:val="000000"/>
        </w:rPr>
        <w:t>do</w:t>
      </w:r>
      <w:r w:rsidRPr="00B6538B">
        <w:rPr>
          <w:rFonts w:cs="Arial"/>
          <w:color w:val="000000"/>
        </w:rPr>
        <w:t xml:space="preserve"> not achieve the purpose of protecting IP within the launch of the new </w:t>
      </w:r>
      <w:proofErr w:type="spellStart"/>
      <w:r w:rsidRPr="00B6538B">
        <w:rPr>
          <w:rFonts w:cs="Arial"/>
          <w:color w:val="000000"/>
        </w:rPr>
        <w:t>gTLDs</w:t>
      </w:r>
      <w:proofErr w:type="spellEnd"/>
      <w:r w:rsidRPr="00B6538B">
        <w:rPr>
          <w:rFonts w:cs="Arial"/>
          <w:color w:val="000000"/>
        </w:rPr>
        <w:t>.</w:t>
      </w:r>
    </w:p>
    <w:p w:rsidR="00B6538B" w:rsidRPr="00B6538B" w:rsidRDefault="00B6538B" w:rsidP="00B6538B">
      <w:pPr>
        <w:ind w:left="780"/>
        <w:jc w:val="both"/>
        <w:rPr>
          <w:rFonts w:cs="Arial"/>
          <w:color w:val="000000"/>
        </w:rPr>
      </w:pPr>
    </w:p>
    <w:p w:rsidR="00B6538B" w:rsidRDefault="00B6538B" w:rsidP="00B6538B">
      <w:pPr>
        <w:ind w:left="780"/>
        <w:jc w:val="both"/>
        <w:rPr>
          <w:rFonts w:cs="Arial"/>
          <w:color w:val="000000"/>
        </w:rPr>
      </w:pPr>
      <w:r w:rsidRPr="00B6538B">
        <w:rPr>
          <w:rFonts w:cs="Arial"/>
          <w:color w:val="000000"/>
        </w:rPr>
        <w:t xml:space="preserve">In particular the criteria set for URS do not provide a cost effective and timely mechanism anymore. URS must apply for clear-cut-cases and offer a fast, simple and cheap complaint process that will have an efficient impact against </w:t>
      </w:r>
      <w:proofErr w:type="spellStart"/>
      <w:r w:rsidRPr="00B6538B">
        <w:rPr>
          <w:rFonts w:cs="Arial"/>
          <w:color w:val="000000"/>
        </w:rPr>
        <w:t>cybersquatting</w:t>
      </w:r>
      <w:proofErr w:type="spellEnd"/>
      <w:r w:rsidRPr="00B6538B">
        <w:rPr>
          <w:rFonts w:cs="Arial"/>
          <w:color w:val="000000"/>
        </w:rPr>
        <w:t>.</w:t>
      </w:r>
    </w:p>
    <w:p w:rsidR="00B6538B" w:rsidRPr="00B6538B" w:rsidRDefault="00B6538B" w:rsidP="00B6538B">
      <w:pPr>
        <w:ind w:left="780"/>
        <w:jc w:val="both"/>
        <w:rPr>
          <w:rFonts w:cs="Arial"/>
          <w:color w:val="000000"/>
        </w:rPr>
      </w:pPr>
    </w:p>
    <w:p w:rsidR="00B6538B" w:rsidRDefault="00B6538B" w:rsidP="00B6538B">
      <w:pPr>
        <w:ind w:left="780"/>
        <w:jc w:val="both"/>
        <w:rPr>
          <w:rFonts w:cs="Arial"/>
          <w:color w:val="000000"/>
        </w:rPr>
      </w:pPr>
      <w:r w:rsidRPr="00B6538B">
        <w:rPr>
          <w:rFonts w:cs="Arial"/>
          <w:color w:val="000000"/>
        </w:rPr>
        <w:t>Furthermore the criteria of the Trademark Clearinghouse must be better defined; in particular ICANN must clarify the terminology “substantive review”. The criteria should not create any discrimination against duly registered trademarks (be it under a “substantive” or “non substantive review”).</w:t>
      </w:r>
    </w:p>
    <w:p w:rsidR="00B6538B" w:rsidRPr="00B6538B" w:rsidRDefault="00B6538B" w:rsidP="00B6538B">
      <w:pPr>
        <w:ind w:left="780"/>
        <w:jc w:val="both"/>
        <w:rPr>
          <w:rFonts w:cs="Arial"/>
          <w:color w:val="000000"/>
        </w:rPr>
      </w:pPr>
    </w:p>
    <w:p w:rsidR="00B6538B" w:rsidRDefault="00B6538B" w:rsidP="00B6538B">
      <w:pPr>
        <w:ind w:left="780"/>
        <w:jc w:val="both"/>
        <w:rPr>
          <w:rFonts w:cs="Arial"/>
          <w:color w:val="000000"/>
        </w:rPr>
      </w:pPr>
      <w:r w:rsidRPr="00B6538B">
        <w:rPr>
          <w:rFonts w:cs="Arial"/>
          <w:color w:val="000000"/>
        </w:rPr>
        <w:t>PDDRP should foresee that it is up to ICANN to take the responsibility to policy the bad actor registries. ICANN should not shift this responsibility onto the users.</w:t>
      </w:r>
    </w:p>
    <w:p w:rsidR="00B6538B" w:rsidRPr="00B6538B" w:rsidRDefault="00B6538B" w:rsidP="00B6538B">
      <w:pPr>
        <w:ind w:left="780"/>
        <w:jc w:val="both"/>
        <w:rPr>
          <w:rFonts w:cs="Arial"/>
          <w:color w:val="000000"/>
        </w:rPr>
      </w:pPr>
    </w:p>
    <w:p w:rsidR="00B6538B" w:rsidRPr="00B6538B" w:rsidRDefault="00B6538B" w:rsidP="00B6538B">
      <w:pPr>
        <w:ind w:left="780"/>
        <w:jc w:val="both"/>
        <w:rPr>
          <w:rFonts w:cs="Arial"/>
          <w:color w:val="000000"/>
        </w:rPr>
      </w:pPr>
      <w:r w:rsidRPr="00B6538B">
        <w:rPr>
          <w:rFonts w:cs="Arial"/>
          <w:color w:val="000000"/>
        </w:rPr>
        <w:t>Nestlé also regrets the removal of the Globally Protected Marks List.</w:t>
      </w:r>
    </w:p>
    <w:p w:rsidR="00B6538B" w:rsidRPr="00B6538B" w:rsidRDefault="00B6538B" w:rsidP="00B6538B">
      <w:pPr>
        <w:ind w:left="780"/>
        <w:jc w:val="both"/>
        <w:rPr>
          <w:rFonts w:cs="Arial"/>
          <w:color w:val="000000"/>
        </w:rPr>
      </w:pPr>
    </w:p>
    <w:p w:rsidR="00B6538B" w:rsidRPr="00B6538B" w:rsidRDefault="00B6538B" w:rsidP="00B6538B">
      <w:pPr>
        <w:ind w:left="780"/>
        <w:jc w:val="both"/>
        <w:rPr>
          <w:rFonts w:cs="Arial"/>
          <w:color w:val="000000"/>
        </w:rPr>
      </w:pPr>
      <w:r w:rsidRPr="00B6538B">
        <w:rPr>
          <w:rFonts w:cs="Arial"/>
          <w:color w:val="000000"/>
        </w:rPr>
        <w:t xml:space="preserve">Finally please note that Nestlé supports the joint comments made by MARQUES / ECTA as well as WIPO’s comments. </w:t>
      </w:r>
    </w:p>
    <w:p w:rsidR="00B6538B" w:rsidRPr="00B6538B" w:rsidRDefault="00B6538B" w:rsidP="00B6538B">
      <w:pPr>
        <w:ind w:left="780"/>
        <w:jc w:val="both"/>
        <w:rPr>
          <w:rFonts w:cs="Arial"/>
          <w:color w:val="000000"/>
        </w:rPr>
      </w:pPr>
    </w:p>
    <w:p w:rsidR="00B6538B" w:rsidRPr="00B6538B" w:rsidRDefault="00B6538B" w:rsidP="00B6538B">
      <w:pPr>
        <w:ind w:left="780"/>
        <w:jc w:val="both"/>
        <w:rPr>
          <w:rFonts w:cs="Arial"/>
          <w:color w:val="000000"/>
        </w:rPr>
      </w:pPr>
      <w:r w:rsidRPr="00B6538B">
        <w:rPr>
          <w:rFonts w:cs="Arial"/>
          <w:color w:val="000000"/>
        </w:rPr>
        <w:t>Consequently Nestlé calls on the ICANN Board and Staff to review the current Draft and to adapt it in order to implement strong measure</w:t>
      </w:r>
      <w:r w:rsidR="00044A08">
        <w:rPr>
          <w:rFonts w:cs="Arial"/>
          <w:color w:val="000000"/>
        </w:rPr>
        <w:t>s</w:t>
      </w:r>
      <w:r w:rsidRPr="00B6538B">
        <w:rPr>
          <w:rFonts w:cs="Arial"/>
          <w:color w:val="000000"/>
        </w:rPr>
        <w:t xml:space="preserve"> to protect IP before any new </w:t>
      </w:r>
      <w:proofErr w:type="spellStart"/>
      <w:r w:rsidRPr="00B6538B">
        <w:rPr>
          <w:rFonts w:cs="Arial"/>
          <w:color w:val="000000"/>
        </w:rPr>
        <w:t>gTLDs</w:t>
      </w:r>
      <w:proofErr w:type="spellEnd"/>
      <w:r w:rsidRPr="00B6538B">
        <w:rPr>
          <w:rFonts w:cs="Arial"/>
          <w:color w:val="000000"/>
        </w:rPr>
        <w:t xml:space="preserve"> </w:t>
      </w:r>
      <w:proofErr w:type="gramStart"/>
      <w:r w:rsidRPr="00B6538B">
        <w:rPr>
          <w:rFonts w:cs="Arial"/>
          <w:color w:val="000000"/>
        </w:rPr>
        <w:t>are</w:t>
      </w:r>
      <w:proofErr w:type="gramEnd"/>
      <w:r w:rsidRPr="00B6538B">
        <w:rPr>
          <w:rFonts w:cs="Arial"/>
          <w:color w:val="000000"/>
        </w:rPr>
        <w:t xml:space="preserve"> released.</w:t>
      </w:r>
    </w:p>
    <w:p w:rsidR="00B6538B" w:rsidRPr="00B6538B" w:rsidRDefault="00B6538B" w:rsidP="00B6538B">
      <w:pPr>
        <w:ind w:left="780"/>
        <w:jc w:val="both"/>
        <w:rPr>
          <w:rFonts w:cs="Arial"/>
          <w:color w:val="000000"/>
        </w:rPr>
      </w:pPr>
      <w:r w:rsidRPr="00B6538B">
        <w:rPr>
          <w:rFonts w:cs="Arial"/>
          <w:color w:val="000000"/>
        </w:rPr>
        <w:t xml:space="preserve"> </w:t>
      </w:r>
    </w:p>
    <w:p w:rsidR="00B6538B" w:rsidRPr="00B6538B" w:rsidRDefault="00B6538B" w:rsidP="00B6538B">
      <w:pPr>
        <w:ind w:left="780"/>
        <w:jc w:val="both"/>
        <w:rPr>
          <w:rFonts w:cs="Arial"/>
          <w:color w:val="000000"/>
        </w:rPr>
      </w:pPr>
    </w:p>
    <w:p w:rsidR="00B6538B" w:rsidRPr="00B6538B" w:rsidRDefault="00B6538B" w:rsidP="00B6538B">
      <w:pPr>
        <w:ind w:left="780"/>
        <w:jc w:val="both"/>
        <w:rPr>
          <w:rFonts w:cs="Arial"/>
          <w:color w:val="000000"/>
        </w:rPr>
      </w:pPr>
      <w:r w:rsidRPr="00B6538B">
        <w:rPr>
          <w:rFonts w:cs="Arial"/>
          <w:color w:val="000000"/>
        </w:rPr>
        <w:t xml:space="preserve">Submitted by </w:t>
      </w:r>
    </w:p>
    <w:p w:rsidR="00B6538B" w:rsidRPr="00B6538B" w:rsidRDefault="00B6538B" w:rsidP="00B6538B">
      <w:pPr>
        <w:ind w:left="780"/>
        <w:jc w:val="both"/>
        <w:rPr>
          <w:rFonts w:cs="Arial"/>
          <w:color w:val="000000"/>
        </w:rPr>
      </w:pPr>
      <w:r w:rsidRPr="00B6538B">
        <w:rPr>
          <w:rFonts w:cs="Arial"/>
          <w:color w:val="000000"/>
        </w:rPr>
        <w:t xml:space="preserve">Caroline </w:t>
      </w:r>
      <w:proofErr w:type="spellStart"/>
      <w:r w:rsidRPr="00B6538B">
        <w:rPr>
          <w:rFonts w:cs="Arial"/>
          <w:color w:val="000000"/>
        </w:rPr>
        <w:t>Perriard</w:t>
      </w:r>
      <w:proofErr w:type="spellEnd"/>
    </w:p>
    <w:p w:rsidR="00B6538B" w:rsidRPr="00B6538B" w:rsidRDefault="00B6538B" w:rsidP="00B6538B">
      <w:pPr>
        <w:ind w:left="780"/>
        <w:jc w:val="both"/>
        <w:rPr>
          <w:rFonts w:cs="Arial"/>
          <w:color w:val="000000"/>
        </w:rPr>
      </w:pPr>
      <w:r w:rsidRPr="00B6538B">
        <w:rPr>
          <w:rFonts w:cs="Arial"/>
          <w:color w:val="000000"/>
        </w:rPr>
        <w:t xml:space="preserve">Brand Intellectual Property Counsel </w:t>
      </w:r>
    </w:p>
    <w:p w:rsidR="00A453A6" w:rsidRDefault="00B6538B" w:rsidP="00B6538B">
      <w:pPr>
        <w:ind w:left="780"/>
        <w:jc w:val="both"/>
        <w:rPr>
          <w:rFonts w:cs="Arial"/>
          <w:color w:val="000000"/>
        </w:rPr>
      </w:pPr>
      <w:r w:rsidRPr="00B6538B">
        <w:rPr>
          <w:rFonts w:cs="Arial"/>
          <w:color w:val="000000"/>
        </w:rPr>
        <w:t>Nestlé Group</w:t>
      </w:r>
      <w:r>
        <w:rPr>
          <w:rFonts w:cs="Arial"/>
          <w:color w:val="000000"/>
        </w:rPr>
        <w:t xml:space="preserve">, </w:t>
      </w:r>
      <w:proofErr w:type="spellStart"/>
      <w:r>
        <w:rPr>
          <w:rFonts w:cs="Arial"/>
          <w:color w:val="000000"/>
        </w:rPr>
        <w:t>Vevey</w:t>
      </w:r>
      <w:proofErr w:type="spellEnd"/>
      <w:r>
        <w:rPr>
          <w:rFonts w:cs="Arial"/>
          <w:color w:val="000000"/>
        </w:rPr>
        <w:t>, Switzerland</w:t>
      </w:r>
    </w:p>
    <w:p w:rsidR="00A453A6" w:rsidRPr="00D32CD8" w:rsidRDefault="00A453A6" w:rsidP="00A453A6">
      <w:pPr>
        <w:ind w:left="780"/>
        <w:jc w:val="both"/>
        <w:rPr>
          <w:rFonts w:cs="Arial"/>
          <w:color w:val="000000"/>
        </w:rPr>
      </w:pPr>
    </w:p>
    <w:p w:rsidR="003E2A6E" w:rsidRPr="005D2917" w:rsidRDefault="003E2A6E" w:rsidP="001E5407">
      <w:pPr>
        <w:tabs>
          <w:tab w:val="left" w:pos="780"/>
          <w:tab w:val="left" w:pos="851"/>
          <w:tab w:val="left" w:pos="5670"/>
        </w:tabs>
        <w:spacing w:line="360" w:lineRule="auto"/>
        <w:ind w:left="780"/>
        <w:jc w:val="both"/>
        <w:rPr>
          <w:rFonts w:cs="Arial"/>
          <w:sz w:val="22"/>
          <w:szCs w:val="22"/>
          <w:lang w:val="fr-FR"/>
        </w:rPr>
      </w:pPr>
    </w:p>
    <w:sectPr w:rsidR="003E2A6E" w:rsidRPr="005D2917" w:rsidSect="00BF3159">
      <w:headerReference w:type="default" r:id="rId7"/>
      <w:footerReference w:type="even" r:id="rId8"/>
      <w:headerReference w:type="first" r:id="rId9"/>
      <w:footerReference w:type="first" r:id="rId10"/>
      <w:pgSz w:w="12240" w:h="15840" w:code="1"/>
      <w:pgMar w:top="1087" w:right="1797" w:bottom="227" w:left="964" w:header="720" w:footer="523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B43" w:rsidRDefault="00B47B43">
      <w:r>
        <w:separator/>
      </w:r>
    </w:p>
  </w:endnote>
  <w:endnote w:type="continuationSeparator" w:id="0">
    <w:p w:rsidR="00B47B43" w:rsidRDefault="00B47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B43" w:rsidRDefault="00B47B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</w:p>
  <w:p w:rsidR="00B47B43" w:rsidRDefault="00B47B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B43" w:rsidRDefault="00B47B43" w:rsidP="00FE50D2">
    <w:pPr>
      <w:pStyle w:val="Footer"/>
      <w:rPr>
        <w:i/>
        <w:iCs/>
        <w:sz w:val="16"/>
      </w:rPr>
    </w:pPr>
    <w:r>
      <w:rPr>
        <w:i/>
        <w:iCs/>
        <w:sz w:val="16"/>
      </w:rPr>
      <w:tab/>
    </w:r>
    <w:r>
      <w:rPr>
        <w:i/>
        <w:iCs/>
        <w:sz w:val="16"/>
      </w:rPr>
      <w:tab/>
      <w:t>./..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B43" w:rsidRDefault="00B47B43">
      <w:r>
        <w:separator/>
      </w:r>
    </w:p>
  </w:footnote>
  <w:footnote w:type="continuationSeparator" w:id="0">
    <w:p w:rsidR="00B47B43" w:rsidRDefault="00B47B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B43" w:rsidRPr="00CC26DF" w:rsidRDefault="00B47B43">
    <w:pPr>
      <w:pStyle w:val="Header"/>
      <w:rPr>
        <w:sz w:val="16"/>
        <w:szCs w:val="16"/>
      </w:rPr>
    </w:pPr>
    <w:r>
      <w:tab/>
    </w:r>
    <w:r>
      <w:tab/>
    </w:r>
    <w:r w:rsidRPr="00CC26DF">
      <w:rPr>
        <w:sz w:val="16"/>
        <w:szCs w:val="16"/>
      </w:rPr>
      <w:t xml:space="preserve">- </w:t>
    </w:r>
    <w:proofErr w:type="gramStart"/>
    <w:r w:rsidRPr="00CC26DF">
      <w:rPr>
        <w:sz w:val="16"/>
        <w:szCs w:val="16"/>
      </w:rPr>
      <w:t>page</w:t>
    </w:r>
    <w:proofErr w:type="gramEnd"/>
    <w:r w:rsidRPr="00CC26DF">
      <w:rPr>
        <w:sz w:val="16"/>
        <w:szCs w:val="16"/>
      </w:rPr>
      <w:t xml:space="preserve"> No 2 - </w:t>
    </w:r>
    <w:r w:rsidRPr="00CC26DF">
      <w:rPr>
        <w:sz w:val="16"/>
        <w:szCs w:val="16"/>
      </w:rPr>
      <w:tab/>
    </w:r>
    <w:r w:rsidRPr="00CC26DF">
      <w:rPr>
        <w:sz w:val="16"/>
        <w:szCs w:val="16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B43" w:rsidRDefault="00DF2096">
    <w:pPr>
      <w:pStyle w:val="Header"/>
    </w:pPr>
    <w:r>
      <w:rPr>
        <w:noProof/>
        <w:lang w:val="fr-CH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4665980</wp:posOffset>
          </wp:positionH>
          <wp:positionV relativeFrom="paragraph">
            <wp:posOffset>130175</wp:posOffset>
          </wp:positionV>
          <wp:extent cx="1602105" cy="46990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105" cy="46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7B4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10.25pt;margin-top:8.45pt;width:395.4pt;height:95.2pt;z-index:251657216;mso-position-horizontal-relative:text;mso-position-vertical-relative:text" filled="f" stroked="f">
          <v:textbox style="mso-next-textbox:#_x0000_s2049">
            <w:txbxContent>
              <w:p w:rsidR="00B47B43" w:rsidRDefault="00B47B43" w:rsidP="00725DE9">
                <w:pPr>
                  <w:rPr>
                    <w:rFonts w:ascii="Arial Black" w:hAnsi="Arial Black"/>
                    <w:b/>
                    <w:bCs/>
                    <w:sz w:val="24"/>
                  </w:rPr>
                </w:pPr>
                <w:r>
                  <w:rPr>
                    <w:rFonts w:ascii="Arial Black" w:hAnsi="Arial Black"/>
                    <w:b/>
                    <w:bCs/>
                    <w:sz w:val="24"/>
                  </w:rPr>
                  <w:t>LEGAL DEPARTMENT</w:t>
                </w:r>
              </w:p>
              <w:p w:rsidR="00B47B43" w:rsidRDefault="00B47B43" w:rsidP="004224D8">
                <w:pPr>
                  <w:rPr>
                    <w:rFonts w:ascii="Arial Black" w:hAnsi="Arial Black"/>
                    <w:b/>
                    <w:bCs/>
                    <w:sz w:val="24"/>
                  </w:rPr>
                </w:pPr>
                <w:r>
                  <w:rPr>
                    <w:rFonts w:ascii="Arial Black" w:hAnsi="Arial Black"/>
                    <w:b/>
                    <w:bCs/>
                    <w:sz w:val="24"/>
                  </w:rPr>
                  <w:t xml:space="preserve">BRAND INTELLECTUAL PROPERTY </w:t>
                </w:r>
              </w:p>
              <w:p w:rsidR="00B47B43" w:rsidRDefault="00B47B43">
                <w:r>
                  <w:t xml:space="preserve">Vevey - </w:t>
                </w:r>
                <w:smartTag w:uri="urn:schemas-microsoft-com:office:smarttags" w:element="place">
                  <w:smartTag w:uri="urn:schemas-microsoft-com:office:smarttags" w:element="country-region">
                    <w:r>
                      <w:t>Switzerland</w:t>
                    </w:r>
                  </w:smartTag>
                </w:smartTag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6C8F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D68AA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0C02FB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ADA5D8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B1C1D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56B1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F0CA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B40C3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21C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4C3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DD2C70F4"/>
    <w:lvl w:ilvl="0">
      <w:numFmt w:val="bullet"/>
      <w:lvlText w:val="*"/>
      <w:lvlJc w:val="left"/>
    </w:lvl>
  </w:abstractNum>
  <w:abstractNum w:abstractNumId="11">
    <w:nsid w:val="124B7281"/>
    <w:multiLevelType w:val="hybridMultilevel"/>
    <w:tmpl w:val="1B8879D8"/>
    <w:lvl w:ilvl="0" w:tplc="4B22B526">
      <w:start w:val="1"/>
      <w:numFmt w:val="bullet"/>
      <w:lvlText w:val=""/>
      <w:lvlJc w:val="left"/>
      <w:pPr>
        <w:tabs>
          <w:tab w:val="num" w:pos="1195"/>
        </w:tabs>
        <w:ind w:left="1195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15"/>
        </w:tabs>
        <w:ind w:left="1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35"/>
        </w:tabs>
        <w:ind w:left="2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55"/>
        </w:tabs>
        <w:ind w:left="3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75"/>
        </w:tabs>
        <w:ind w:left="4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95"/>
        </w:tabs>
        <w:ind w:left="4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15"/>
        </w:tabs>
        <w:ind w:left="5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35"/>
        </w:tabs>
        <w:ind w:left="6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55"/>
        </w:tabs>
        <w:ind w:left="69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activeWritingStyle w:appName="MSWord" w:lang="en-US" w:vendorID="8" w:dllVersion="513" w:checkStyle="0"/>
  <w:activeWritingStyle w:appName="MSWord" w:lang="nl-NL" w:vendorID="1" w:dllVersion="512" w:checkStyle="1"/>
  <w:proofState w:spelling="clean" w:grammar="clean"/>
  <w:attachedTemplate r:id="rId1"/>
  <w:stylePaneFormatFilter w:val="3F01"/>
  <w:defaultTabStop w:val="720"/>
  <w:drawingGridHorizontalSpacing w:val="195"/>
  <w:drawingGridVerticalSpacing w:val="136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3E2A6E"/>
    <w:rsid w:val="00005D0C"/>
    <w:rsid w:val="00020C46"/>
    <w:rsid w:val="0003380C"/>
    <w:rsid w:val="00036AD9"/>
    <w:rsid w:val="00044A08"/>
    <w:rsid w:val="0009120C"/>
    <w:rsid w:val="000930D0"/>
    <w:rsid w:val="000A4EB1"/>
    <w:rsid w:val="000B76DC"/>
    <w:rsid w:val="000E7AEE"/>
    <w:rsid w:val="000F0423"/>
    <w:rsid w:val="000F7A74"/>
    <w:rsid w:val="001035C0"/>
    <w:rsid w:val="00105621"/>
    <w:rsid w:val="001305E6"/>
    <w:rsid w:val="0016160E"/>
    <w:rsid w:val="00177C2B"/>
    <w:rsid w:val="001A7020"/>
    <w:rsid w:val="001C37F3"/>
    <w:rsid w:val="001D546B"/>
    <w:rsid w:val="001E5407"/>
    <w:rsid w:val="00212245"/>
    <w:rsid w:val="002268B0"/>
    <w:rsid w:val="002466A6"/>
    <w:rsid w:val="00252D2C"/>
    <w:rsid w:val="002572C9"/>
    <w:rsid w:val="00286B16"/>
    <w:rsid w:val="00295904"/>
    <w:rsid w:val="00295E2D"/>
    <w:rsid w:val="002B7B23"/>
    <w:rsid w:val="002C5F16"/>
    <w:rsid w:val="002D7488"/>
    <w:rsid w:val="002F2FBA"/>
    <w:rsid w:val="0032784C"/>
    <w:rsid w:val="00353DD3"/>
    <w:rsid w:val="00373C0E"/>
    <w:rsid w:val="003858AE"/>
    <w:rsid w:val="003E2A6E"/>
    <w:rsid w:val="003E7E0C"/>
    <w:rsid w:val="004224D8"/>
    <w:rsid w:val="004529E0"/>
    <w:rsid w:val="00455CC8"/>
    <w:rsid w:val="004768BC"/>
    <w:rsid w:val="00493639"/>
    <w:rsid w:val="00502327"/>
    <w:rsid w:val="0050279C"/>
    <w:rsid w:val="00513AB1"/>
    <w:rsid w:val="00522F73"/>
    <w:rsid w:val="005321E0"/>
    <w:rsid w:val="00534AA1"/>
    <w:rsid w:val="00536221"/>
    <w:rsid w:val="005D2917"/>
    <w:rsid w:val="006050BF"/>
    <w:rsid w:val="0065168F"/>
    <w:rsid w:val="0069070C"/>
    <w:rsid w:val="006A4EC9"/>
    <w:rsid w:val="006A639C"/>
    <w:rsid w:val="006E08B9"/>
    <w:rsid w:val="007041B3"/>
    <w:rsid w:val="00722688"/>
    <w:rsid w:val="00725DE9"/>
    <w:rsid w:val="00741198"/>
    <w:rsid w:val="0079156A"/>
    <w:rsid w:val="007A3AD1"/>
    <w:rsid w:val="007B0E3B"/>
    <w:rsid w:val="007B40C1"/>
    <w:rsid w:val="007C4D41"/>
    <w:rsid w:val="007E3605"/>
    <w:rsid w:val="007F55AB"/>
    <w:rsid w:val="00823A99"/>
    <w:rsid w:val="008352C8"/>
    <w:rsid w:val="00854863"/>
    <w:rsid w:val="00875086"/>
    <w:rsid w:val="008A01BF"/>
    <w:rsid w:val="008E63F8"/>
    <w:rsid w:val="009034DD"/>
    <w:rsid w:val="00924E81"/>
    <w:rsid w:val="00931ECE"/>
    <w:rsid w:val="00960EC2"/>
    <w:rsid w:val="0096259A"/>
    <w:rsid w:val="00985996"/>
    <w:rsid w:val="00987937"/>
    <w:rsid w:val="009B2DFE"/>
    <w:rsid w:val="00A428DF"/>
    <w:rsid w:val="00A4466E"/>
    <w:rsid w:val="00A452C9"/>
    <w:rsid w:val="00A453A6"/>
    <w:rsid w:val="00A5041E"/>
    <w:rsid w:val="00A7034F"/>
    <w:rsid w:val="00A73DEA"/>
    <w:rsid w:val="00AD16F9"/>
    <w:rsid w:val="00B27583"/>
    <w:rsid w:val="00B37EB4"/>
    <w:rsid w:val="00B47B43"/>
    <w:rsid w:val="00B5619D"/>
    <w:rsid w:val="00B6538B"/>
    <w:rsid w:val="00B76736"/>
    <w:rsid w:val="00B90D63"/>
    <w:rsid w:val="00B930FE"/>
    <w:rsid w:val="00BA0B1E"/>
    <w:rsid w:val="00BD1777"/>
    <w:rsid w:val="00BF3159"/>
    <w:rsid w:val="00BF5B68"/>
    <w:rsid w:val="00C03174"/>
    <w:rsid w:val="00C164C8"/>
    <w:rsid w:val="00C31AFF"/>
    <w:rsid w:val="00C643CE"/>
    <w:rsid w:val="00C8120A"/>
    <w:rsid w:val="00C85415"/>
    <w:rsid w:val="00C9504B"/>
    <w:rsid w:val="00C96C3C"/>
    <w:rsid w:val="00CC26DF"/>
    <w:rsid w:val="00CF1B62"/>
    <w:rsid w:val="00D17C22"/>
    <w:rsid w:val="00DE5B34"/>
    <w:rsid w:val="00DF0E72"/>
    <w:rsid w:val="00DF2096"/>
    <w:rsid w:val="00E00FB4"/>
    <w:rsid w:val="00E11CCB"/>
    <w:rsid w:val="00E40DC5"/>
    <w:rsid w:val="00E5370E"/>
    <w:rsid w:val="00E7696A"/>
    <w:rsid w:val="00EA2005"/>
    <w:rsid w:val="00EB22D0"/>
    <w:rsid w:val="00ED1602"/>
    <w:rsid w:val="00ED61BA"/>
    <w:rsid w:val="00EE7BCA"/>
    <w:rsid w:val="00F02B6A"/>
    <w:rsid w:val="00F07A2E"/>
    <w:rsid w:val="00F47B06"/>
    <w:rsid w:val="00F52BD0"/>
    <w:rsid w:val="00F6512E"/>
    <w:rsid w:val="00F665D0"/>
    <w:rsid w:val="00F7257C"/>
    <w:rsid w:val="00F913F6"/>
    <w:rsid w:val="00F915B2"/>
    <w:rsid w:val="00F9662C"/>
    <w:rsid w:val="00FE427F"/>
    <w:rsid w:val="00FE5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left="835"/>
    </w:pPr>
    <w:rPr>
      <w:rFonts w:ascii="Arial" w:hAnsi="Arial"/>
      <w:spacing w:val="-5"/>
      <w:lang w:val="en-US" w:eastAsia="en-US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qFormat/>
    <w:pPr>
      <w:keepNext/>
      <w:tabs>
        <w:tab w:val="left" w:pos="2835"/>
        <w:tab w:val="center" w:pos="4680"/>
      </w:tabs>
      <w:ind w:left="3510"/>
      <w:jc w:val="center"/>
      <w:outlineLvl w:val="5"/>
    </w:pPr>
    <w:rPr>
      <w:rFonts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character" w:customStyle="1" w:styleId="Checkbox">
    <w:name w:val="Checkbox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basedOn w:val="DefaultParagraphFont"/>
    <w:rPr>
      <w:rFonts w:ascii="Arial Black" w:hAnsi="Arial Black"/>
      <w:color w:val="FFFFFF"/>
      <w:spacing w:val="-10"/>
      <w:position w:val="0"/>
      <w:sz w:val="19"/>
      <w:bdr w:val="none" w:sz="0" w:space="0" w:color="auto"/>
      <w:shd w:val="solid" w:color="auto" w:fill="auto"/>
    </w:rPr>
  </w:style>
  <w:style w:type="paragraph" w:styleId="FootnoteText">
    <w:name w:val="footnote text"/>
    <w:basedOn w:val="Normal"/>
    <w:semiHidden/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1"/>
      </w:numPr>
      <w:ind w:left="1195"/>
    </w:pPr>
  </w:style>
  <w:style w:type="paragraph" w:styleId="ListBullet2">
    <w:name w:val="List Bullet 2"/>
    <w:basedOn w:val="Normal"/>
    <w:autoRedefine/>
    <w:pPr>
      <w:numPr>
        <w:numId w:val="2"/>
      </w:numPr>
      <w:ind w:left="1555"/>
    </w:pPr>
  </w:style>
  <w:style w:type="paragraph" w:styleId="ListBullet3">
    <w:name w:val="List Bullet 3"/>
    <w:basedOn w:val="Normal"/>
    <w:autoRedefine/>
    <w:pPr>
      <w:numPr>
        <w:numId w:val="3"/>
      </w:numPr>
      <w:ind w:left="1915"/>
    </w:pPr>
  </w:style>
  <w:style w:type="paragraph" w:styleId="ListBullet4">
    <w:name w:val="List Bullet 4"/>
    <w:basedOn w:val="Normal"/>
    <w:autoRedefine/>
    <w:pPr>
      <w:numPr>
        <w:numId w:val="4"/>
      </w:numPr>
      <w:ind w:left="2275"/>
    </w:pPr>
  </w:style>
  <w:style w:type="paragraph" w:styleId="ListBullet5">
    <w:name w:val="List Bullet 5"/>
    <w:basedOn w:val="Normal"/>
    <w:autoRedefine/>
    <w:pPr>
      <w:numPr>
        <w:numId w:val="5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6"/>
      </w:numPr>
      <w:ind w:left="1195"/>
    </w:pPr>
  </w:style>
  <w:style w:type="paragraph" w:styleId="ListNumber2">
    <w:name w:val="List Number 2"/>
    <w:basedOn w:val="Normal"/>
    <w:pPr>
      <w:numPr>
        <w:numId w:val="7"/>
      </w:numPr>
      <w:ind w:left="1555"/>
    </w:pPr>
  </w:style>
  <w:style w:type="paragraph" w:styleId="ListNumber3">
    <w:name w:val="List Number 3"/>
    <w:basedOn w:val="Normal"/>
    <w:pPr>
      <w:numPr>
        <w:numId w:val="8"/>
      </w:numPr>
      <w:ind w:left="1915"/>
    </w:pPr>
  </w:style>
  <w:style w:type="paragraph" w:styleId="ListNumber4">
    <w:name w:val="List Number 4"/>
    <w:basedOn w:val="Normal"/>
    <w:pPr>
      <w:numPr>
        <w:numId w:val="9"/>
      </w:numPr>
      <w:ind w:left="2275"/>
    </w:pPr>
  </w:style>
  <w:style w:type="paragraph" w:styleId="ListNumber5">
    <w:name w:val="List Number 5"/>
    <w:basedOn w:val="Normal"/>
    <w:pPr>
      <w:numPr>
        <w:numId w:val="10"/>
      </w:numPr>
      <w:ind w:left="2635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semiHidden/>
    <w:rsid w:val="00924E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55CC8"/>
    <w:rPr>
      <w:color w:val="0000FF"/>
      <w:u w:val="single"/>
    </w:rPr>
  </w:style>
  <w:style w:type="paragraph" w:styleId="Date">
    <w:name w:val="Date"/>
    <w:basedOn w:val="Normal"/>
    <w:next w:val="Normal"/>
    <w:link w:val="DateChar"/>
    <w:rsid w:val="00B6538B"/>
  </w:style>
  <w:style w:type="character" w:customStyle="1" w:styleId="DateChar">
    <w:name w:val="Date Char"/>
    <w:basedOn w:val="DefaultParagraphFont"/>
    <w:link w:val="Date"/>
    <w:rsid w:val="00B6538B"/>
    <w:rPr>
      <w:rFonts w:ascii="Arial" w:hAnsi="Arial"/>
      <w:spacing w:val="-5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7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rkest\Application%20Data\Microsoft\Templates\No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Note</Template>
  <TotalTime>3</TotalTime>
  <Pages>1</Pages>
  <Words>250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Fax</vt:lpstr>
    </vt:vector>
  </TitlesOfParts>
  <Company>Nestlé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Fax</dc:title>
  <dc:creator>Annemieke de Koster - Arkesteijn</dc:creator>
  <cp:lastModifiedBy>Caroline Perriard</cp:lastModifiedBy>
  <cp:revision>3</cp:revision>
  <cp:lastPrinted>2010-07-21T13:06:00Z</cp:lastPrinted>
  <dcterms:created xsi:type="dcterms:W3CDTF">2010-07-21T13:06:00Z</dcterms:created>
  <dcterms:modified xsi:type="dcterms:W3CDTF">2010-07-21T13:14:00Z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