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EB514" w14:textId="6350579F" w:rsidR="00DB4EC6" w:rsidRDefault="00DB4EC6" w:rsidP="008424D2">
      <w:pPr>
        <w:rPr>
          <w:rFonts w:ascii="Arial" w:hAnsi="Arial" w:cs="Arial"/>
          <w:szCs w:val="24"/>
        </w:rPr>
        <w:sectPr w:rsidR="00DB4EC6" w:rsidSect="00DB4EC6">
          <w:footerReference w:type="even" r:id="rId9"/>
          <w:footerReference w:type="default" r:id="rId10"/>
          <w:footerReference w:type="first" r:id="rId11"/>
          <w:pgSz w:w="12240" w:h="15840"/>
          <w:pgMar w:top="1440" w:right="1440" w:bottom="1440" w:left="1440" w:header="720" w:footer="720" w:gutter="0"/>
          <w:pgNumType w:start="1"/>
          <w:cols w:space="720"/>
          <w:titlePg/>
          <w:docGrid w:linePitch="360"/>
        </w:sectPr>
      </w:pPr>
      <w:r>
        <w:rPr>
          <w:noProof/>
          <w:sz w:val="28"/>
        </w:rPr>
        <mc:AlternateContent>
          <mc:Choice Requires="wps">
            <w:drawing>
              <wp:anchor distT="0" distB="0" distL="114300" distR="114300" simplePos="0" relativeHeight="251657216" behindDoc="0" locked="0" layoutInCell="1" allowOverlap="1" wp14:anchorId="170E7DC4" wp14:editId="1EC432FA">
                <wp:simplePos x="0" y="0"/>
                <wp:positionH relativeFrom="column">
                  <wp:posOffset>-139700</wp:posOffset>
                </wp:positionH>
                <wp:positionV relativeFrom="paragraph">
                  <wp:posOffset>6515100</wp:posOffset>
                </wp:positionV>
                <wp:extent cx="1536700" cy="1417320"/>
                <wp:effectExtent l="0" t="0" r="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02A82D0B" w:rsidR="00DB4EC6" w:rsidRPr="0091661B" w:rsidRDefault="00DB4EC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63C9B261" w:rsidR="00DB4EC6" w:rsidRDefault="00DB4EC6" w:rsidP="00D04118">
                            <w:pPr>
                              <w:rPr>
                                <w:rFonts w:cs="Arial"/>
                                <w:sz w:val="32"/>
                                <w:szCs w:val="32"/>
                              </w:rPr>
                            </w:pPr>
                            <w:r>
                              <w:rPr>
                                <w:rFonts w:cs="Arial"/>
                                <w:sz w:val="32"/>
                                <w:szCs w:val="32"/>
                              </w:rPr>
                              <w:t>Version: 1</w:t>
                            </w:r>
                          </w:p>
                          <w:p w14:paraId="2604D60A" w14:textId="1F919206" w:rsidR="00DB4EC6" w:rsidRPr="0091661B" w:rsidRDefault="00DB4EC6" w:rsidP="00D04118">
                            <w:pPr>
                              <w:rPr>
                                <w:rFonts w:cs="Arial"/>
                                <w:sz w:val="32"/>
                                <w:szCs w:val="32"/>
                              </w:rPr>
                            </w:pPr>
                            <w:r>
                              <w:rPr>
                                <w:rFonts w:cs="Arial"/>
                                <w:sz w:val="32"/>
                                <w:szCs w:val="32"/>
                              </w:rPr>
                              <w:t>20-Mar-2013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0.95pt;margin-top:513pt;width:121pt;height:1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" filled="f" stroked="f">
                <v:textbox>
                  <w:txbxContent>
                    <w:p w14:paraId="059729BD" w14:textId="02A82D0B" w:rsidR="00DB4EC6" w:rsidRPr="0091661B" w:rsidRDefault="00DB4EC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63C9B261" w:rsidR="00DB4EC6" w:rsidRDefault="00DB4EC6" w:rsidP="00D04118">
                      <w:pPr>
                        <w:rPr>
                          <w:rFonts w:cs="Arial"/>
                          <w:sz w:val="32"/>
                          <w:szCs w:val="32"/>
                        </w:rPr>
                      </w:pPr>
                      <w:r>
                        <w:rPr>
                          <w:rFonts w:cs="Arial"/>
                          <w:sz w:val="32"/>
                          <w:szCs w:val="32"/>
                        </w:rPr>
                        <w:t>Version: 1</w:t>
                      </w:r>
                    </w:p>
                    <w:p w14:paraId="2604D60A" w14:textId="1F919206" w:rsidR="00DB4EC6" w:rsidRPr="0091661B" w:rsidRDefault="00DB4EC6" w:rsidP="00D04118">
                      <w:pPr>
                        <w:rPr>
                          <w:rFonts w:cs="Arial"/>
                          <w:sz w:val="32"/>
                          <w:szCs w:val="32"/>
                        </w:rPr>
                      </w:pPr>
                      <w:r>
                        <w:rPr>
                          <w:rFonts w:cs="Arial"/>
                          <w:sz w:val="32"/>
                          <w:szCs w:val="32"/>
                        </w:rPr>
                        <w:t>20-Mar-2013</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14:anchorId="50AC3120" wp14:editId="1C3E580A">
                <wp:simplePos x="0" y="0"/>
                <wp:positionH relativeFrom="column">
                  <wp:posOffset>1536700</wp:posOffset>
                </wp:positionH>
                <wp:positionV relativeFrom="paragraph">
                  <wp:posOffset>6515100</wp:posOffset>
                </wp:positionV>
                <wp:extent cx="4502150" cy="112331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12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DB4EC6" w:rsidRPr="002569A6" w:rsidRDefault="00DB4EC6" w:rsidP="002569A6">
                            <w:pPr>
                              <w:pStyle w:val="ListParagraph"/>
                              <w:ind w:left="0"/>
                              <w:rPr>
                                <w:rFonts w:ascii="Arial" w:hAnsi="Arial" w:cs="Arial"/>
                                <w:b/>
                                <w:sz w:val="36"/>
                                <w:szCs w:val="36"/>
                              </w:rPr>
                            </w:pPr>
                          </w:p>
                          <w:p w14:paraId="2DA6CE2D" w14:textId="77777777"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1pt;margin-top:513pt;width:354.5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Y5Lg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" filled="f" stroked="f">
                <v:textbox>
                  <w:txbxContent>
                    <w:p w14:paraId="4574BA53" w14:textId="550CC499"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DB4EC6" w:rsidRPr="002569A6" w:rsidRDefault="00DB4EC6" w:rsidP="002569A6">
                      <w:pPr>
                        <w:pStyle w:val="ListParagraph"/>
                        <w:ind w:left="0"/>
                        <w:rPr>
                          <w:rFonts w:ascii="Arial" w:hAnsi="Arial" w:cs="Arial"/>
                          <w:b/>
                          <w:sz w:val="36"/>
                          <w:szCs w:val="36"/>
                        </w:rPr>
                      </w:pPr>
                    </w:p>
                    <w:p w14:paraId="2DA6CE2D" w14:textId="77777777"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Pr>
          <w:noProof/>
          <w:sz w:val="28"/>
        </w:rPr>
        <mc:AlternateContent>
          <mc:Choice Requires="wps">
            <w:drawing>
              <wp:anchor distT="0" distB="0" distL="114293" distR="114293" simplePos="0" relativeHeight="251656192" behindDoc="0" locked="0" layoutInCell="1" allowOverlap="1" wp14:anchorId="484E8DAD" wp14:editId="01E3B420">
                <wp:simplePos x="0" y="0"/>
                <wp:positionH relativeFrom="column">
                  <wp:posOffset>1397000</wp:posOffset>
                </wp:positionH>
                <wp:positionV relativeFrom="paragraph">
                  <wp:posOffset>1143000</wp:posOffset>
                </wp:positionV>
                <wp:extent cx="10160" cy="6710680"/>
                <wp:effectExtent l="25400" t="0" r="66040"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671068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0pt,90pt" to="110.8pt,61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" strokecolor="#376092" strokeweight="5pt"/>
            </w:pict>
          </mc:Fallback>
        </mc:AlternateContent>
      </w:r>
      <w:r>
        <w:rPr>
          <w:noProof/>
          <w:sz w:val="28"/>
        </w:rPr>
        <mc:AlternateContent>
          <mc:Choice Requires="wps">
            <w:drawing>
              <wp:anchor distT="0" distB="0" distL="114300" distR="114300" simplePos="0" relativeHeight="251658240" behindDoc="0" locked="0" layoutInCell="1" allowOverlap="1" wp14:anchorId="4D9A3D36" wp14:editId="4E64E757">
                <wp:simplePos x="0" y="0"/>
                <wp:positionH relativeFrom="column">
                  <wp:posOffset>1536700</wp:posOffset>
                </wp:positionH>
                <wp:positionV relativeFrom="paragraph">
                  <wp:posOffset>1485900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1142" w14:textId="400D259F" w:rsidR="00DB4EC6" w:rsidRPr="00E83EDF" w:rsidRDefault="00DB4EC6" w:rsidP="006F69B4">
                            <w:pPr>
                              <w:rPr>
                                <w:rFonts w:ascii="Arial Rounded MT Bold" w:hAnsi="Arial Rounded MT Bold"/>
                                <w:sz w:val="48"/>
                                <w:szCs w:val="48"/>
                              </w:rPr>
                            </w:pPr>
                            <w:r w:rsidRPr="00E83EDF">
                              <w:rPr>
                                <w:rFonts w:ascii="Arial Rounded MT Bold" w:hAnsi="Arial Rounded MT Bold"/>
                                <w:sz w:val="48"/>
                                <w:szCs w:val="48"/>
                              </w:rPr>
                              <w:t xml:space="preserve">Comments on </w:t>
                            </w:r>
                            <w:r w:rsidRPr="00E83EDF">
                              <w:rPr>
                                <w:rFonts w:ascii="Arial Rounded MT Bold" w:hAnsi="Arial Rounded MT Bold"/>
                                <w:sz w:val="48"/>
                                <w:szCs w:val="48"/>
                                <w:lang w:val="en"/>
                              </w:rPr>
                              <w:t>Revised Proposal of the ACDR to Serve as a UDRP Provider</w:t>
                            </w:r>
                          </w:p>
                          <w:p w14:paraId="2BAD4390" w14:textId="2045F1AE" w:rsidR="00DB4EC6" w:rsidRPr="005470A2" w:rsidRDefault="00DB4EC6" w:rsidP="004A7660">
                            <w:pPr>
                              <w:rPr>
                                <w:rFonts w:ascii="Arial Rounded MT Bold" w:hAnsi="Arial Rounded MT Bold"/>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1pt;margin-top:117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" filled="f" stroked="f">
                <v:textbox>
                  <w:txbxContent>
                    <w:p w14:paraId="5BED1142" w14:textId="400D259F" w:rsidR="00DB4EC6" w:rsidRPr="00E83EDF" w:rsidRDefault="00DB4EC6" w:rsidP="006F69B4">
                      <w:pPr>
                        <w:rPr>
                          <w:rFonts w:ascii="Arial Rounded MT Bold" w:hAnsi="Arial Rounded MT Bold"/>
                          <w:sz w:val="48"/>
                          <w:szCs w:val="48"/>
                        </w:rPr>
                      </w:pPr>
                      <w:r w:rsidRPr="00E83EDF">
                        <w:rPr>
                          <w:rFonts w:ascii="Arial Rounded MT Bold" w:hAnsi="Arial Rounded MT Bold"/>
                          <w:sz w:val="48"/>
                          <w:szCs w:val="48"/>
                        </w:rPr>
                        <w:t xml:space="preserve">Comments on </w:t>
                      </w:r>
                      <w:r w:rsidRPr="00E83EDF">
                        <w:rPr>
                          <w:rFonts w:ascii="Arial Rounded MT Bold" w:hAnsi="Arial Rounded MT Bold"/>
                          <w:sz w:val="48"/>
                          <w:szCs w:val="48"/>
                          <w:lang w:val="en"/>
                        </w:rPr>
                        <w:t>Revised Proposal of the ACDR to Serve as a UDRP Provider</w:t>
                      </w:r>
                    </w:p>
                    <w:p w14:paraId="2BAD4390" w14:textId="2045F1AE" w:rsidR="00DB4EC6" w:rsidRPr="005470A2" w:rsidRDefault="00DB4EC6" w:rsidP="004A7660">
                      <w:pPr>
                        <w:rPr>
                          <w:rFonts w:ascii="Arial Rounded MT Bold" w:hAnsi="Arial Rounded MT Bold"/>
                          <w:sz w:val="48"/>
                          <w:szCs w:val="48"/>
                        </w:rPr>
                      </w:pPr>
                    </w:p>
                  </w:txbxContent>
                </v:textbox>
              </v:shape>
            </w:pict>
          </mc:Fallback>
        </mc:AlternateContent>
      </w:r>
      <w:r>
        <w:rPr>
          <w:noProof/>
          <w:sz w:val="28"/>
        </w:rPr>
        <mc:AlternateContent>
          <mc:Choice Requires="wps">
            <w:drawing>
              <wp:anchor distT="0" distB="0" distL="114300" distR="114300" simplePos="0" relativeHeight="251655168" behindDoc="0" locked="0" layoutInCell="1" allowOverlap="1" wp14:anchorId="6C1E92CC" wp14:editId="610F1711">
                <wp:simplePos x="0" y="0"/>
                <wp:positionH relativeFrom="column">
                  <wp:posOffset>-209550</wp:posOffset>
                </wp:positionH>
                <wp:positionV relativeFrom="paragraph">
                  <wp:posOffset>0</wp:posOffset>
                </wp:positionV>
                <wp:extent cx="6286500" cy="8001000"/>
                <wp:effectExtent l="0" t="0" r="38100"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45pt;margin-top:0;width:495pt;height:6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" filled="f"/>
            </w:pict>
          </mc:Fallback>
        </mc:AlternateContent>
      </w:r>
      <w:r w:rsidRPr="004A7660">
        <w:rPr>
          <w:noProof/>
          <w:sz w:val="28"/>
        </w:rPr>
        <w:drawing>
          <wp:anchor distT="0" distB="0" distL="114935" distR="114935" simplePos="0" relativeHeight="251660288" behindDoc="0" locked="0" layoutInCell="1" allowOverlap="1" wp14:anchorId="5C77D9A0" wp14:editId="7729E18B">
            <wp:simplePos x="0" y="0"/>
            <wp:positionH relativeFrom="page">
              <wp:posOffset>704850</wp:posOffset>
            </wp:positionH>
            <wp:positionV relativeFrom="page">
              <wp:posOffset>914400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p>
    <w:p w14:paraId="5E74ACD8" w14:textId="0A68DFCF" w:rsidR="008424D2" w:rsidRPr="005D792D" w:rsidRDefault="008424D2" w:rsidP="008424D2">
      <w:pPr>
        <w:rPr>
          <w:rFonts w:ascii="Arial" w:hAnsi="Arial" w:cs="Arial"/>
          <w:szCs w:val="24"/>
        </w:rPr>
      </w:pPr>
      <w:r w:rsidRPr="005D792D">
        <w:rPr>
          <w:rFonts w:ascii="Arial" w:hAnsi="Arial" w:cs="Arial"/>
          <w:szCs w:val="24"/>
        </w:rPr>
        <w:t xml:space="preserve">The Business Constituency </w:t>
      </w:r>
      <w:r>
        <w:rPr>
          <w:rFonts w:ascii="Arial" w:hAnsi="Arial" w:cs="Arial"/>
          <w:szCs w:val="24"/>
        </w:rPr>
        <w:t>(</w:t>
      </w:r>
      <w:r w:rsidRPr="005D792D">
        <w:rPr>
          <w:rFonts w:ascii="Arial" w:hAnsi="Arial" w:cs="Arial"/>
          <w:szCs w:val="24"/>
        </w:rPr>
        <w:t>BC</w:t>
      </w:r>
      <w:r>
        <w:rPr>
          <w:rFonts w:ascii="Arial" w:hAnsi="Arial" w:cs="Arial"/>
          <w:szCs w:val="24"/>
        </w:rPr>
        <w:t>)</w:t>
      </w:r>
      <w:r w:rsidRPr="005D792D">
        <w:rPr>
          <w:rFonts w:ascii="Arial" w:hAnsi="Arial" w:cs="Arial"/>
          <w:szCs w:val="24"/>
        </w:rPr>
        <w:t xml:space="preserve"> </w:t>
      </w:r>
      <w:r w:rsidR="00F57383">
        <w:rPr>
          <w:rFonts w:ascii="Arial" w:hAnsi="Arial" w:cs="Arial"/>
          <w:szCs w:val="24"/>
        </w:rPr>
        <w:t>bases</w:t>
      </w:r>
      <w:r w:rsidRPr="005D792D">
        <w:rPr>
          <w:rFonts w:ascii="Arial" w:hAnsi="Arial" w:cs="Arial"/>
          <w:szCs w:val="24"/>
        </w:rPr>
        <w:t xml:space="preserve"> th</w:t>
      </w:r>
      <w:r w:rsidR="00F57383">
        <w:rPr>
          <w:rFonts w:ascii="Arial" w:hAnsi="Arial" w:cs="Arial"/>
          <w:szCs w:val="24"/>
        </w:rPr>
        <w:t xml:space="preserve">is </w:t>
      </w:r>
      <w:r w:rsidRPr="005D792D">
        <w:rPr>
          <w:rFonts w:ascii="Arial" w:hAnsi="Arial" w:cs="Arial"/>
          <w:szCs w:val="24"/>
        </w:rPr>
        <w:t xml:space="preserve">comment upon a prior position adopted by the BC in accordance with its charter. </w:t>
      </w:r>
      <w:r>
        <w:rPr>
          <w:rFonts w:ascii="Arial" w:hAnsi="Arial" w:cs="Arial"/>
          <w:szCs w:val="24"/>
        </w:rPr>
        <w:t>Two</w:t>
      </w:r>
      <w:r w:rsidRPr="005D792D">
        <w:rPr>
          <w:rFonts w:ascii="Arial" w:hAnsi="Arial" w:cs="Arial"/>
          <w:szCs w:val="24"/>
        </w:rPr>
        <w:t xml:space="preserve"> BC position document</w:t>
      </w:r>
      <w:r>
        <w:rPr>
          <w:rFonts w:ascii="Arial" w:hAnsi="Arial" w:cs="Arial"/>
          <w:szCs w:val="24"/>
        </w:rPr>
        <w:t xml:space="preserve">s are </w:t>
      </w:r>
      <w:r w:rsidRPr="005D792D">
        <w:rPr>
          <w:rFonts w:ascii="Arial" w:hAnsi="Arial" w:cs="Arial"/>
          <w:szCs w:val="24"/>
        </w:rPr>
        <w:t>cited here:</w:t>
      </w:r>
    </w:p>
    <w:p w14:paraId="71AA6170" w14:textId="77777777" w:rsidR="008424D2" w:rsidRDefault="008424D2" w:rsidP="008424D2">
      <w:pPr>
        <w:ind w:left="720"/>
        <w:rPr>
          <w:rFonts w:ascii="Arial" w:hAnsi="Arial" w:cs="Arial"/>
          <w:szCs w:val="24"/>
        </w:rPr>
      </w:pPr>
    </w:p>
    <w:p w14:paraId="3D17D4AD" w14:textId="68D7FF60" w:rsidR="008424D2" w:rsidRPr="00723CCC" w:rsidRDefault="00723CCC" w:rsidP="008424D2">
      <w:pPr>
        <w:ind w:left="720"/>
        <w:rPr>
          <w:rFonts w:ascii="Arial" w:hAnsi="Arial" w:cs="Arial"/>
          <w:sz w:val="20"/>
          <w:szCs w:val="24"/>
        </w:rPr>
      </w:pPr>
      <w:r w:rsidRPr="00723CCC">
        <w:rPr>
          <w:rFonts w:ascii="Arial" w:hAnsi="Arial" w:cs="Arial"/>
          <w:sz w:val="20"/>
          <w:szCs w:val="24"/>
        </w:rPr>
        <w:t>BC</w:t>
      </w:r>
      <w:r w:rsidR="008424D2" w:rsidRPr="00723CCC">
        <w:rPr>
          <w:rFonts w:ascii="Arial" w:hAnsi="Arial" w:cs="Arial"/>
          <w:sz w:val="20"/>
          <w:szCs w:val="24"/>
        </w:rPr>
        <w:t xml:space="preserve"> Comment on ICANN Proposal to Recognize New Domain N</w:t>
      </w:r>
      <w:r w:rsidRPr="00723CCC">
        <w:rPr>
          <w:rFonts w:ascii="Arial" w:hAnsi="Arial" w:cs="Arial"/>
          <w:sz w:val="20"/>
          <w:szCs w:val="24"/>
        </w:rPr>
        <w:t>ame Dispute Provider  (Oct-</w:t>
      </w:r>
      <w:r w:rsidR="008424D2" w:rsidRPr="00723CCC">
        <w:rPr>
          <w:rFonts w:ascii="Arial" w:hAnsi="Arial" w:cs="Arial"/>
          <w:sz w:val="20"/>
          <w:szCs w:val="24"/>
        </w:rPr>
        <w:t>2010</w:t>
      </w:r>
      <w:r w:rsidRPr="00723CCC">
        <w:rPr>
          <w:rFonts w:ascii="Arial" w:hAnsi="Arial" w:cs="Arial"/>
          <w:sz w:val="20"/>
          <w:szCs w:val="24"/>
        </w:rPr>
        <w:t>)</w:t>
      </w:r>
    </w:p>
    <w:p w14:paraId="5646D480" w14:textId="77777777" w:rsidR="008424D2" w:rsidRPr="00723CCC" w:rsidRDefault="008424D2" w:rsidP="008424D2">
      <w:pPr>
        <w:ind w:left="720"/>
        <w:rPr>
          <w:rFonts w:ascii="Arial" w:hAnsi="Arial" w:cs="Arial"/>
          <w:sz w:val="18"/>
          <w:szCs w:val="24"/>
        </w:rPr>
      </w:pPr>
      <w:hyperlink r:id="rId13" w:history="1">
        <w:r w:rsidRPr="00723CCC">
          <w:rPr>
            <w:rStyle w:val="Hyperlink"/>
            <w:rFonts w:ascii="Arial" w:hAnsi="Arial" w:cs="Arial"/>
            <w:sz w:val="18"/>
            <w:szCs w:val="24"/>
          </w:rPr>
          <w:t>http://forum.icann.org/lists/acdr-proposal/msg00004.html</w:t>
        </w:r>
      </w:hyperlink>
      <w:r w:rsidRPr="00723CCC">
        <w:rPr>
          <w:rFonts w:ascii="Arial" w:hAnsi="Arial" w:cs="Arial"/>
          <w:sz w:val="18"/>
          <w:szCs w:val="24"/>
        </w:rPr>
        <w:t xml:space="preserve"> </w:t>
      </w:r>
    </w:p>
    <w:p w14:paraId="27BC6D28" w14:textId="77777777" w:rsidR="00723CCC" w:rsidRPr="00723CCC" w:rsidRDefault="00723CCC" w:rsidP="008424D2">
      <w:pPr>
        <w:ind w:left="720"/>
        <w:rPr>
          <w:rFonts w:ascii="Arial" w:hAnsi="Arial" w:cs="Arial"/>
          <w:sz w:val="20"/>
          <w:szCs w:val="24"/>
        </w:rPr>
      </w:pPr>
    </w:p>
    <w:p w14:paraId="765322AA" w14:textId="11A97926" w:rsidR="008424D2" w:rsidRPr="00723CCC" w:rsidRDefault="008424D2" w:rsidP="008424D2">
      <w:pPr>
        <w:ind w:left="720"/>
        <w:rPr>
          <w:rFonts w:ascii="Arial" w:hAnsi="Arial" w:cs="Arial"/>
          <w:sz w:val="20"/>
          <w:szCs w:val="24"/>
        </w:rPr>
      </w:pPr>
      <w:r w:rsidRPr="00723CCC">
        <w:rPr>
          <w:rFonts w:ascii="Arial" w:hAnsi="Arial" w:cs="Arial"/>
          <w:sz w:val="20"/>
          <w:szCs w:val="24"/>
        </w:rPr>
        <w:t>BC comments on Preliminary Issue Report on current state of the UDRP</w:t>
      </w:r>
      <w:r w:rsidR="00723CCC" w:rsidRPr="00723CCC">
        <w:rPr>
          <w:rFonts w:ascii="Arial" w:hAnsi="Arial" w:cs="Arial"/>
          <w:sz w:val="20"/>
          <w:szCs w:val="24"/>
        </w:rPr>
        <w:t xml:space="preserve"> (Jul-2011)</w:t>
      </w:r>
    </w:p>
    <w:p w14:paraId="283E1F65" w14:textId="052BED73" w:rsidR="00723CCC" w:rsidRPr="00723CCC" w:rsidRDefault="00723CCC" w:rsidP="00723CCC">
      <w:pPr>
        <w:ind w:left="720"/>
        <w:rPr>
          <w:rFonts w:ascii="Arial" w:hAnsi="Arial" w:cs="Arial"/>
          <w:sz w:val="20"/>
          <w:szCs w:val="24"/>
        </w:rPr>
      </w:pPr>
      <w:hyperlink r:id="rId14" w:history="1">
        <w:r w:rsidRPr="00723CCC">
          <w:rPr>
            <w:rStyle w:val="Hyperlink"/>
            <w:rFonts w:ascii="Arial" w:hAnsi="Arial" w:cs="Arial"/>
            <w:sz w:val="18"/>
            <w:szCs w:val="24"/>
          </w:rPr>
          <w:t>http://www.bizconst.org/Positions-Statements/BC_on_UDRP_Issues_Report_July_2011.pdf</w:t>
        </w:r>
      </w:hyperlink>
    </w:p>
    <w:p w14:paraId="53C4A5FF" w14:textId="77777777" w:rsidR="00723CCC" w:rsidRDefault="00723CCC" w:rsidP="008424D2">
      <w:pPr>
        <w:rPr>
          <w:rFonts w:ascii="Arial" w:hAnsi="Arial" w:cs="Arial"/>
          <w:szCs w:val="24"/>
        </w:rPr>
      </w:pPr>
    </w:p>
    <w:p w14:paraId="6E65D0BC" w14:textId="75B6B811" w:rsidR="008424D2" w:rsidRDefault="00F508B7" w:rsidP="008424D2">
      <w:pPr>
        <w:rPr>
          <w:rFonts w:ascii="Arial" w:hAnsi="Arial" w:cs="Arial"/>
          <w:szCs w:val="24"/>
        </w:rPr>
      </w:pPr>
      <w:r>
        <w:rPr>
          <w:rFonts w:ascii="Arial" w:hAnsi="Arial" w:cs="Arial"/>
          <w:szCs w:val="24"/>
        </w:rPr>
        <w:t>As noted, t</w:t>
      </w:r>
      <w:r w:rsidR="008424D2" w:rsidRPr="005D792D">
        <w:rPr>
          <w:rFonts w:ascii="Arial" w:hAnsi="Arial" w:cs="Arial"/>
          <w:szCs w:val="24"/>
        </w:rPr>
        <w:t xml:space="preserve">he </w:t>
      </w:r>
      <w:r w:rsidR="008424D2">
        <w:rPr>
          <w:rFonts w:ascii="Arial" w:hAnsi="Arial" w:cs="Arial"/>
          <w:szCs w:val="24"/>
        </w:rPr>
        <w:t>BC</w:t>
      </w:r>
      <w:r w:rsidR="008424D2" w:rsidRPr="005D792D">
        <w:rPr>
          <w:rFonts w:ascii="Arial" w:hAnsi="Arial" w:cs="Arial"/>
          <w:szCs w:val="24"/>
        </w:rPr>
        <w:t xml:space="preserve"> submitted a comment on the application of the Arab Center for Dispute Resolution (ACDR) to become an accredited UDRP provider when it was first put out for public comment in October 2010. That comment is attached to this </w:t>
      </w:r>
      <w:r w:rsidR="008424D2">
        <w:rPr>
          <w:rFonts w:ascii="Arial" w:hAnsi="Arial" w:cs="Arial"/>
          <w:szCs w:val="24"/>
        </w:rPr>
        <w:t>document</w:t>
      </w:r>
      <w:r w:rsidR="008424D2" w:rsidRPr="005D792D">
        <w:rPr>
          <w:rFonts w:ascii="Arial" w:hAnsi="Arial" w:cs="Arial"/>
          <w:szCs w:val="24"/>
        </w:rPr>
        <w:t>.</w:t>
      </w:r>
    </w:p>
    <w:p w14:paraId="416CF4FE" w14:textId="77777777" w:rsidR="00723CCC" w:rsidRPr="005D792D" w:rsidRDefault="00723CCC" w:rsidP="008424D2">
      <w:pPr>
        <w:rPr>
          <w:rFonts w:ascii="Arial" w:hAnsi="Arial" w:cs="Arial"/>
          <w:szCs w:val="24"/>
        </w:rPr>
      </w:pPr>
    </w:p>
    <w:p w14:paraId="5305BB99" w14:textId="348DCF1D" w:rsidR="008424D2" w:rsidRDefault="00F508B7" w:rsidP="008424D2">
      <w:pPr>
        <w:rPr>
          <w:rFonts w:ascii="Arial" w:hAnsi="Arial" w:cs="Arial"/>
          <w:szCs w:val="24"/>
          <w:u w:val="single"/>
        </w:rPr>
      </w:pPr>
      <w:r>
        <w:rPr>
          <w:rFonts w:ascii="Arial" w:hAnsi="Arial" w:cs="Arial"/>
          <w:szCs w:val="24"/>
          <w:u w:val="single"/>
        </w:rPr>
        <w:t xml:space="preserve">The Summary of the BC’s 2010 Comment </w:t>
      </w:r>
      <w:r w:rsidR="008424D2" w:rsidRPr="005D792D">
        <w:rPr>
          <w:rFonts w:ascii="Arial" w:hAnsi="Arial" w:cs="Arial"/>
          <w:szCs w:val="24"/>
          <w:u w:val="single"/>
        </w:rPr>
        <w:t>stated:</w:t>
      </w:r>
    </w:p>
    <w:p w14:paraId="45594CED" w14:textId="77777777" w:rsidR="008424D2" w:rsidRPr="005D792D" w:rsidRDefault="008424D2" w:rsidP="008424D2">
      <w:pPr>
        <w:rPr>
          <w:rFonts w:ascii="Arial" w:hAnsi="Arial" w:cs="Arial"/>
          <w:szCs w:val="24"/>
          <w:u w:val="single"/>
        </w:rPr>
      </w:pPr>
    </w:p>
    <w:p w14:paraId="1DFACDCD" w14:textId="77777777" w:rsidR="008424D2" w:rsidRPr="005D792D" w:rsidRDefault="008424D2" w:rsidP="008424D2">
      <w:pPr>
        <w:ind w:left="720" w:right="540"/>
        <w:rPr>
          <w:rFonts w:ascii="Arial" w:hAnsi="Arial" w:cs="Arial"/>
          <w:i/>
          <w:szCs w:val="24"/>
        </w:rPr>
      </w:pPr>
      <w:r w:rsidRPr="005D792D">
        <w:rPr>
          <w:rFonts w:ascii="Arial" w:hAnsi="Arial" w:cs="Arial"/>
          <w:i/>
          <w:szCs w:val="24"/>
        </w:rPr>
        <w:t>The Business Constituency (BC) cannot support approval of this or any other</w:t>
      </w:r>
      <w:r>
        <w:rPr>
          <w:rFonts w:ascii="Arial" w:hAnsi="Arial" w:cs="Arial"/>
          <w:i/>
          <w:szCs w:val="24"/>
        </w:rPr>
        <w:t xml:space="preserve"> </w:t>
      </w:r>
      <w:r w:rsidRPr="005D792D">
        <w:rPr>
          <w:rFonts w:ascii="Arial" w:hAnsi="Arial" w:cs="Arial"/>
          <w:i/>
          <w:szCs w:val="24"/>
        </w:rPr>
        <w:t>UDRP accreditation application at this time on the grounds that no new UDRP</w:t>
      </w:r>
      <w:r>
        <w:rPr>
          <w:rFonts w:ascii="Arial" w:hAnsi="Arial" w:cs="Arial"/>
          <w:i/>
          <w:szCs w:val="24"/>
        </w:rPr>
        <w:t xml:space="preserve"> </w:t>
      </w:r>
      <w:r w:rsidRPr="005D792D">
        <w:rPr>
          <w:rFonts w:ascii="Arial" w:hAnsi="Arial" w:cs="Arial"/>
          <w:i/>
          <w:szCs w:val="24"/>
        </w:rPr>
        <w:t>providers should be accredited until ICANN implements a standard mechanism</w:t>
      </w:r>
      <w:r>
        <w:rPr>
          <w:rFonts w:ascii="Arial" w:hAnsi="Arial" w:cs="Arial"/>
          <w:i/>
          <w:szCs w:val="24"/>
        </w:rPr>
        <w:t xml:space="preserve"> </w:t>
      </w:r>
      <w:r w:rsidRPr="005D792D">
        <w:rPr>
          <w:rFonts w:ascii="Arial" w:hAnsi="Arial" w:cs="Arial"/>
          <w:i/>
          <w:szCs w:val="24"/>
        </w:rPr>
        <w:t>for establishing uniform rules and procedures and flexible means of</w:t>
      </w:r>
      <w:r>
        <w:rPr>
          <w:rFonts w:ascii="Arial" w:hAnsi="Arial" w:cs="Arial"/>
          <w:i/>
          <w:szCs w:val="24"/>
        </w:rPr>
        <w:t xml:space="preserve"> </w:t>
      </w:r>
      <w:r w:rsidRPr="005D792D">
        <w:rPr>
          <w:rFonts w:ascii="Arial" w:hAnsi="Arial" w:cs="Arial"/>
          <w:i/>
          <w:szCs w:val="24"/>
        </w:rPr>
        <w:t>delineating and enforcing arbitration provider responsibilities.</w:t>
      </w:r>
    </w:p>
    <w:p w14:paraId="0DE8FD76" w14:textId="77777777" w:rsidR="008424D2" w:rsidRDefault="008424D2" w:rsidP="008424D2">
      <w:pPr>
        <w:rPr>
          <w:rFonts w:ascii="Arial" w:hAnsi="Arial" w:cs="Arial"/>
          <w:szCs w:val="24"/>
        </w:rPr>
      </w:pPr>
    </w:p>
    <w:p w14:paraId="39B5F68F" w14:textId="77777777" w:rsidR="008424D2" w:rsidRPr="005D792D" w:rsidRDefault="008424D2" w:rsidP="008424D2">
      <w:pPr>
        <w:rPr>
          <w:rFonts w:ascii="Arial" w:hAnsi="Arial" w:cs="Arial"/>
          <w:szCs w:val="24"/>
        </w:rPr>
      </w:pPr>
      <w:r w:rsidRPr="005D792D">
        <w:rPr>
          <w:rFonts w:ascii="Arial" w:hAnsi="Arial" w:cs="Arial"/>
          <w:szCs w:val="24"/>
        </w:rPr>
        <w:t>Two and one half years have passed since the BC submitted that comment, yet there still is no “standard mechanism” for assuring uniform administration of the U</w:t>
      </w:r>
      <w:r>
        <w:rPr>
          <w:rFonts w:ascii="Arial" w:hAnsi="Arial" w:cs="Arial"/>
          <w:szCs w:val="24"/>
        </w:rPr>
        <w:t>DRP</w:t>
      </w:r>
      <w:r w:rsidRPr="005D792D">
        <w:rPr>
          <w:rFonts w:ascii="Arial" w:hAnsi="Arial" w:cs="Arial"/>
          <w:szCs w:val="24"/>
        </w:rPr>
        <w:t xml:space="preserve">, </w:t>
      </w:r>
      <w:r>
        <w:rPr>
          <w:rFonts w:ascii="Arial" w:hAnsi="Arial" w:cs="Arial"/>
          <w:szCs w:val="24"/>
        </w:rPr>
        <w:t>n</w:t>
      </w:r>
      <w:r w:rsidRPr="005D792D">
        <w:rPr>
          <w:rFonts w:ascii="Arial" w:hAnsi="Arial" w:cs="Arial"/>
          <w:szCs w:val="24"/>
        </w:rPr>
        <w:t>or even a process in place to develop such a mechanism.</w:t>
      </w:r>
    </w:p>
    <w:p w14:paraId="14C09190" w14:textId="77777777" w:rsidR="008424D2" w:rsidRPr="005D792D" w:rsidRDefault="008424D2" w:rsidP="008424D2">
      <w:pPr>
        <w:rPr>
          <w:rFonts w:ascii="Arial" w:hAnsi="Arial" w:cs="Arial"/>
          <w:szCs w:val="24"/>
        </w:rPr>
      </w:pPr>
    </w:p>
    <w:p w14:paraId="3A9CEAF9" w14:textId="40CBD694" w:rsidR="008424D2" w:rsidRPr="005D792D" w:rsidRDefault="008424D2" w:rsidP="008424D2">
      <w:pPr>
        <w:rPr>
          <w:rFonts w:ascii="Arial" w:hAnsi="Arial" w:cs="Arial"/>
          <w:szCs w:val="24"/>
          <w:u w:val="single"/>
        </w:rPr>
      </w:pPr>
      <w:r w:rsidRPr="005D792D">
        <w:rPr>
          <w:rFonts w:ascii="Arial" w:hAnsi="Arial" w:cs="Arial"/>
          <w:szCs w:val="24"/>
          <w:u w:val="single"/>
        </w:rPr>
        <w:t xml:space="preserve">The BC’s </w:t>
      </w:r>
      <w:r w:rsidR="00723CCC">
        <w:rPr>
          <w:rFonts w:ascii="Arial" w:hAnsi="Arial" w:cs="Arial"/>
          <w:szCs w:val="24"/>
          <w:u w:val="single"/>
        </w:rPr>
        <w:t xml:space="preserve">2010 comment </w:t>
      </w:r>
      <w:r w:rsidRPr="005D792D">
        <w:rPr>
          <w:rFonts w:ascii="Arial" w:hAnsi="Arial" w:cs="Arial"/>
          <w:szCs w:val="24"/>
          <w:u w:val="single"/>
        </w:rPr>
        <w:t xml:space="preserve">stated the rationale for </w:t>
      </w:r>
      <w:r w:rsidR="00723CCC">
        <w:rPr>
          <w:rFonts w:ascii="Arial" w:hAnsi="Arial" w:cs="Arial"/>
          <w:szCs w:val="24"/>
          <w:u w:val="single"/>
        </w:rPr>
        <w:t xml:space="preserve">our </w:t>
      </w:r>
      <w:r w:rsidRPr="005D792D">
        <w:rPr>
          <w:rFonts w:ascii="Arial" w:hAnsi="Arial" w:cs="Arial"/>
          <w:szCs w:val="24"/>
          <w:u w:val="single"/>
        </w:rPr>
        <w:t>concerns:</w:t>
      </w:r>
    </w:p>
    <w:p w14:paraId="0BFF9C6D" w14:textId="77777777" w:rsidR="00723CCC" w:rsidRDefault="00723CCC" w:rsidP="008424D2">
      <w:pPr>
        <w:ind w:left="720" w:right="810"/>
        <w:rPr>
          <w:rFonts w:ascii="Arial" w:hAnsi="Arial" w:cs="Arial"/>
          <w:i/>
          <w:szCs w:val="24"/>
        </w:rPr>
      </w:pPr>
    </w:p>
    <w:p w14:paraId="30EF2BFF" w14:textId="77777777" w:rsidR="008424D2" w:rsidRPr="005D792D" w:rsidRDefault="008424D2" w:rsidP="008424D2">
      <w:pPr>
        <w:ind w:left="720" w:right="810"/>
        <w:rPr>
          <w:rFonts w:ascii="Arial" w:hAnsi="Arial" w:cs="Arial"/>
          <w:i/>
          <w:szCs w:val="24"/>
        </w:rPr>
      </w:pPr>
      <w:r w:rsidRPr="005D792D">
        <w:rPr>
          <w:rFonts w:ascii="Arial" w:hAnsi="Arial" w:cs="Arial"/>
          <w:i/>
          <w:szCs w:val="24"/>
        </w:rPr>
        <w:t>ICANN appears to be transitioning from an environment in which the vast</w:t>
      </w:r>
      <w:r>
        <w:rPr>
          <w:rFonts w:ascii="Arial" w:hAnsi="Arial" w:cs="Arial"/>
          <w:i/>
          <w:szCs w:val="24"/>
        </w:rPr>
        <w:t xml:space="preserve"> </w:t>
      </w:r>
      <w:r w:rsidRPr="005D792D">
        <w:rPr>
          <w:rFonts w:ascii="Arial" w:hAnsi="Arial" w:cs="Arial"/>
          <w:i/>
          <w:szCs w:val="24"/>
        </w:rPr>
        <w:t>majority of UDRP cases (approximately 98%) were handled by two arbitration</w:t>
      </w:r>
      <w:r>
        <w:rPr>
          <w:rFonts w:ascii="Arial" w:hAnsi="Arial" w:cs="Arial"/>
          <w:i/>
          <w:szCs w:val="24"/>
        </w:rPr>
        <w:t xml:space="preserve"> </w:t>
      </w:r>
      <w:r w:rsidRPr="005D792D">
        <w:rPr>
          <w:rFonts w:ascii="Arial" w:hAnsi="Arial" w:cs="Arial"/>
          <w:i/>
          <w:szCs w:val="24"/>
        </w:rPr>
        <w:t xml:space="preserve">providers (WIPO and NAF) and in which significant </w:t>
      </w:r>
      <w:proofErr w:type="spellStart"/>
      <w:r w:rsidRPr="005D792D">
        <w:rPr>
          <w:rFonts w:ascii="Arial" w:hAnsi="Arial" w:cs="Arial"/>
          <w:i/>
          <w:szCs w:val="24"/>
        </w:rPr>
        <w:t>gTLDs</w:t>
      </w:r>
      <w:proofErr w:type="spellEnd"/>
      <w:r w:rsidRPr="005D792D">
        <w:rPr>
          <w:rFonts w:ascii="Arial" w:hAnsi="Arial" w:cs="Arial"/>
          <w:i/>
          <w:szCs w:val="24"/>
        </w:rPr>
        <w:t xml:space="preserve"> were based in a</w:t>
      </w:r>
      <w:r>
        <w:rPr>
          <w:rFonts w:ascii="Arial" w:hAnsi="Arial" w:cs="Arial"/>
          <w:i/>
          <w:szCs w:val="24"/>
        </w:rPr>
        <w:t xml:space="preserve"> </w:t>
      </w:r>
      <w:r w:rsidRPr="005D792D">
        <w:rPr>
          <w:rFonts w:ascii="Arial" w:hAnsi="Arial" w:cs="Arial"/>
          <w:i/>
          <w:szCs w:val="24"/>
        </w:rPr>
        <w:t>limited number of national jurisdictions to one in which the majority of</w:t>
      </w:r>
      <w:r>
        <w:rPr>
          <w:rFonts w:ascii="Arial" w:hAnsi="Arial" w:cs="Arial"/>
          <w:i/>
          <w:szCs w:val="24"/>
        </w:rPr>
        <w:t xml:space="preserve"> </w:t>
      </w:r>
      <w:proofErr w:type="spellStart"/>
      <w:r w:rsidRPr="005D792D">
        <w:rPr>
          <w:rFonts w:ascii="Arial" w:hAnsi="Arial" w:cs="Arial"/>
          <w:i/>
          <w:szCs w:val="24"/>
        </w:rPr>
        <w:t>gTLDs</w:t>
      </w:r>
      <w:proofErr w:type="spellEnd"/>
      <w:r w:rsidRPr="005D792D">
        <w:rPr>
          <w:rFonts w:ascii="Arial" w:hAnsi="Arial" w:cs="Arial"/>
          <w:i/>
          <w:szCs w:val="24"/>
        </w:rPr>
        <w:t xml:space="preserve"> and UDRP providers may well be headq</w:t>
      </w:r>
      <w:r>
        <w:rPr>
          <w:rFonts w:ascii="Arial" w:hAnsi="Arial" w:cs="Arial"/>
          <w:i/>
          <w:szCs w:val="24"/>
        </w:rPr>
        <w:t xml:space="preserve">uartered in a widely distributed </w:t>
      </w:r>
      <w:r w:rsidRPr="005D792D">
        <w:rPr>
          <w:rFonts w:ascii="Arial" w:hAnsi="Arial" w:cs="Arial"/>
          <w:i/>
          <w:szCs w:val="24"/>
        </w:rPr>
        <w:t>group of jurisdictions.</w:t>
      </w:r>
    </w:p>
    <w:p w14:paraId="3E5057C8" w14:textId="77777777" w:rsidR="008424D2" w:rsidRDefault="008424D2" w:rsidP="008424D2">
      <w:pPr>
        <w:ind w:left="720" w:right="810"/>
        <w:rPr>
          <w:rFonts w:ascii="Arial" w:hAnsi="Arial" w:cs="Arial"/>
          <w:i/>
          <w:szCs w:val="24"/>
        </w:rPr>
      </w:pPr>
    </w:p>
    <w:p w14:paraId="6277B1CC" w14:textId="77777777" w:rsidR="008424D2" w:rsidRPr="005D792D" w:rsidRDefault="008424D2" w:rsidP="008424D2">
      <w:pPr>
        <w:ind w:left="720" w:right="810"/>
        <w:rPr>
          <w:rFonts w:ascii="Arial" w:hAnsi="Arial" w:cs="Arial"/>
          <w:i/>
          <w:szCs w:val="24"/>
        </w:rPr>
      </w:pPr>
      <w:r w:rsidRPr="005D792D">
        <w:rPr>
          <w:rFonts w:ascii="Arial" w:hAnsi="Arial" w:cs="Arial"/>
          <w:i/>
          <w:szCs w:val="24"/>
        </w:rPr>
        <w:t>In the future, business interests may well be investing substantial amounts</w:t>
      </w:r>
      <w:r>
        <w:rPr>
          <w:rFonts w:ascii="Arial" w:hAnsi="Arial" w:cs="Arial"/>
          <w:i/>
          <w:szCs w:val="24"/>
        </w:rPr>
        <w:t xml:space="preserve"> </w:t>
      </w:r>
      <w:r w:rsidRPr="005D792D">
        <w:rPr>
          <w:rFonts w:ascii="Arial" w:hAnsi="Arial" w:cs="Arial"/>
          <w:i/>
          <w:szCs w:val="24"/>
        </w:rPr>
        <w:t xml:space="preserve">in these new </w:t>
      </w:r>
      <w:proofErr w:type="spellStart"/>
      <w:r w:rsidRPr="005D792D">
        <w:rPr>
          <w:rFonts w:ascii="Arial" w:hAnsi="Arial" w:cs="Arial"/>
          <w:i/>
          <w:szCs w:val="24"/>
        </w:rPr>
        <w:t>gTLDs</w:t>
      </w:r>
      <w:proofErr w:type="spellEnd"/>
      <w:r w:rsidRPr="005D792D">
        <w:rPr>
          <w:rFonts w:ascii="Arial" w:hAnsi="Arial" w:cs="Arial"/>
          <w:i/>
          <w:szCs w:val="24"/>
        </w:rPr>
        <w:t>, for both defensive, new branding, and other purposes.</w:t>
      </w:r>
    </w:p>
    <w:p w14:paraId="24ECC8FC" w14:textId="77777777" w:rsidR="008424D2" w:rsidRPr="005D792D" w:rsidRDefault="008424D2" w:rsidP="008424D2">
      <w:pPr>
        <w:ind w:left="720" w:right="810"/>
        <w:rPr>
          <w:rFonts w:ascii="Arial" w:hAnsi="Arial" w:cs="Arial"/>
          <w:i/>
          <w:szCs w:val="24"/>
        </w:rPr>
      </w:pPr>
      <w:r w:rsidRPr="005D792D">
        <w:rPr>
          <w:rFonts w:ascii="Arial" w:hAnsi="Arial" w:cs="Arial"/>
          <w:i/>
          <w:szCs w:val="24"/>
        </w:rPr>
        <w:t>In this type of environment it is</w:t>
      </w:r>
      <w:r>
        <w:rPr>
          <w:rFonts w:ascii="Arial" w:hAnsi="Arial" w:cs="Arial"/>
          <w:i/>
          <w:szCs w:val="24"/>
        </w:rPr>
        <w:t xml:space="preserve"> even more important that all </w:t>
      </w:r>
      <w:r w:rsidRPr="005D792D">
        <w:rPr>
          <w:rFonts w:ascii="Arial" w:hAnsi="Arial" w:cs="Arial"/>
          <w:i/>
          <w:szCs w:val="24"/>
        </w:rPr>
        <w:t>UDRP</w:t>
      </w:r>
      <w:r>
        <w:rPr>
          <w:rFonts w:ascii="Arial" w:hAnsi="Arial" w:cs="Arial"/>
          <w:i/>
          <w:szCs w:val="24"/>
        </w:rPr>
        <w:t xml:space="preserve"> </w:t>
      </w:r>
      <w:r w:rsidRPr="005D792D">
        <w:rPr>
          <w:rFonts w:ascii="Arial" w:hAnsi="Arial" w:cs="Arial"/>
          <w:i/>
          <w:szCs w:val="24"/>
        </w:rPr>
        <w:t>providers be subject to uniform and enforceable responsibilities, as that is</w:t>
      </w:r>
      <w:r>
        <w:rPr>
          <w:rFonts w:ascii="Arial" w:hAnsi="Arial" w:cs="Arial"/>
          <w:i/>
          <w:szCs w:val="24"/>
        </w:rPr>
        <w:t xml:space="preserve"> </w:t>
      </w:r>
      <w:r w:rsidRPr="005D792D">
        <w:rPr>
          <w:rFonts w:ascii="Arial" w:hAnsi="Arial" w:cs="Arial"/>
          <w:i/>
          <w:szCs w:val="24"/>
        </w:rPr>
        <w:t>the only means of furthering the goal that UDRP decisions are consistent</w:t>
      </w:r>
      <w:r>
        <w:rPr>
          <w:rFonts w:ascii="Arial" w:hAnsi="Arial" w:cs="Arial"/>
          <w:i/>
          <w:szCs w:val="24"/>
        </w:rPr>
        <w:t xml:space="preserve"> </w:t>
      </w:r>
      <w:r w:rsidRPr="005D792D">
        <w:rPr>
          <w:rFonts w:ascii="Arial" w:hAnsi="Arial" w:cs="Arial"/>
          <w:i/>
          <w:szCs w:val="24"/>
        </w:rPr>
        <w:t>within and among UDRP providers, and that the UDRP remains an expedited and</w:t>
      </w:r>
      <w:r>
        <w:rPr>
          <w:rFonts w:ascii="Arial" w:hAnsi="Arial" w:cs="Arial"/>
          <w:i/>
          <w:szCs w:val="24"/>
        </w:rPr>
        <w:t xml:space="preserve"> </w:t>
      </w:r>
      <w:r w:rsidRPr="005D792D">
        <w:rPr>
          <w:rFonts w:ascii="Arial" w:hAnsi="Arial" w:cs="Arial"/>
          <w:i/>
          <w:szCs w:val="24"/>
        </w:rPr>
        <w:t>lower cost remediation for addressing cybersquatting.</w:t>
      </w:r>
    </w:p>
    <w:p w14:paraId="2B446B2D" w14:textId="77777777" w:rsidR="008424D2" w:rsidRDefault="008424D2" w:rsidP="008424D2">
      <w:pPr>
        <w:rPr>
          <w:rFonts w:ascii="Arial" w:hAnsi="Arial" w:cs="Arial"/>
          <w:szCs w:val="24"/>
        </w:rPr>
      </w:pPr>
    </w:p>
    <w:p w14:paraId="2AE73846" w14:textId="22808574" w:rsidR="008424D2" w:rsidRPr="005D792D" w:rsidRDefault="00723CCC" w:rsidP="008424D2">
      <w:pPr>
        <w:rPr>
          <w:rFonts w:ascii="Arial" w:hAnsi="Arial" w:cs="Arial"/>
          <w:szCs w:val="24"/>
        </w:rPr>
      </w:pPr>
      <w:r>
        <w:rPr>
          <w:rFonts w:ascii="Arial" w:hAnsi="Arial" w:cs="Arial"/>
          <w:szCs w:val="24"/>
        </w:rPr>
        <w:t>Since 2010</w:t>
      </w:r>
      <w:r w:rsidR="008424D2" w:rsidRPr="005D792D">
        <w:rPr>
          <w:rFonts w:ascii="Arial" w:hAnsi="Arial" w:cs="Arial"/>
          <w:szCs w:val="24"/>
        </w:rPr>
        <w:t xml:space="preserve">, a number of ensuing developments – </w:t>
      </w:r>
      <w:r w:rsidR="008424D2">
        <w:rPr>
          <w:rFonts w:ascii="Arial" w:hAnsi="Arial" w:cs="Arial"/>
          <w:szCs w:val="24"/>
        </w:rPr>
        <w:t xml:space="preserve">including applications for </w:t>
      </w:r>
      <w:r w:rsidR="008424D2" w:rsidRPr="005D792D">
        <w:rPr>
          <w:rFonts w:ascii="Arial" w:hAnsi="Arial" w:cs="Arial"/>
          <w:szCs w:val="24"/>
        </w:rPr>
        <w:t xml:space="preserve">1400 new </w:t>
      </w:r>
      <w:proofErr w:type="spellStart"/>
      <w:r w:rsidR="008424D2" w:rsidRPr="005D792D">
        <w:rPr>
          <w:rFonts w:ascii="Arial" w:hAnsi="Arial" w:cs="Arial"/>
          <w:szCs w:val="24"/>
        </w:rPr>
        <w:t>gTLDs</w:t>
      </w:r>
      <w:proofErr w:type="spellEnd"/>
      <w:r w:rsidR="008424D2" w:rsidRPr="005D792D">
        <w:rPr>
          <w:rFonts w:ascii="Arial" w:hAnsi="Arial" w:cs="Arial"/>
          <w:szCs w:val="24"/>
        </w:rPr>
        <w:t>, as well as ICANN’s announcement that it will divide its operations between Los Angeles, Singapore, a</w:t>
      </w:r>
      <w:r>
        <w:rPr>
          <w:rFonts w:ascii="Arial" w:hAnsi="Arial" w:cs="Arial"/>
          <w:szCs w:val="24"/>
        </w:rPr>
        <w:t xml:space="preserve">nd Istanbul – indicate that </w:t>
      </w:r>
      <w:r w:rsidR="008424D2" w:rsidRPr="005D792D">
        <w:rPr>
          <w:rFonts w:ascii="Arial" w:hAnsi="Arial" w:cs="Arial"/>
          <w:szCs w:val="24"/>
        </w:rPr>
        <w:t xml:space="preserve">projected </w:t>
      </w:r>
      <w:r w:rsidR="008424D2">
        <w:rPr>
          <w:rFonts w:ascii="Arial" w:hAnsi="Arial" w:cs="Arial"/>
          <w:szCs w:val="24"/>
        </w:rPr>
        <w:t>responsibilities</w:t>
      </w:r>
      <w:r w:rsidR="008424D2" w:rsidRPr="005D792D">
        <w:rPr>
          <w:rFonts w:ascii="Arial" w:hAnsi="Arial" w:cs="Arial"/>
          <w:szCs w:val="24"/>
        </w:rPr>
        <w:t xml:space="preserve"> are arriving </w:t>
      </w:r>
      <w:r w:rsidR="00F508B7">
        <w:rPr>
          <w:rFonts w:ascii="Arial" w:hAnsi="Arial" w:cs="Arial"/>
          <w:szCs w:val="24"/>
        </w:rPr>
        <w:t>at</w:t>
      </w:r>
      <w:r w:rsidR="008424D2" w:rsidRPr="005D792D">
        <w:rPr>
          <w:rFonts w:ascii="Arial" w:hAnsi="Arial" w:cs="Arial"/>
          <w:szCs w:val="24"/>
        </w:rPr>
        <w:t xml:space="preserve"> an accelerated </w:t>
      </w:r>
      <w:r w:rsidR="00F508B7">
        <w:rPr>
          <w:rFonts w:ascii="Arial" w:hAnsi="Arial" w:cs="Arial"/>
          <w:szCs w:val="24"/>
        </w:rPr>
        <w:lastRenderedPageBreak/>
        <w:t>pace</w:t>
      </w:r>
      <w:r w:rsidR="008424D2" w:rsidRPr="005D792D">
        <w:rPr>
          <w:rFonts w:ascii="Arial" w:hAnsi="Arial" w:cs="Arial"/>
          <w:szCs w:val="24"/>
        </w:rPr>
        <w:t>. This is turn increases the need for a mechanism to ensure uniform implementation of the UDRP in all regions and among all arbitration providers.</w:t>
      </w:r>
    </w:p>
    <w:p w14:paraId="7AD056D0" w14:textId="77777777" w:rsidR="008424D2" w:rsidRDefault="008424D2" w:rsidP="008424D2">
      <w:pPr>
        <w:rPr>
          <w:rFonts w:ascii="Arial" w:hAnsi="Arial" w:cs="Arial"/>
          <w:szCs w:val="24"/>
        </w:rPr>
      </w:pPr>
    </w:p>
    <w:p w14:paraId="0366AF46" w14:textId="77777777" w:rsidR="008424D2" w:rsidRDefault="008424D2" w:rsidP="008424D2">
      <w:pPr>
        <w:rPr>
          <w:rFonts w:ascii="Arial" w:hAnsi="Arial" w:cs="Arial"/>
          <w:szCs w:val="24"/>
        </w:rPr>
      </w:pPr>
      <w:r w:rsidRPr="005D792D">
        <w:rPr>
          <w:rFonts w:ascii="Arial" w:hAnsi="Arial" w:cs="Arial"/>
          <w:szCs w:val="24"/>
        </w:rPr>
        <w:t>To be clear, the BC is not opposed to increasing the ranks of accredited UDRP providers. The BC re</w:t>
      </w:r>
      <w:r>
        <w:rPr>
          <w:rFonts w:ascii="Arial" w:hAnsi="Arial" w:cs="Arial"/>
          <w:szCs w:val="24"/>
        </w:rPr>
        <w:t>cognizes that relevant and high-</w:t>
      </w:r>
      <w:r w:rsidRPr="005D792D">
        <w:rPr>
          <w:rFonts w:ascii="Arial" w:hAnsi="Arial" w:cs="Arial"/>
          <w:szCs w:val="24"/>
        </w:rPr>
        <w:t>quality legal expertise can be found in all regions of the world, and that businesses may well prefer to have UDRP cases handled by regional entities rather than the now-dominant providers located in</w:t>
      </w:r>
      <w:r>
        <w:rPr>
          <w:rFonts w:ascii="Arial" w:hAnsi="Arial" w:cs="Arial"/>
          <w:szCs w:val="24"/>
        </w:rPr>
        <w:t xml:space="preserve"> Europe and the United States. </w:t>
      </w:r>
    </w:p>
    <w:p w14:paraId="259F75FB" w14:textId="77777777" w:rsidR="008424D2" w:rsidRDefault="008424D2" w:rsidP="008424D2">
      <w:pPr>
        <w:rPr>
          <w:rFonts w:ascii="Arial" w:hAnsi="Arial" w:cs="Arial"/>
          <w:szCs w:val="24"/>
        </w:rPr>
      </w:pPr>
    </w:p>
    <w:p w14:paraId="155EBBBE" w14:textId="2570F1B6" w:rsidR="008424D2" w:rsidRPr="005D792D" w:rsidRDefault="008424D2" w:rsidP="008424D2">
      <w:pPr>
        <w:rPr>
          <w:rFonts w:ascii="Arial" w:hAnsi="Arial" w:cs="Arial"/>
          <w:szCs w:val="24"/>
        </w:rPr>
      </w:pPr>
      <w:r>
        <w:rPr>
          <w:rFonts w:ascii="Arial" w:hAnsi="Arial" w:cs="Arial"/>
          <w:szCs w:val="24"/>
        </w:rPr>
        <w:t>Y</w:t>
      </w:r>
      <w:r w:rsidRPr="005D792D">
        <w:rPr>
          <w:rFonts w:ascii="Arial" w:hAnsi="Arial" w:cs="Arial"/>
          <w:szCs w:val="24"/>
        </w:rPr>
        <w:t xml:space="preserve">et the BC remains concerned that </w:t>
      </w:r>
      <w:r>
        <w:rPr>
          <w:rFonts w:ascii="Arial" w:hAnsi="Arial" w:cs="Arial"/>
          <w:szCs w:val="24"/>
        </w:rPr>
        <w:t>an expansion</w:t>
      </w:r>
      <w:r w:rsidRPr="005D792D">
        <w:rPr>
          <w:rFonts w:ascii="Arial" w:hAnsi="Arial" w:cs="Arial"/>
          <w:szCs w:val="24"/>
        </w:rPr>
        <w:t xml:space="preserve"> of UDRP providers in the absence of a standard mechanism may lead to a divergence of UDRP case law between various providers</w:t>
      </w:r>
      <w:r>
        <w:rPr>
          <w:rFonts w:ascii="Arial" w:hAnsi="Arial" w:cs="Arial"/>
          <w:szCs w:val="24"/>
        </w:rPr>
        <w:t xml:space="preserve">.  That could </w:t>
      </w:r>
      <w:r w:rsidRPr="005D792D">
        <w:rPr>
          <w:rFonts w:ascii="Arial" w:hAnsi="Arial" w:cs="Arial"/>
          <w:szCs w:val="24"/>
        </w:rPr>
        <w:t>erode uniform application of the Policy and increase business sector risk and uncertainty.</w:t>
      </w:r>
    </w:p>
    <w:p w14:paraId="717DE0F1" w14:textId="77777777" w:rsidR="008424D2" w:rsidRDefault="008424D2" w:rsidP="008424D2">
      <w:pPr>
        <w:rPr>
          <w:rFonts w:ascii="Arial" w:hAnsi="Arial" w:cs="Arial"/>
          <w:szCs w:val="24"/>
        </w:rPr>
      </w:pPr>
    </w:p>
    <w:p w14:paraId="6E551B0C" w14:textId="77777777" w:rsidR="008424D2" w:rsidRPr="005D792D" w:rsidRDefault="008424D2" w:rsidP="008424D2">
      <w:pPr>
        <w:rPr>
          <w:rFonts w:ascii="Arial" w:hAnsi="Arial" w:cs="Arial"/>
          <w:szCs w:val="24"/>
        </w:rPr>
      </w:pPr>
      <w:r w:rsidRPr="005D792D">
        <w:rPr>
          <w:rFonts w:ascii="Arial" w:hAnsi="Arial" w:cs="Arial"/>
          <w:szCs w:val="24"/>
        </w:rPr>
        <w:t>The ACDR’s revised applicatio</w:t>
      </w:r>
      <w:r>
        <w:rPr>
          <w:rFonts w:ascii="Arial" w:hAnsi="Arial" w:cs="Arial"/>
          <w:szCs w:val="24"/>
        </w:rPr>
        <w:t>n of March 1, 2013 speaks to and is</w:t>
      </w:r>
      <w:r w:rsidRPr="005D792D">
        <w:rPr>
          <w:rFonts w:ascii="Arial" w:hAnsi="Arial" w:cs="Arial"/>
          <w:szCs w:val="24"/>
        </w:rPr>
        <w:t xml:space="preserve"> illustrative of these concerns. In the application section “Our Vision”, it states:</w:t>
      </w:r>
    </w:p>
    <w:p w14:paraId="052B77B0" w14:textId="77777777" w:rsidR="008424D2" w:rsidRDefault="008424D2" w:rsidP="008424D2">
      <w:pPr>
        <w:ind w:left="720" w:right="720"/>
        <w:rPr>
          <w:rFonts w:ascii="Arial" w:hAnsi="Arial" w:cs="Arial"/>
          <w:i/>
          <w:szCs w:val="24"/>
        </w:rPr>
      </w:pPr>
    </w:p>
    <w:p w14:paraId="51FB8FF2" w14:textId="77777777" w:rsidR="008424D2" w:rsidRPr="005D792D" w:rsidRDefault="008424D2" w:rsidP="008424D2">
      <w:pPr>
        <w:ind w:left="720" w:right="720"/>
        <w:rPr>
          <w:rFonts w:ascii="Arial" w:hAnsi="Arial" w:cs="Arial"/>
          <w:i/>
          <w:szCs w:val="24"/>
        </w:rPr>
      </w:pPr>
      <w:r w:rsidRPr="005D792D">
        <w:rPr>
          <w:rFonts w:ascii="Arial" w:hAnsi="Arial" w:cs="Arial"/>
          <w:i/>
          <w:szCs w:val="24"/>
        </w:rPr>
        <w:t>While we put impartiality and professionalism first, we also take into account the</w:t>
      </w:r>
      <w:r>
        <w:rPr>
          <w:rFonts w:ascii="Arial" w:hAnsi="Arial" w:cs="Arial"/>
          <w:i/>
          <w:szCs w:val="24"/>
        </w:rPr>
        <w:t xml:space="preserve"> </w:t>
      </w:r>
      <w:r w:rsidRPr="005D792D">
        <w:rPr>
          <w:rFonts w:ascii="Arial" w:hAnsi="Arial" w:cs="Arial"/>
          <w:i/>
          <w:szCs w:val="24"/>
        </w:rPr>
        <w:t xml:space="preserve">necessity for gradual </w:t>
      </w:r>
      <w:proofErr w:type="spellStart"/>
      <w:r w:rsidRPr="005D792D">
        <w:rPr>
          <w:rFonts w:ascii="Arial" w:hAnsi="Arial" w:cs="Arial"/>
          <w:i/>
          <w:szCs w:val="24"/>
        </w:rPr>
        <w:t>invergance</w:t>
      </w:r>
      <w:proofErr w:type="spellEnd"/>
      <w:r w:rsidRPr="005D792D">
        <w:rPr>
          <w:rFonts w:ascii="Arial" w:hAnsi="Arial" w:cs="Arial"/>
          <w:i/>
          <w:szCs w:val="24"/>
        </w:rPr>
        <w:t xml:space="preserve"> [sic] of the rules applied by UDRP providers. Hence, we acknowledge the importance of constant interaction among the existing providers in order to stay aware of the conflicting policies and to interactively discuss them.</w:t>
      </w:r>
    </w:p>
    <w:p w14:paraId="6F9B5168" w14:textId="77777777" w:rsidR="008424D2" w:rsidRDefault="008424D2" w:rsidP="008424D2">
      <w:pPr>
        <w:rPr>
          <w:rFonts w:ascii="Arial" w:hAnsi="Arial" w:cs="Arial"/>
          <w:szCs w:val="24"/>
        </w:rPr>
      </w:pPr>
    </w:p>
    <w:p w14:paraId="3ACE2908" w14:textId="77777777" w:rsidR="008424D2" w:rsidRDefault="008424D2" w:rsidP="008424D2">
      <w:pPr>
        <w:rPr>
          <w:rFonts w:ascii="Arial" w:hAnsi="Arial" w:cs="Arial"/>
          <w:szCs w:val="24"/>
        </w:rPr>
      </w:pPr>
      <w:r w:rsidRPr="005D792D">
        <w:rPr>
          <w:rFonts w:ascii="Arial" w:hAnsi="Arial" w:cs="Arial"/>
          <w:szCs w:val="24"/>
        </w:rPr>
        <w:t xml:space="preserve">We commend ACDR for recognizing the </w:t>
      </w:r>
      <w:r>
        <w:rPr>
          <w:rFonts w:ascii="Arial" w:hAnsi="Arial" w:cs="Arial"/>
          <w:szCs w:val="24"/>
        </w:rPr>
        <w:t xml:space="preserve">need for </w:t>
      </w:r>
      <w:r w:rsidRPr="005D792D">
        <w:rPr>
          <w:rFonts w:ascii="Arial" w:hAnsi="Arial" w:cs="Arial"/>
          <w:szCs w:val="24"/>
        </w:rPr>
        <w:t>uniformity of rules applied by UDRP providers and its commitment to “constant interaction” in pursuit of that goal. Yet no UDRP provider has any authority to require another to apply the rules in a consistent manner; rather, it is ICANN that accredits all UDRP providers and therefore ICANN’s responsibility to establish the enforceable mechanism that can best achieve that goal.</w:t>
      </w:r>
    </w:p>
    <w:p w14:paraId="348F0502" w14:textId="77777777" w:rsidR="008424D2" w:rsidRPr="005D792D" w:rsidRDefault="008424D2" w:rsidP="008424D2">
      <w:pPr>
        <w:rPr>
          <w:rFonts w:ascii="Arial" w:hAnsi="Arial" w:cs="Arial"/>
          <w:szCs w:val="24"/>
        </w:rPr>
      </w:pPr>
    </w:p>
    <w:p w14:paraId="1208E3E3" w14:textId="5DFEE722" w:rsidR="008424D2" w:rsidRDefault="008424D2" w:rsidP="008424D2">
      <w:pPr>
        <w:rPr>
          <w:rFonts w:ascii="Arial" w:hAnsi="Arial" w:cs="Arial"/>
          <w:szCs w:val="24"/>
        </w:rPr>
      </w:pPr>
      <w:r>
        <w:rPr>
          <w:rFonts w:ascii="Arial" w:hAnsi="Arial" w:cs="Arial"/>
          <w:szCs w:val="24"/>
        </w:rPr>
        <w:t>ACDR’s a</w:t>
      </w:r>
      <w:r w:rsidRPr="005D792D">
        <w:rPr>
          <w:rFonts w:ascii="Arial" w:hAnsi="Arial" w:cs="Arial"/>
          <w:szCs w:val="24"/>
        </w:rPr>
        <w:t>pplication’s Initial List of Neutrals also raises relevant concerns:</w:t>
      </w:r>
    </w:p>
    <w:p w14:paraId="16F5EC41" w14:textId="77777777" w:rsidR="008424D2" w:rsidRPr="005D792D" w:rsidRDefault="008424D2" w:rsidP="008424D2">
      <w:pPr>
        <w:rPr>
          <w:rFonts w:ascii="Arial" w:hAnsi="Arial" w:cs="Arial"/>
          <w:szCs w:val="24"/>
        </w:rPr>
      </w:pPr>
    </w:p>
    <w:p w14:paraId="7A1B35FB" w14:textId="77777777" w:rsidR="008424D2" w:rsidRPr="005D792D" w:rsidRDefault="008424D2" w:rsidP="008424D2">
      <w:pPr>
        <w:ind w:left="720"/>
        <w:rPr>
          <w:rFonts w:ascii="Arial" w:hAnsi="Arial" w:cs="Arial"/>
          <w:i/>
          <w:szCs w:val="24"/>
        </w:rPr>
      </w:pPr>
      <w:r w:rsidRPr="005D792D">
        <w:rPr>
          <w:rFonts w:ascii="Arial" w:hAnsi="Arial" w:cs="Arial"/>
          <w:i/>
          <w:szCs w:val="24"/>
        </w:rPr>
        <w:t>In line with the vision of ACDR, panelists will be invited from different nationalities and with different approaches to IP and other related fields. The selection of the panelists will be according to their experience and knowledge.</w:t>
      </w:r>
    </w:p>
    <w:p w14:paraId="7375387A" w14:textId="77777777" w:rsidR="008424D2" w:rsidRDefault="008424D2" w:rsidP="008424D2">
      <w:pPr>
        <w:rPr>
          <w:rFonts w:ascii="Arial" w:hAnsi="Arial" w:cs="Arial"/>
          <w:szCs w:val="24"/>
        </w:rPr>
      </w:pPr>
    </w:p>
    <w:p w14:paraId="464CD501" w14:textId="77777777" w:rsidR="00503387" w:rsidRDefault="008424D2" w:rsidP="008424D2">
      <w:pPr>
        <w:rPr>
          <w:rFonts w:ascii="Arial" w:hAnsi="Arial" w:cs="Arial"/>
          <w:szCs w:val="24"/>
        </w:rPr>
      </w:pPr>
      <w:r>
        <w:rPr>
          <w:rFonts w:ascii="Arial" w:hAnsi="Arial" w:cs="Arial"/>
          <w:szCs w:val="24"/>
        </w:rPr>
        <w:t>ACDR’s</w:t>
      </w:r>
      <w:r w:rsidRPr="005D792D">
        <w:rPr>
          <w:rFonts w:ascii="Arial" w:hAnsi="Arial" w:cs="Arial"/>
          <w:szCs w:val="24"/>
        </w:rPr>
        <w:t xml:space="preserve"> reference to “different approaches to IP” seems at odds with the need for uniform approaches in UDRP jurisprudence. </w:t>
      </w:r>
    </w:p>
    <w:p w14:paraId="33CF14A6" w14:textId="77777777" w:rsidR="00503387" w:rsidRDefault="00503387" w:rsidP="008424D2">
      <w:pPr>
        <w:rPr>
          <w:rFonts w:ascii="Arial" w:hAnsi="Arial" w:cs="Arial"/>
          <w:szCs w:val="24"/>
        </w:rPr>
      </w:pPr>
    </w:p>
    <w:p w14:paraId="00F2D912" w14:textId="0C94640E" w:rsidR="008424D2" w:rsidRPr="005D792D" w:rsidRDefault="008424D2" w:rsidP="008424D2">
      <w:pPr>
        <w:rPr>
          <w:rFonts w:ascii="Arial" w:hAnsi="Arial" w:cs="Arial"/>
          <w:szCs w:val="24"/>
        </w:rPr>
      </w:pPr>
      <w:r w:rsidRPr="005D792D">
        <w:rPr>
          <w:rFonts w:ascii="Arial" w:hAnsi="Arial" w:cs="Arial"/>
          <w:szCs w:val="24"/>
        </w:rPr>
        <w:t xml:space="preserve">Also, while many of the initial panelists listed in </w:t>
      </w:r>
      <w:r>
        <w:rPr>
          <w:rFonts w:ascii="Arial" w:hAnsi="Arial" w:cs="Arial"/>
          <w:szCs w:val="24"/>
        </w:rPr>
        <w:t xml:space="preserve">ACDR’s </w:t>
      </w:r>
      <w:r w:rsidRPr="005D792D">
        <w:rPr>
          <w:rFonts w:ascii="Arial" w:hAnsi="Arial" w:cs="Arial"/>
          <w:szCs w:val="24"/>
        </w:rPr>
        <w:t>Annex 1 have impressi</w:t>
      </w:r>
      <w:r>
        <w:rPr>
          <w:rFonts w:ascii="Arial" w:hAnsi="Arial" w:cs="Arial"/>
          <w:szCs w:val="24"/>
        </w:rPr>
        <w:t xml:space="preserve">ve credentials (indeed, one is </w:t>
      </w:r>
      <w:r w:rsidRPr="005D792D">
        <w:rPr>
          <w:rFonts w:ascii="Arial" w:hAnsi="Arial" w:cs="Arial"/>
          <w:szCs w:val="24"/>
        </w:rPr>
        <w:t>a</w:t>
      </w:r>
      <w:r>
        <w:rPr>
          <w:rFonts w:ascii="Arial" w:hAnsi="Arial" w:cs="Arial"/>
          <w:szCs w:val="24"/>
        </w:rPr>
        <w:t xml:space="preserve"> </w:t>
      </w:r>
      <w:r w:rsidRPr="005D792D">
        <w:rPr>
          <w:rFonts w:ascii="Arial" w:hAnsi="Arial" w:cs="Arial"/>
          <w:szCs w:val="24"/>
        </w:rPr>
        <w:t>long-time participant in the BC’s leadership) we do note that fifteen of the thirty-three listed neutrals have no prior experience in UDRP administration. This raises the issue of how such panelists will be made familiar with existing UDRP practice prior to initiating their own participation in the process.</w:t>
      </w:r>
    </w:p>
    <w:p w14:paraId="7304895E" w14:textId="77777777" w:rsidR="008424D2" w:rsidRDefault="008424D2" w:rsidP="008424D2">
      <w:pPr>
        <w:rPr>
          <w:rFonts w:ascii="Arial" w:hAnsi="Arial" w:cs="Arial"/>
          <w:szCs w:val="24"/>
        </w:rPr>
      </w:pPr>
    </w:p>
    <w:p w14:paraId="7AF6CA69" w14:textId="77777777" w:rsidR="00503387" w:rsidRDefault="00503387" w:rsidP="008424D2">
      <w:pPr>
        <w:rPr>
          <w:rFonts w:ascii="Arial" w:hAnsi="Arial" w:cs="Arial"/>
          <w:szCs w:val="24"/>
        </w:rPr>
      </w:pPr>
    </w:p>
    <w:p w14:paraId="7F7E36D1" w14:textId="3E40C251" w:rsidR="008424D2" w:rsidRPr="005D792D" w:rsidRDefault="008424D2" w:rsidP="008424D2">
      <w:pPr>
        <w:rPr>
          <w:rFonts w:ascii="Arial" w:hAnsi="Arial" w:cs="Arial"/>
          <w:szCs w:val="24"/>
        </w:rPr>
      </w:pPr>
      <w:r w:rsidRPr="005D792D">
        <w:rPr>
          <w:rFonts w:ascii="Arial" w:hAnsi="Arial" w:cs="Arial"/>
          <w:szCs w:val="24"/>
        </w:rPr>
        <w:t xml:space="preserve">Finally, in </w:t>
      </w:r>
      <w:r w:rsidR="00503387">
        <w:rPr>
          <w:rFonts w:ascii="Arial" w:hAnsi="Arial" w:cs="Arial"/>
          <w:szCs w:val="24"/>
        </w:rPr>
        <w:t>ACDR’s application</w:t>
      </w:r>
      <w:bookmarkStart w:id="0" w:name="_GoBack"/>
      <w:bookmarkEnd w:id="0"/>
      <w:r w:rsidRPr="005D792D">
        <w:rPr>
          <w:rFonts w:ascii="Arial" w:hAnsi="Arial" w:cs="Arial"/>
          <w:szCs w:val="24"/>
        </w:rPr>
        <w:t xml:space="preserve"> section on Online Discussion, it is stated:</w:t>
      </w:r>
    </w:p>
    <w:p w14:paraId="1016CE77" w14:textId="77777777" w:rsidR="008424D2" w:rsidRDefault="008424D2" w:rsidP="008424D2">
      <w:pPr>
        <w:ind w:left="720" w:right="810"/>
        <w:rPr>
          <w:rFonts w:ascii="Arial" w:hAnsi="Arial" w:cs="Arial"/>
          <w:i/>
          <w:szCs w:val="24"/>
        </w:rPr>
      </w:pPr>
    </w:p>
    <w:p w14:paraId="2809E15F" w14:textId="77777777" w:rsidR="008424D2" w:rsidRPr="005D792D" w:rsidRDefault="008424D2" w:rsidP="008424D2">
      <w:pPr>
        <w:ind w:left="720" w:right="810"/>
        <w:rPr>
          <w:rFonts w:ascii="Arial" w:hAnsi="Arial" w:cs="Arial"/>
          <w:i/>
          <w:szCs w:val="24"/>
        </w:rPr>
      </w:pPr>
      <w:r w:rsidRPr="005D792D">
        <w:rPr>
          <w:rFonts w:ascii="Arial" w:hAnsi="Arial" w:cs="Arial"/>
          <w:i/>
          <w:szCs w:val="24"/>
        </w:rPr>
        <w:lastRenderedPageBreak/>
        <w:t xml:space="preserve">The ACDR will establish an online discussion medium, accessible by panelists only, enabling them to communicate with each other and exchange perspectives and experience on all matters relating to the Center’s UDRP process and legal practice of domain dispute resolution. </w:t>
      </w:r>
    </w:p>
    <w:p w14:paraId="55FB73AF" w14:textId="77777777" w:rsidR="008424D2" w:rsidRDefault="008424D2" w:rsidP="008424D2">
      <w:pPr>
        <w:ind w:left="720" w:right="810"/>
        <w:rPr>
          <w:rFonts w:ascii="Arial" w:hAnsi="Arial" w:cs="Arial"/>
          <w:i/>
          <w:szCs w:val="24"/>
        </w:rPr>
      </w:pPr>
    </w:p>
    <w:p w14:paraId="1E17B8AE" w14:textId="77777777" w:rsidR="008424D2" w:rsidRPr="005D792D" w:rsidRDefault="008424D2" w:rsidP="008424D2">
      <w:pPr>
        <w:ind w:left="720" w:right="810"/>
        <w:rPr>
          <w:rFonts w:ascii="Arial" w:hAnsi="Arial" w:cs="Arial"/>
          <w:i/>
          <w:szCs w:val="24"/>
        </w:rPr>
      </w:pPr>
      <w:r w:rsidRPr="005D792D">
        <w:rPr>
          <w:rFonts w:ascii="Arial" w:hAnsi="Arial" w:cs="Arial"/>
          <w:i/>
          <w:szCs w:val="24"/>
        </w:rPr>
        <w:t>Any significant legal perspectives or points of critical practice importance which would have the effect of further development in the field will be published on the Center’s website in the form of panelists’ views on UDRP practice.</w:t>
      </w:r>
    </w:p>
    <w:p w14:paraId="2A91F337" w14:textId="77777777" w:rsidR="008424D2" w:rsidRDefault="008424D2" w:rsidP="008424D2">
      <w:pPr>
        <w:rPr>
          <w:rFonts w:ascii="Arial" w:hAnsi="Arial" w:cs="Arial"/>
          <w:szCs w:val="24"/>
        </w:rPr>
      </w:pPr>
    </w:p>
    <w:p w14:paraId="0F14A369" w14:textId="77777777" w:rsidR="008424D2" w:rsidRPr="005D792D" w:rsidRDefault="008424D2" w:rsidP="008424D2">
      <w:pPr>
        <w:rPr>
          <w:rFonts w:ascii="Arial" w:hAnsi="Arial" w:cs="Arial"/>
          <w:bCs/>
          <w:szCs w:val="24"/>
        </w:rPr>
      </w:pPr>
      <w:r w:rsidRPr="005D792D">
        <w:rPr>
          <w:rFonts w:ascii="Arial" w:hAnsi="Arial" w:cs="Arial"/>
          <w:szCs w:val="24"/>
        </w:rPr>
        <w:t xml:space="preserve">And in the section titled </w:t>
      </w:r>
      <w:proofErr w:type="gramStart"/>
      <w:r w:rsidRPr="005D792D">
        <w:rPr>
          <w:rFonts w:ascii="Arial" w:hAnsi="Arial" w:cs="Arial"/>
          <w:bCs/>
          <w:szCs w:val="24"/>
        </w:rPr>
        <w:t>Publishing</w:t>
      </w:r>
      <w:proofErr w:type="gramEnd"/>
      <w:r w:rsidRPr="005D792D">
        <w:rPr>
          <w:rFonts w:ascii="Arial" w:hAnsi="Arial" w:cs="Arial"/>
          <w:bCs/>
          <w:szCs w:val="24"/>
        </w:rPr>
        <w:t xml:space="preserve"> the Decision of the Panelists, it is further stated:</w:t>
      </w:r>
    </w:p>
    <w:p w14:paraId="3C2C5B60" w14:textId="77777777" w:rsidR="008424D2" w:rsidRDefault="008424D2" w:rsidP="008424D2">
      <w:pPr>
        <w:ind w:left="720" w:right="900"/>
        <w:rPr>
          <w:rFonts w:ascii="Arial" w:hAnsi="Arial" w:cs="Arial"/>
          <w:i/>
          <w:szCs w:val="24"/>
        </w:rPr>
      </w:pPr>
    </w:p>
    <w:p w14:paraId="25CDAF77" w14:textId="77777777" w:rsidR="008424D2" w:rsidRPr="005D792D" w:rsidRDefault="008424D2" w:rsidP="008424D2">
      <w:pPr>
        <w:ind w:left="720" w:right="900"/>
        <w:rPr>
          <w:rFonts w:ascii="Arial" w:hAnsi="Arial" w:cs="Arial"/>
          <w:i/>
          <w:szCs w:val="24"/>
        </w:rPr>
      </w:pPr>
      <w:r w:rsidRPr="005D792D">
        <w:rPr>
          <w:rFonts w:ascii="Arial" w:hAnsi="Arial" w:cs="Arial"/>
          <w:i/>
          <w:szCs w:val="24"/>
        </w:rPr>
        <w:t>ACDR will have its own system/search tool for researching the Center’s decisions resolved under UDRP. The tool will assist complainants, respondents, their counsel, panelists, providers and members of the public who are concerned with the DNS, the UDRP practice, as well as IP protection in general, in researching decisions on domain names.</w:t>
      </w:r>
    </w:p>
    <w:p w14:paraId="0CBA35EA" w14:textId="77777777" w:rsidR="008424D2" w:rsidRDefault="008424D2" w:rsidP="008424D2">
      <w:pPr>
        <w:rPr>
          <w:rFonts w:ascii="Arial" w:hAnsi="Arial" w:cs="Arial"/>
          <w:szCs w:val="24"/>
        </w:rPr>
      </w:pPr>
    </w:p>
    <w:p w14:paraId="5ED1242C" w14:textId="77777777" w:rsidR="008424D2" w:rsidRPr="005D792D" w:rsidRDefault="008424D2" w:rsidP="008424D2">
      <w:pPr>
        <w:rPr>
          <w:rFonts w:ascii="Arial" w:hAnsi="Arial" w:cs="Arial"/>
          <w:szCs w:val="24"/>
        </w:rPr>
      </w:pPr>
      <w:r w:rsidRPr="005D792D">
        <w:rPr>
          <w:rFonts w:ascii="Arial" w:hAnsi="Arial" w:cs="Arial"/>
          <w:szCs w:val="24"/>
        </w:rPr>
        <w:t>These statements raise concern that</w:t>
      </w:r>
      <w:r>
        <w:rPr>
          <w:rFonts w:ascii="Arial" w:hAnsi="Arial" w:cs="Arial"/>
          <w:szCs w:val="24"/>
        </w:rPr>
        <w:t xml:space="preserve"> ACDR’s </w:t>
      </w:r>
      <w:r w:rsidRPr="005D792D">
        <w:rPr>
          <w:rFonts w:ascii="Arial" w:hAnsi="Arial" w:cs="Arial"/>
          <w:szCs w:val="24"/>
        </w:rPr>
        <w:t>focus on the “Center’s U</w:t>
      </w:r>
      <w:r>
        <w:rPr>
          <w:rFonts w:ascii="Arial" w:hAnsi="Arial" w:cs="Arial"/>
          <w:szCs w:val="24"/>
        </w:rPr>
        <w:t>DRP process and legal practice”</w:t>
      </w:r>
      <w:r w:rsidRPr="005D792D">
        <w:rPr>
          <w:rFonts w:ascii="Arial" w:hAnsi="Arial" w:cs="Arial"/>
          <w:szCs w:val="24"/>
        </w:rPr>
        <w:t xml:space="preserve"> and development of a search tool </w:t>
      </w:r>
      <w:r>
        <w:rPr>
          <w:rFonts w:ascii="Arial" w:hAnsi="Arial" w:cs="Arial"/>
          <w:szCs w:val="24"/>
        </w:rPr>
        <w:t>aimed</w:t>
      </w:r>
      <w:r w:rsidRPr="005D792D">
        <w:rPr>
          <w:rFonts w:ascii="Arial" w:hAnsi="Arial" w:cs="Arial"/>
          <w:szCs w:val="24"/>
        </w:rPr>
        <w:t xml:space="preserve"> </w:t>
      </w:r>
      <w:r>
        <w:rPr>
          <w:rFonts w:ascii="Arial" w:hAnsi="Arial" w:cs="Arial"/>
          <w:szCs w:val="24"/>
        </w:rPr>
        <w:t xml:space="preserve">at </w:t>
      </w:r>
      <w:r w:rsidRPr="005D792D">
        <w:rPr>
          <w:rFonts w:ascii="Arial" w:hAnsi="Arial" w:cs="Arial"/>
          <w:szCs w:val="24"/>
        </w:rPr>
        <w:t>only the “Center’s decisions”</w:t>
      </w:r>
      <w:proofErr w:type="gramStart"/>
      <w:r w:rsidRPr="005D792D">
        <w:rPr>
          <w:rFonts w:ascii="Arial" w:hAnsi="Arial" w:cs="Arial"/>
          <w:szCs w:val="24"/>
        </w:rPr>
        <w:t>,  there</w:t>
      </w:r>
      <w:proofErr w:type="gramEnd"/>
      <w:r w:rsidRPr="005D792D">
        <w:rPr>
          <w:rFonts w:ascii="Arial" w:hAnsi="Arial" w:cs="Arial"/>
          <w:szCs w:val="24"/>
        </w:rPr>
        <w:t xml:space="preserve"> may arise an ACDR arbitration practice that over time begins to differ in significant ways from that of other UDRP providers. Instead, ICANN needs to foster the development of tools that provide comprehensive information about UDRP practice among </w:t>
      </w:r>
      <w:r>
        <w:rPr>
          <w:rFonts w:ascii="Arial" w:hAnsi="Arial" w:cs="Arial"/>
          <w:szCs w:val="24"/>
        </w:rPr>
        <w:t xml:space="preserve">and across </w:t>
      </w:r>
      <w:r w:rsidRPr="005D792D">
        <w:rPr>
          <w:rFonts w:ascii="Arial" w:hAnsi="Arial" w:cs="Arial"/>
          <w:szCs w:val="24"/>
        </w:rPr>
        <w:t>all accredited providers, and that fosters a uniform approach to its application and consistent outcomes in every region of the world.</w:t>
      </w:r>
    </w:p>
    <w:p w14:paraId="5EB302C9" w14:textId="77777777" w:rsidR="008424D2" w:rsidRDefault="008424D2" w:rsidP="008424D2">
      <w:pPr>
        <w:rPr>
          <w:rFonts w:ascii="Arial" w:hAnsi="Arial" w:cs="Arial"/>
          <w:szCs w:val="24"/>
        </w:rPr>
      </w:pPr>
    </w:p>
    <w:p w14:paraId="186591D1" w14:textId="77777777" w:rsidR="008424D2" w:rsidRPr="005D792D" w:rsidRDefault="008424D2" w:rsidP="008424D2">
      <w:pPr>
        <w:rPr>
          <w:rFonts w:ascii="Arial" w:hAnsi="Arial" w:cs="Arial"/>
          <w:szCs w:val="24"/>
        </w:rPr>
      </w:pPr>
      <w:r w:rsidRPr="005D792D">
        <w:rPr>
          <w:rFonts w:ascii="Arial" w:hAnsi="Arial" w:cs="Arial"/>
          <w:szCs w:val="24"/>
        </w:rPr>
        <w:t>The ACDR has set impressive goals for itself, stating: “During the start-up period, the ACDR will be ready to start with a limitation not exceeding 50 per month.” That would total 600 decisions per year, or more than one-tenth of total UDRP cases at present levels. And, following the start-up period, the ACDR might even decide a greater annual percentage of cases. The BC has no objection to such a scenario, other than our continuing concern about the lack of a standard mechanism to ensure uniformity in UDRP practice.</w:t>
      </w:r>
    </w:p>
    <w:p w14:paraId="147EBC61" w14:textId="77777777" w:rsidR="008424D2" w:rsidRDefault="008424D2" w:rsidP="008424D2">
      <w:pPr>
        <w:rPr>
          <w:rFonts w:ascii="Arial" w:hAnsi="Arial" w:cs="Arial"/>
          <w:szCs w:val="24"/>
        </w:rPr>
      </w:pPr>
    </w:p>
    <w:p w14:paraId="0B97ACA3" w14:textId="77777777" w:rsidR="008424D2" w:rsidRPr="005D792D" w:rsidRDefault="008424D2" w:rsidP="008424D2">
      <w:pPr>
        <w:rPr>
          <w:rFonts w:ascii="Arial" w:hAnsi="Arial" w:cs="Arial"/>
          <w:szCs w:val="24"/>
        </w:rPr>
      </w:pPr>
      <w:r w:rsidRPr="005D792D">
        <w:rPr>
          <w:rFonts w:ascii="Arial" w:hAnsi="Arial" w:cs="Arial"/>
          <w:szCs w:val="24"/>
        </w:rPr>
        <w:t xml:space="preserve">The ACDR has submitted an impressive proposal, and we recognize the need and legitimacy of regional UDRP providers as the DNS expands to encompass new </w:t>
      </w:r>
      <w:proofErr w:type="spellStart"/>
      <w:r w:rsidRPr="005D792D">
        <w:rPr>
          <w:rFonts w:ascii="Arial" w:hAnsi="Arial" w:cs="Arial"/>
          <w:szCs w:val="24"/>
        </w:rPr>
        <w:t>gTLDs</w:t>
      </w:r>
      <w:proofErr w:type="spellEnd"/>
      <w:r w:rsidRPr="005D792D">
        <w:rPr>
          <w:rFonts w:ascii="Arial" w:hAnsi="Arial" w:cs="Arial"/>
          <w:szCs w:val="24"/>
        </w:rPr>
        <w:t xml:space="preserve"> and IDNs</w:t>
      </w:r>
      <w:r>
        <w:rPr>
          <w:rFonts w:ascii="Arial" w:hAnsi="Arial" w:cs="Arial"/>
          <w:szCs w:val="24"/>
        </w:rPr>
        <w:t xml:space="preserve"> across the globe</w:t>
      </w:r>
      <w:r w:rsidRPr="005D792D">
        <w:rPr>
          <w:rFonts w:ascii="Arial" w:hAnsi="Arial" w:cs="Arial"/>
          <w:szCs w:val="24"/>
        </w:rPr>
        <w:t>. But, regretfully, we still cannot support its approval at this time because ICANN has still failed to implement, or even begin to develop, “a standard mechanism for establishing uniform rules and procedures and flexible means of delineating and enforcing arbitration provider responsibilities</w:t>
      </w:r>
      <w:r w:rsidRPr="005D792D">
        <w:rPr>
          <w:rFonts w:ascii="Arial" w:hAnsi="Arial" w:cs="Arial"/>
          <w:i/>
          <w:szCs w:val="24"/>
        </w:rPr>
        <w:t xml:space="preserve">”. </w:t>
      </w:r>
      <w:r w:rsidRPr="005D792D">
        <w:rPr>
          <w:rFonts w:ascii="Arial" w:hAnsi="Arial" w:cs="Arial"/>
          <w:szCs w:val="24"/>
        </w:rPr>
        <w:t>We implore ICANN to expeditiously address this matter.</w:t>
      </w:r>
    </w:p>
    <w:p w14:paraId="54C6950C" w14:textId="77777777" w:rsidR="008424D2" w:rsidRPr="005D792D" w:rsidRDefault="008424D2" w:rsidP="008424D2">
      <w:pPr>
        <w:rPr>
          <w:rFonts w:ascii="Arial" w:hAnsi="Arial" w:cs="Arial"/>
          <w:szCs w:val="24"/>
        </w:rPr>
      </w:pPr>
    </w:p>
    <w:p w14:paraId="0D04B224" w14:textId="77777777" w:rsidR="00F57383" w:rsidRDefault="00F57383">
      <w:pPr>
        <w:spacing w:line="240" w:lineRule="auto"/>
        <w:rPr>
          <w:rFonts w:ascii="Arial" w:hAnsi="Arial" w:cs="Arial"/>
          <w:szCs w:val="24"/>
          <w:u w:val="single"/>
        </w:rPr>
      </w:pPr>
      <w:r>
        <w:rPr>
          <w:rFonts w:ascii="Arial" w:hAnsi="Arial" w:cs="Arial"/>
          <w:szCs w:val="24"/>
          <w:u w:val="single"/>
        </w:rPr>
        <w:br w:type="page"/>
      </w:r>
    </w:p>
    <w:p w14:paraId="6150D12A" w14:textId="1F7B2675" w:rsidR="008424D2" w:rsidRDefault="008424D2" w:rsidP="008424D2">
      <w:pPr>
        <w:rPr>
          <w:rFonts w:ascii="Arial" w:hAnsi="Arial" w:cs="Arial"/>
          <w:szCs w:val="24"/>
          <w:u w:val="single"/>
        </w:rPr>
      </w:pPr>
      <w:r w:rsidRPr="005D792D">
        <w:rPr>
          <w:rFonts w:ascii="Arial" w:hAnsi="Arial" w:cs="Arial"/>
          <w:szCs w:val="24"/>
          <w:u w:val="single"/>
        </w:rPr>
        <w:lastRenderedPageBreak/>
        <w:t>Attachment – BC Comment of October 28, 2010</w:t>
      </w:r>
    </w:p>
    <w:p w14:paraId="0832C9FA" w14:textId="77777777" w:rsidR="00F57383" w:rsidRPr="005D792D" w:rsidRDefault="00F57383" w:rsidP="008424D2">
      <w:pPr>
        <w:rPr>
          <w:rFonts w:ascii="Arial" w:hAnsi="Arial" w:cs="Arial"/>
          <w:szCs w:val="24"/>
          <w:u w:val="single"/>
        </w:rPr>
      </w:pPr>
    </w:p>
    <w:p w14:paraId="74750FFF" w14:textId="0905B02C" w:rsidR="008424D2" w:rsidRPr="00F57383" w:rsidRDefault="008424D2" w:rsidP="008424D2">
      <w:pPr>
        <w:ind w:left="720" w:right="630"/>
        <w:rPr>
          <w:b/>
          <w:sz w:val="20"/>
        </w:rPr>
      </w:pPr>
      <w:r w:rsidRPr="00F57383">
        <w:rPr>
          <w:b/>
          <w:sz w:val="20"/>
        </w:rPr>
        <w:t>BC Comment on ICANN Proposal to Recognize New Domain Name Dispute Provider</w:t>
      </w:r>
    </w:p>
    <w:p w14:paraId="5D0D832B" w14:textId="77777777" w:rsidR="008424D2" w:rsidRDefault="008424D2" w:rsidP="008424D2">
      <w:pPr>
        <w:ind w:left="720" w:right="630"/>
        <w:rPr>
          <w:sz w:val="20"/>
        </w:rPr>
      </w:pPr>
    </w:p>
    <w:p w14:paraId="49F39E60" w14:textId="77777777" w:rsidR="008424D2" w:rsidRPr="005D792D" w:rsidRDefault="008424D2" w:rsidP="008424D2">
      <w:pPr>
        <w:ind w:left="720" w:right="630"/>
        <w:rPr>
          <w:sz w:val="20"/>
        </w:rPr>
      </w:pPr>
      <w:r w:rsidRPr="005D792D">
        <w:rPr>
          <w:sz w:val="20"/>
        </w:rPr>
        <w:t xml:space="preserve">*Background* </w:t>
      </w:r>
    </w:p>
    <w:p w14:paraId="220FA2B7" w14:textId="77777777" w:rsidR="008424D2" w:rsidRPr="005D792D" w:rsidRDefault="008424D2" w:rsidP="008424D2">
      <w:pPr>
        <w:ind w:left="720" w:right="630"/>
        <w:rPr>
          <w:sz w:val="20"/>
        </w:rPr>
      </w:pPr>
      <w:r w:rsidRPr="005D792D">
        <w:rPr>
          <w:sz w:val="20"/>
        </w:rPr>
        <w:t>There is a pending request for comment regarding the application of the Arab</w:t>
      </w:r>
      <w:r>
        <w:rPr>
          <w:sz w:val="20"/>
        </w:rPr>
        <w:t xml:space="preserve"> </w:t>
      </w:r>
      <w:r w:rsidRPr="005D792D">
        <w:rPr>
          <w:sz w:val="20"/>
        </w:rPr>
        <w:t>Center for Domain Name Dispute Resolution (ACDR) to become a certified</w:t>
      </w:r>
      <w:r>
        <w:rPr>
          <w:sz w:val="20"/>
        </w:rPr>
        <w:t xml:space="preserve"> </w:t>
      </w:r>
      <w:r w:rsidRPr="005D792D">
        <w:rPr>
          <w:sz w:val="20"/>
        </w:rPr>
        <w:t>Uniform Dispute Resolution Procedure (UDRP) arbitration provider.</w:t>
      </w:r>
    </w:p>
    <w:p w14:paraId="3A444BCC" w14:textId="77777777" w:rsidR="008424D2" w:rsidRDefault="008424D2" w:rsidP="008424D2">
      <w:pPr>
        <w:ind w:left="720" w:right="630"/>
        <w:rPr>
          <w:sz w:val="20"/>
        </w:rPr>
      </w:pPr>
    </w:p>
    <w:p w14:paraId="4CE21827" w14:textId="77777777" w:rsidR="008424D2" w:rsidRPr="005D792D" w:rsidRDefault="008424D2" w:rsidP="008424D2">
      <w:pPr>
        <w:ind w:left="720" w:right="630"/>
        <w:rPr>
          <w:sz w:val="20"/>
        </w:rPr>
      </w:pPr>
      <w:r w:rsidRPr="005D792D">
        <w:rPr>
          <w:sz w:val="20"/>
        </w:rPr>
        <w:t xml:space="preserve"> *Summary* </w:t>
      </w:r>
    </w:p>
    <w:p w14:paraId="18C5698F" w14:textId="77777777" w:rsidR="008424D2" w:rsidRPr="005D792D" w:rsidRDefault="008424D2" w:rsidP="008424D2">
      <w:pPr>
        <w:ind w:left="720" w:right="630"/>
        <w:rPr>
          <w:sz w:val="20"/>
        </w:rPr>
      </w:pPr>
      <w:r w:rsidRPr="005D792D">
        <w:rPr>
          <w:sz w:val="20"/>
        </w:rPr>
        <w:t>The Business Constituency (BC) cannot support approval of this or any other</w:t>
      </w:r>
      <w:r>
        <w:rPr>
          <w:sz w:val="20"/>
        </w:rPr>
        <w:t xml:space="preserve"> </w:t>
      </w:r>
      <w:r w:rsidRPr="005D792D">
        <w:rPr>
          <w:sz w:val="20"/>
        </w:rPr>
        <w:t>UDRP accreditation application at this time on the grounds that no new UDRP</w:t>
      </w:r>
      <w:r>
        <w:rPr>
          <w:sz w:val="20"/>
        </w:rPr>
        <w:t xml:space="preserve"> </w:t>
      </w:r>
      <w:r w:rsidRPr="005D792D">
        <w:rPr>
          <w:sz w:val="20"/>
        </w:rPr>
        <w:t>providers should be accredited until ICANN implements a standard mechanism</w:t>
      </w:r>
      <w:r>
        <w:rPr>
          <w:sz w:val="20"/>
        </w:rPr>
        <w:t xml:space="preserve"> </w:t>
      </w:r>
      <w:r w:rsidRPr="005D792D">
        <w:rPr>
          <w:sz w:val="20"/>
        </w:rPr>
        <w:t>for establishing uniform rules and procedures and flexible means of</w:t>
      </w:r>
      <w:r>
        <w:rPr>
          <w:sz w:val="20"/>
        </w:rPr>
        <w:t xml:space="preserve"> </w:t>
      </w:r>
      <w:r w:rsidRPr="005D792D">
        <w:rPr>
          <w:sz w:val="20"/>
        </w:rPr>
        <w:t>delineating and enforcing arbitration provider responsibilities.</w:t>
      </w:r>
    </w:p>
    <w:p w14:paraId="691C9358" w14:textId="77777777" w:rsidR="008424D2" w:rsidRDefault="008424D2" w:rsidP="008424D2">
      <w:pPr>
        <w:ind w:left="720" w:right="630"/>
        <w:rPr>
          <w:sz w:val="20"/>
        </w:rPr>
      </w:pPr>
    </w:p>
    <w:p w14:paraId="686F612C" w14:textId="77777777" w:rsidR="008424D2" w:rsidRPr="005D792D" w:rsidRDefault="008424D2" w:rsidP="008424D2">
      <w:pPr>
        <w:ind w:left="720" w:right="630"/>
        <w:rPr>
          <w:sz w:val="20"/>
        </w:rPr>
      </w:pPr>
      <w:r w:rsidRPr="005D792D">
        <w:rPr>
          <w:sz w:val="20"/>
        </w:rPr>
        <w:t xml:space="preserve">*Explanation* </w:t>
      </w:r>
    </w:p>
    <w:p w14:paraId="13EFC71A" w14:textId="77777777" w:rsidR="008424D2" w:rsidRPr="005D792D" w:rsidRDefault="008424D2" w:rsidP="008424D2">
      <w:pPr>
        <w:ind w:left="720" w:right="630"/>
        <w:rPr>
          <w:sz w:val="20"/>
        </w:rPr>
      </w:pPr>
      <w:r w:rsidRPr="005D792D">
        <w:rPr>
          <w:sz w:val="20"/>
        </w:rPr>
        <w:t>The BC notes that the voluntary registration or renewal of a gTLD domain</w:t>
      </w:r>
      <w:r>
        <w:rPr>
          <w:sz w:val="20"/>
        </w:rPr>
        <w:t xml:space="preserve"> </w:t>
      </w:r>
      <w:r w:rsidRPr="005D792D">
        <w:rPr>
          <w:sz w:val="20"/>
        </w:rPr>
        <w:t>must be undertaken via an ICANN-accredited registrar. All registrars are</w:t>
      </w:r>
      <w:r>
        <w:rPr>
          <w:sz w:val="20"/>
        </w:rPr>
        <w:t xml:space="preserve"> </w:t>
      </w:r>
      <w:r w:rsidRPr="005D792D">
        <w:rPr>
          <w:sz w:val="20"/>
        </w:rPr>
        <w:t>subject to a uniform contractual agreement with ICANN, the Registrar</w:t>
      </w:r>
      <w:r>
        <w:rPr>
          <w:sz w:val="20"/>
        </w:rPr>
        <w:t xml:space="preserve"> </w:t>
      </w:r>
      <w:r w:rsidRPr="005D792D">
        <w:rPr>
          <w:sz w:val="20"/>
        </w:rPr>
        <w:t>Accreditation Agreement (RAA). ICANN recently strengthened the RAA with</w:t>
      </w:r>
      <w:r>
        <w:rPr>
          <w:sz w:val="20"/>
        </w:rPr>
        <w:t xml:space="preserve"> </w:t>
      </w:r>
      <w:r w:rsidRPr="005D792D">
        <w:rPr>
          <w:sz w:val="20"/>
        </w:rPr>
        <w:t>additional amendments and the addition of flexible enforcement options, and</w:t>
      </w:r>
      <w:r>
        <w:rPr>
          <w:sz w:val="20"/>
        </w:rPr>
        <w:t xml:space="preserve"> </w:t>
      </w:r>
      <w:r w:rsidRPr="005D792D">
        <w:rPr>
          <w:sz w:val="20"/>
        </w:rPr>
        <w:t>a Final Report proposing additional RAA amendments has just been delivered</w:t>
      </w:r>
      <w:r>
        <w:rPr>
          <w:sz w:val="20"/>
        </w:rPr>
        <w:t xml:space="preserve"> </w:t>
      </w:r>
      <w:r w:rsidRPr="005D792D">
        <w:rPr>
          <w:sz w:val="20"/>
        </w:rPr>
        <w:t>to the GNSO for its consideration.</w:t>
      </w:r>
    </w:p>
    <w:p w14:paraId="3C3BB966" w14:textId="77777777" w:rsidR="008424D2" w:rsidRDefault="008424D2" w:rsidP="008424D2">
      <w:pPr>
        <w:ind w:left="720" w:right="630"/>
        <w:rPr>
          <w:sz w:val="20"/>
        </w:rPr>
      </w:pPr>
    </w:p>
    <w:p w14:paraId="70B5FC6C" w14:textId="08C65872" w:rsidR="008424D2" w:rsidRPr="005D792D" w:rsidRDefault="008424D2" w:rsidP="008424D2">
      <w:pPr>
        <w:ind w:left="720" w:right="630"/>
        <w:rPr>
          <w:sz w:val="20"/>
        </w:rPr>
      </w:pPr>
      <w:r w:rsidRPr="005D792D">
        <w:rPr>
          <w:sz w:val="20"/>
        </w:rPr>
        <w:t>In stark contrast, the involuntary termination or transfer of a domain can</w:t>
      </w:r>
      <w:r>
        <w:rPr>
          <w:sz w:val="20"/>
        </w:rPr>
        <w:t xml:space="preserve"> </w:t>
      </w:r>
      <w:r w:rsidRPr="005D792D">
        <w:rPr>
          <w:sz w:val="20"/>
        </w:rPr>
        <w:t>be ordered under the authority of a UDRP provider that has been accredited</w:t>
      </w:r>
      <w:r>
        <w:rPr>
          <w:sz w:val="20"/>
        </w:rPr>
        <w:t xml:space="preserve"> </w:t>
      </w:r>
      <w:r w:rsidRPr="005D792D">
        <w:rPr>
          <w:sz w:val="20"/>
        </w:rPr>
        <w:t>by ICANN but which is not bound by any constraints on or requirements</w:t>
      </w:r>
      <w:r>
        <w:rPr>
          <w:sz w:val="20"/>
        </w:rPr>
        <w:t xml:space="preserve"> </w:t>
      </w:r>
      <w:r w:rsidRPr="005D792D">
        <w:rPr>
          <w:sz w:val="20"/>
        </w:rPr>
        <w:t>pertaining to the exercise of that delegated authority.  This has led to</w:t>
      </w:r>
      <w:r>
        <w:rPr>
          <w:sz w:val="20"/>
        </w:rPr>
        <w:t xml:space="preserve"> </w:t>
      </w:r>
      <w:r w:rsidRPr="005D792D">
        <w:rPr>
          <w:sz w:val="20"/>
        </w:rPr>
        <w:t>increasing concerns about the lack of adequate procedural and substantive</w:t>
      </w:r>
      <w:r>
        <w:rPr>
          <w:sz w:val="20"/>
        </w:rPr>
        <w:t xml:space="preserve"> </w:t>
      </w:r>
      <w:r w:rsidRPr="005D792D">
        <w:rPr>
          <w:sz w:val="20"/>
        </w:rPr>
        <w:t>consistency in the UDRP process. Such concerns are likely to grow if</w:t>
      </w:r>
      <w:r>
        <w:rPr>
          <w:sz w:val="20"/>
        </w:rPr>
        <w:t xml:space="preserve"> </w:t>
      </w:r>
      <w:r w:rsidRPr="005D792D">
        <w:rPr>
          <w:sz w:val="20"/>
        </w:rPr>
        <w:t>additional providers are accredited in the absence of the uniform framework</w:t>
      </w:r>
      <w:r>
        <w:rPr>
          <w:sz w:val="20"/>
        </w:rPr>
        <w:t xml:space="preserve"> </w:t>
      </w:r>
      <w:r w:rsidRPr="005D792D">
        <w:rPr>
          <w:sz w:val="20"/>
        </w:rPr>
        <w:t>of a standard mechanism.</w:t>
      </w:r>
    </w:p>
    <w:p w14:paraId="084D86B1" w14:textId="77777777" w:rsidR="008424D2" w:rsidRDefault="008424D2" w:rsidP="008424D2">
      <w:pPr>
        <w:ind w:left="720" w:right="630"/>
        <w:rPr>
          <w:sz w:val="20"/>
        </w:rPr>
      </w:pPr>
    </w:p>
    <w:p w14:paraId="10A19C1F" w14:textId="5A44496E" w:rsidR="008424D2" w:rsidRPr="005D792D" w:rsidRDefault="008424D2" w:rsidP="008424D2">
      <w:pPr>
        <w:ind w:left="720" w:right="630"/>
        <w:rPr>
          <w:sz w:val="20"/>
        </w:rPr>
      </w:pPr>
      <w:r w:rsidRPr="005D792D">
        <w:rPr>
          <w:sz w:val="20"/>
        </w:rPr>
        <w:t>The BC strongly advocates that ICANN must first implement a standard</w:t>
      </w:r>
      <w:r>
        <w:rPr>
          <w:sz w:val="20"/>
        </w:rPr>
        <w:t xml:space="preserve"> </w:t>
      </w:r>
      <w:r w:rsidRPr="005D792D">
        <w:rPr>
          <w:sz w:val="20"/>
        </w:rPr>
        <w:t>mechanism with any and all UDRP arbitration providers that defines and</w:t>
      </w:r>
      <w:r>
        <w:rPr>
          <w:sz w:val="20"/>
        </w:rPr>
        <w:t xml:space="preserve"> </w:t>
      </w:r>
      <w:r w:rsidRPr="005D792D">
        <w:rPr>
          <w:sz w:val="20"/>
        </w:rPr>
        <w:t>constrains their authority and powers, and establishes regular and</w:t>
      </w:r>
    </w:p>
    <w:p w14:paraId="22EEFF7F" w14:textId="77777777" w:rsidR="008424D2" w:rsidRPr="005D792D" w:rsidRDefault="008424D2" w:rsidP="008424D2">
      <w:pPr>
        <w:ind w:left="720" w:right="630"/>
        <w:rPr>
          <w:sz w:val="20"/>
        </w:rPr>
      </w:pPr>
      <w:proofErr w:type="gramStart"/>
      <w:r w:rsidRPr="005D792D">
        <w:rPr>
          <w:sz w:val="20"/>
        </w:rPr>
        <w:t>standardized</w:t>
      </w:r>
      <w:proofErr w:type="gramEnd"/>
      <w:r w:rsidRPr="005D792D">
        <w:rPr>
          <w:sz w:val="20"/>
        </w:rPr>
        <w:t xml:space="preserve"> review by ICANN with flexible and effective means of</w:t>
      </w:r>
      <w:r>
        <w:rPr>
          <w:sz w:val="20"/>
        </w:rPr>
        <w:t xml:space="preserve"> </w:t>
      </w:r>
      <w:r w:rsidRPr="005D792D">
        <w:rPr>
          <w:sz w:val="20"/>
        </w:rPr>
        <w:t>enforcement. The ultimate sanction of cancelling accreditation is an extreme</w:t>
      </w:r>
      <w:r>
        <w:rPr>
          <w:sz w:val="20"/>
        </w:rPr>
        <w:t xml:space="preserve"> </w:t>
      </w:r>
      <w:r w:rsidRPr="005D792D">
        <w:rPr>
          <w:sz w:val="20"/>
        </w:rPr>
        <w:t>sanction that ICANN has demonstrated a reluctance to initiate in other</w:t>
      </w:r>
      <w:r>
        <w:rPr>
          <w:sz w:val="20"/>
        </w:rPr>
        <w:t xml:space="preserve"> </w:t>
      </w:r>
      <w:r w:rsidRPr="005D792D">
        <w:rPr>
          <w:sz w:val="20"/>
        </w:rPr>
        <w:t xml:space="preserve">contexts. </w:t>
      </w:r>
    </w:p>
    <w:p w14:paraId="2134E11C" w14:textId="77777777" w:rsidR="008424D2" w:rsidRDefault="008424D2" w:rsidP="008424D2">
      <w:pPr>
        <w:ind w:left="720" w:right="630"/>
        <w:rPr>
          <w:sz w:val="20"/>
        </w:rPr>
      </w:pPr>
    </w:p>
    <w:p w14:paraId="45CC6163" w14:textId="77777777" w:rsidR="008424D2" w:rsidRPr="005D792D" w:rsidRDefault="008424D2" w:rsidP="008424D2">
      <w:pPr>
        <w:ind w:left="720" w:right="630"/>
        <w:rPr>
          <w:sz w:val="20"/>
        </w:rPr>
      </w:pPr>
      <w:r w:rsidRPr="005D792D">
        <w:rPr>
          <w:sz w:val="20"/>
        </w:rPr>
        <w:t>ICANN appears to be transitioning from an environment in which the vast</w:t>
      </w:r>
      <w:r>
        <w:rPr>
          <w:sz w:val="20"/>
        </w:rPr>
        <w:t xml:space="preserve"> </w:t>
      </w:r>
      <w:r w:rsidRPr="005D792D">
        <w:rPr>
          <w:sz w:val="20"/>
        </w:rPr>
        <w:t>majority of UDRP cases (approximately 98%) were handled by two arbitration</w:t>
      </w:r>
      <w:r>
        <w:rPr>
          <w:sz w:val="20"/>
        </w:rPr>
        <w:t xml:space="preserve"> </w:t>
      </w:r>
      <w:r w:rsidRPr="005D792D">
        <w:rPr>
          <w:sz w:val="20"/>
        </w:rPr>
        <w:t xml:space="preserve">providers (WIPO and NAF) and in which significant </w:t>
      </w:r>
      <w:proofErr w:type="spellStart"/>
      <w:r w:rsidRPr="005D792D">
        <w:rPr>
          <w:sz w:val="20"/>
        </w:rPr>
        <w:t>gTLDs</w:t>
      </w:r>
      <w:proofErr w:type="spellEnd"/>
      <w:r w:rsidRPr="005D792D">
        <w:rPr>
          <w:sz w:val="20"/>
        </w:rPr>
        <w:t xml:space="preserve"> were based in a</w:t>
      </w:r>
      <w:r>
        <w:rPr>
          <w:sz w:val="20"/>
        </w:rPr>
        <w:t xml:space="preserve"> </w:t>
      </w:r>
      <w:r w:rsidRPr="005D792D">
        <w:rPr>
          <w:sz w:val="20"/>
        </w:rPr>
        <w:t>limited number of national jurisdictions to one in which the majority of</w:t>
      </w:r>
      <w:r>
        <w:rPr>
          <w:sz w:val="20"/>
        </w:rPr>
        <w:t xml:space="preserve"> </w:t>
      </w:r>
      <w:proofErr w:type="spellStart"/>
      <w:r w:rsidRPr="005D792D">
        <w:rPr>
          <w:sz w:val="20"/>
        </w:rPr>
        <w:t>gTLDs</w:t>
      </w:r>
      <w:proofErr w:type="spellEnd"/>
      <w:r w:rsidRPr="005D792D">
        <w:rPr>
          <w:sz w:val="20"/>
        </w:rPr>
        <w:t xml:space="preserve"> and UDRP providers may well be headquartered in a widely distributed</w:t>
      </w:r>
      <w:r>
        <w:rPr>
          <w:sz w:val="20"/>
        </w:rPr>
        <w:t xml:space="preserve"> </w:t>
      </w:r>
      <w:r w:rsidRPr="005D792D">
        <w:rPr>
          <w:sz w:val="20"/>
        </w:rPr>
        <w:t>group of jurisdictions.</w:t>
      </w:r>
    </w:p>
    <w:p w14:paraId="04ACBA7B" w14:textId="77777777" w:rsidR="008424D2" w:rsidRDefault="008424D2" w:rsidP="008424D2">
      <w:pPr>
        <w:ind w:left="720" w:right="630"/>
        <w:rPr>
          <w:sz w:val="20"/>
        </w:rPr>
      </w:pPr>
    </w:p>
    <w:p w14:paraId="4CC0D9EC" w14:textId="77777777" w:rsidR="008424D2" w:rsidRPr="005D792D" w:rsidRDefault="008424D2" w:rsidP="008424D2">
      <w:pPr>
        <w:ind w:left="720" w:right="630"/>
        <w:rPr>
          <w:sz w:val="20"/>
        </w:rPr>
      </w:pPr>
      <w:r w:rsidRPr="005D792D">
        <w:rPr>
          <w:sz w:val="20"/>
        </w:rPr>
        <w:t>In the future, business interests may well be investing substantial amounts</w:t>
      </w:r>
      <w:r>
        <w:rPr>
          <w:sz w:val="20"/>
        </w:rPr>
        <w:t xml:space="preserve"> </w:t>
      </w:r>
      <w:r w:rsidRPr="005D792D">
        <w:rPr>
          <w:sz w:val="20"/>
        </w:rPr>
        <w:t xml:space="preserve">in these new </w:t>
      </w:r>
      <w:proofErr w:type="spellStart"/>
      <w:r w:rsidRPr="005D792D">
        <w:rPr>
          <w:sz w:val="20"/>
        </w:rPr>
        <w:t>gTLDs</w:t>
      </w:r>
      <w:proofErr w:type="spellEnd"/>
      <w:r w:rsidRPr="005D792D">
        <w:rPr>
          <w:sz w:val="20"/>
        </w:rPr>
        <w:t>, for both defensive</w:t>
      </w:r>
      <w:proofErr w:type="gramStart"/>
      <w:r w:rsidRPr="005D792D">
        <w:rPr>
          <w:sz w:val="20"/>
        </w:rPr>
        <w:t>,  new</w:t>
      </w:r>
      <w:proofErr w:type="gramEnd"/>
      <w:r w:rsidRPr="005D792D">
        <w:rPr>
          <w:sz w:val="20"/>
        </w:rPr>
        <w:t xml:space="preserve"> branding, and other purposes.</w:t>
      </w:r>
      <w:r>
        <w:rPr>
          <w:sz w:val="20"/>
        </w:rPr>
        <w:t xml:space="preserve"> </w:t>
      </w:r>
      <w:r w:rsidRPr="005D792D">
        <w:rPr>
          <w:sz w:val="20"/>
        </w:rPr>
        <w:t xml:space="preserve">In this type of environment it is even more important </w:t>
      </w:r>
      <w:proofErr w:type="gramStart"/>
      <w:r w:rsidRPr="005D792D">
        <w:rPr>
          <w:sz w:val="20"/>
        </w:rPr>
        <w:t>that  all</w:t>
      </w:r>
      <w:proofErr w:type="gramEnd"/>
      <w:r w:rsidRPr="005D792D">
        <w:rPr>
          <w:sz w:val="20"/>
        </w:rPr>
        <w:t xml:space="preserve">  UDRP</w:t>
      </w:r>
      <w:r>
        <w:rPr>
          <w:sz w:val="20"/>
        </w:rPr>
        <w:t xml:space="preserve"> </w:t>
      </w:r>
      <w:r w:rsidRPr="005D792D">
        <w:rPr>
          <w:sz w:val="20"/>
        </w:rPr>
        <w:t>providers be subject to uniform and enforceable responsibilities, as that is</w:t>
      </w:r>
      <w:r>
        <w:rPr>
          <w:sz w:val="20"/>
        </w:rPr>
        <w:t xml:space="preserve"> </w:t>
      </w:r>
      <w:r w:rsidRPr="005D792D">
        <w:rPr>
          <w:sz w:val="20"/>
        </w:rPr>
        <w:t>the only means of furthering the goal that UDRP decisions are consistent</w:t>
      </w:r>
      <w:r>
        <w:rPr>
          <w:sz w:val="20"/>
        </w:rPr>
        <w:t xml:space="preserve"> </w:t>
      </w:r>
      <w:r w:rsidRPr="005D792D">
        <w:rPr>
          <w:sz w:val="20"/>
        </w:rPr>
        <w:t xml:space="preserve">within and among </w:t>
      </w:r>
      <w:r w:rsidRPr="005D792D">
        <w:rPr>
          <w:sz w:val="20"/>
        </w:rPr>
        <w:lastRenderedPageBreak/>
        <w:t>UDRP providers, and that the UDRP remains an expedited and</w:t>
      </w:r>
      <w:r>
        <w:rPr>
          <w:sz w:val="20"/>
        </w:rPr>
        <w:t xml:space="preserve"> </w:t>
      </w:r>
      <w:r w:rsidRPr="005D792D">
        <w:rPr>
          <w:sz w:val="20"/>
        </w:rPr>
        <w:t xml:space="preserve">lower cost remediation for addressing cybersquatting. </w:t>
      </w:r>
    </w:p>
    <w:p w14:paraId="717AA2D9" w14:textId="77777777" w:rsidR="008424D2" w:rsidRDefault="008424D2" w:rsidP="008424D2">
      <w:pPr>
        <w:ind w:left="720" w:right="630"/>
        <w:rPr>
          <w:sz w:val="20"/>
        </w:rPr>
      </w:pPr>
    </w:p>
    <w:p w14:paraId="1D750D1A" w14:textId="77777777" w:rsidR="008424D2" w:rsidRPr="005D792D" w:rsidRDefault="008424D2" w:rsidP="008424D2">
      <w:pPr>
        <w:ind w:left="720" w:right="630"/>
        <w:rPr>
          <w:sz w:val="20"/>
        </w:rPr>
      </w:pPr>
      <w:r w:rsidRPr="005D792D">
        <w:rPr>
          <w:sz w:val="20"/>
        </w:rPr>
        <w:t>The BC notes that the issue of whether UDRP providers should be under a</w:t>
      </w:r>
      <w:r>
        <w:rPr>
          <w:sz w:val="20"/>
        </w:rPr>
        <w:t xml:space="preserve"> </w:t>
      </w:r>
      <w:r w:rsidRPr="005D792D">
        <w:rPr>
          <w:sz w:val="20"/>
        </w:rPr>
        <w:t>standard mechanism with ICANN is almost entirely separable from the question</w:t>
      </w:r>
      <w:r>
        <w:rPr>
          <w:sz w:val="20"/>
        </w:rPr>
        <w:t xml:space="preserve"> </w:t>
      </w:r>
      <w:r w:rsidRPr="005D792D">
        <w:rPr>
          <w:sz w:val="20"/>
        </w:rPr>
        <w:t>of whether the UDRP evaluation standards for determining the existence of</w:t>
      </w:r>
      <w:r>
        <w:rPr>
          <w:sz w:val="20"/>
        </w:rPr>
        <w:t xml:space="preserve"> </w:t>
      </w:r>
      <w:r w:rsidRPr="005D792D">
        <w:rPr>
          <w:sz w:val="20"/>
        </w:rPr>
        <w:t>cybersquatting should be reformed.  There is no need to debate the</w:t>
      </w:r>
      <w:r>
        <w:rPr>
          <w:sz w:val="20"/>
        </w:rPr>
        <w:t xml:space="preserve"> </w:t>
      </w:r>
      <w:r w:rsidRPr="005D792D">
        <w:rPr>
          <w:sz w:val="20"/>
        </w:rPr>
        <w:t>substantive elements of the UDRP in order to address the fundamental issue</w:t>
      </w:r>
      <w:r>
        <w:rPr>
          <w:sz w:val="20"/>
        </w:rPr>
        <w:t xml:space="preserve"> </w:t>
      </w:r>
      <w:r w:rsidRPr="005D792D">
        <w:rPr>
          <w:sz w:val="20"/>
        </w:rPr>
        <w:t>of whether UDRP providers shoul</w:t>
      </w:r>
      <w:r>
        <w:rPr>
          <w:sz w:val="20"/>
        </w:rPr>
        <w:t>d be under a standard mechanism</w:t>
      </w:r>
    </w:p>
    <w:p w14:paraId="58C215E4" w14:textId="31D72E48" w:rsidR="00625B89" w:rsidRDefault="00625B89" w:rsidP="007D2109">
      <w:pPr>
        <w:spacing w:line="240" w:lineRule="auto"/>
        <w:rPr>
          <w:rFonts w:asciiTheme="minorHAnsi" w:hAnsiTheme="minorHAnsi"/>
        </w:rPr>
      </w:pPr>
    </w:p>
    <w:sectPr w:rsidR="00625B89" w:rsidSect="00B1115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DB4EC6" w:rsidRDefault="00DB4EC6" w:rsidP="004D3EFA">
      <w:pPr>
        <w:spacing w:line="240" w:lineRule="auto"/>
      </w:pPr>
      <w:r>
        <w:separator/>
      </w:r>
    </w:p>
  </w:endnote>
  <w:endnote w:type="continuationSeparator" w:id="0">
    <w:p w14:paraId="54AAE46A" w14:textId="77777777" w:rsidR="00DB4EC6" w:rsidRDefault="00DB4EC6"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DB4EC6" w:rsidRDefault="00DB4EC6" w:rsidP="00DB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DB4EC6" w:rsidRDefault="00DB4EC6" w:rsidP="00112967">
    <w:pPr>
      <w:pStyle w:val="Footer"/>
      <w:ind w:right="360" w:firstLine="360"/>
    </w:pPr>
    <w:sdt>
      <w:sdtPr>
        <w:id w:val="970484385"/>
        <w:placeholder>
          <w:docPart w:val="71C4F7815F5479458188E0644CCEC2B1"/>
        </w:placeholder>
        <w:temporary/>
        <w:showingPlcHdr/>
      </w:sdtPr>
      <w:sdtContent>
        <w:r>
          <w:t>[Type text]</w:t>
        </w:r>
      </w:sdtContent>
    </w:sdt>
    <w:r>
      <w:ptab w:relativeTo="margin" w:alignment="center" w:leader="none"/>
    </w:r>
    <w:sdt>
      <w:sdtPr>
        <w:id w:val="-22171045"/>
        <w:placeholder>
          <w:docPart w:val="22A06DA4D6C3354D933153551A037D56"/>
        </w:placeholder>
        <w:temporary/>
        <w:showingPlcHdr/>
      </w:sdtPr>
      <w:sdtContent>
        <w:r>
          <w:t>[Type text]</w:t>
        </w:r>
      </w:sdtContent>
    </w:sdt>
    <w:r>
      <w:ptab w:relativeTo="margin" w:alignment="right" w:leader="none"/>
    </w:r>
    <w:sdt>
      <w:sdtPr>
        <w:id w:val="-1310165467"/>
        <w:placeholder>
          <w:docPart w:val="5E8703280E548347BE038D264063BD2D"/>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77E5" w14:textId="77777777" w:rsidR="00DB4EC6" w:rsidRDefault="00DB4EC6" w:rsidP="00DB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387">
      <w:rPr>
        <w:rStyle w:val="PageNumber"/>
        <w:noProof/>
      </w:rPr>
      <w:t>1</w:t>
    </w:r>
    <w:r>
      <w:rPr>
        <w:rStyle w:val="PageNumber"/>
      </w:rPr>
      <w:fldChar w:fldCharType="end"/>
    </w:r>
  </w:p>
  <w:p w14:paraId="5465537F" w14:textId="1E05E235" w:rsidR="00DB4EC6" w:rsidRDefault="00DB4EC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DB4EC6" w:rsidRPr="00E27555" w:rsidRDefault="00DB4EC6" w:rsidP="00DB4EC6">
    <w:pPr>
      <w:pStyle w:val="Footer"/>
      <w:framePr w:wrap="around" w:vAnchor="text" w:hAnchor="page" w:x="10681" w:y="-90"/>
      <w:rPr>
        <w:rStyle w:val="PageNumber"/>
        <w:color w:val="FFFFFF" w:themeColor="background1"/>
      </w:rPr>
    </w:pPr>
    <w:r w:rsidRPr="00E27555">
      <w:rPr>
        <w:rStyle w:val="PageNumber"/>
        <w:color w:val="FFFFFF" w:themeColor="background1"/>
      </w:rPr>
      <w:fldChar w:fldCharType="begin"/>
    </w:r>
    <w:r w:rsidRPr="00E27555">
      <w:rPr>
        <w:rStyle w:val="PageNumber"/>
        <w:color w:val="FFFFFF" w:themeColor="background1"/>
      </w:rPr>
      <w:instrText xml:space="preserve">PAGE  </w:instrText>
    </w:r>
    <w:r w:rsidRPr="00E27555">
      <w:rPr>
        <w:rStyle w:val="PageNumber"/>
        <w:color w:val="FFFFFF" w:themeColor="background1"/>
      </w:rPr>
      <w:fldChar w:fldCharType="separate"/>
    </w:r>
    <w:r w:rsidR="00503387">
      <w:rPr>
        <w:rStyle w:val="PageNumber"/>
        <w:noProof/>
        <w:color w:val="FFFFFF" w:themeColor="background1"/>
      </w:rPr>
      <w:t>1</w:t>
    </w:r>
    <w:r w:rsidRPr="00E27555">
      <w:rPr>
        <w:rStyle w:val="PageNumber"/>
        <w:color w:val="FFFFFF" w:themeColor="background1"/>
      </w:rPr>
      <w:fldChar w:fldCharType="end"/>
    </w:r>
  </w:p>
  <w:p w14:paraId="27F784C6" w14:textId="77777777" w:rsidR="00DB4EC6" w:rsidRDefault="00DB4EC6" w:rsidP="007327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DB4EC6" w:rsidRDefault="00DB4EC6" w:rsidP="004D3EFA">
      <w:pPr>
        <w:spacing w:line="240" w:lineRule="auto"/>
      </w:pPr>
      <w:r>
        <w:separator/>
      </w:r>
    </w:p>
  </w:footnote>
  <w:footnote w:type="continuationSeparator" w:id="0">
    <w:p w14:paraId="35A35C1D" w14:textId="77777777" w:rsidR="00DB4EC6" w:rsidRDefault="00DB4EC6" w:rsidP="004D3EF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3056A"/>
    <w:rsid w:val="000331AC"/>
    <w:rsid w:val="000335BC"/>
    <w:rsid w:val="00037E0C"/>
    <w:rsid w:val="00042CFC"/>
    <w:rsid w:val="000447F9"/>
    <w:rsid w:val="00045860"/>
    <w:rsid w:val="00046237"/>
    <w:rsid w:val="0004712A"/>
    <w:rsid w:val="00053479"/>
    <w:rsid w:val="00055251"/>
    <w:rsid w:val="00056253"/>
    <w:rsid w:val="00057ED5"/>
    <w:rsid w:val="00062844"/>
    <w:rsid w:val="00067690"/>
    <w:rsid w:val="000708EE"/>
    <w:rsid w:val="00073676"/>
    <w:rsid w:val="00074B3D"/>
    <w:rsid w:val="000753DC"/>
    <w:rsid w:val="00077446"/>
    <w:rsid w:val="000936F9"/>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BA1"/>
    <w:rsid w:val="00100D4E"/>
    <w:rsid w:val="00100E53"/>
    <w:rsid w:val="00101E18"/>
    <w:rsid w:val="0010292B"/>
    <w:rsid w:val="00107099"/>
    <w:rsid w:val="001105D2"/>
    <w:rsid w:val="00110AC3"/>
    <w:rsid w:val="00112967"/>
    <w:rsid w:val="00130B7B"/>
    <w:rsid w:val="001314A7"/>
    <w:rsid w:val="0013266C"/>
    <w:rsid w:val="00133D01"/>
    <w:rsid w:val="001367E4"/>
    <w:rsid w:val="00136989"/>
    <w:rsid w:val="00142837"/>
    <w:rsid w:val="00146DBC"/>
    <w:rsid w:val="00152D9C"/>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3D41"/>
    <w:rsid w:val="003D6CEC"/>
    <w:rsid w:val="003D7804"/>
    <w:rsid w:val="003D7BAC"/>
    <w:rsid w:val="003E0460"/>
    <w:rsid w:val="003E27DA"/>
    <w:rsid w:val="003E6991"/>
    <w:rsid w:val="003E6EB9"/>
    <w:rsid w:val="003F24F7"/>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07A1"/>
    <w:rsid w:val="004F2E9E"/>
    <w:rsid w:val="004F335E"/>
    <w:rsid w:val="004F6B65"/>
    <w:rsid w:val="0050020E"/>
    <w:rsid w:val="00503387"/>
    <w:rsid w:val="00503C52"/>
    <w:rsid w:val="00505B44"/>
    <w:rsid w:val="00506DA9"/>
    <w:rsid w:val="00513939"/>
    <w:rsid w:val="00517FA4"/>
    <w:rsid w:val="0052047B"/>
    <w:rsid w:val="0053524A"/>
    <w:rsid w:val="005402FE"/>
    <w:rsid w:val="005423D6"/>
    <w:rsid w:val="0054297A"/>
    <w:rsid w:val="00545638"/>
    <w:rsid w:val="005470A2"/>
    <w:rsid w:val="00556B53"/>
    <w:rsid w:val="00557F41"/>
    <w:rsid w:val="00562581"/>
    <w:rsid w:val="00563A66"/>
    <w:rsid w:val="005652F1"/>
    <w:rsid w:val="00567BB4"/>
    <w:rsid w:val="0057184F"/>
    <w:rsid w:val="005741E8"/>
    <w:rsid w:val="005756F8"/>
    <w:rsid w:val="0058611B"/>
    <w:rsid w:val="00590DC0"/>
    <w:rsid w:val="00594448"/>
    <w:rsid w:val="005A0765"/>
    <w:rsid w:val="005A0B84"/>
    <w:rsid w:val="005A2ED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486D"/>
    <w:rsid w:val="00654A5C"/>
    <w:rsid w:val="00657D9E"/>
    <w:rsid w:val="006706D7"/>
    <w:rsid w:val="0067239D"/>
    <w:rsid w:val="0067578D"/>
    <w:rsid w:val="00675F76"/>
    <w:rsid w:val="00682DD9"/>
    <w:rsid w:val="00691F7E"/>
    <w:rsid w:val="0069437C"/>
    <w:rsid w:val="006946AB"/>
    <w:rsid w:val="006951EB"/>
    <w:rsid w:val="00695E0D"/>
    <w:rsid w:val="00696213"/>
    <w:rsid w:val="006A0844"/>
    <w:rsid w:val="006A32B9"/>
    <w:rsid w:val="006A7983"/>
    <w:rsid w:val="006A7CD9"/>
    <w:rsid w:val="006B3CD7"/>
    <w:rsid w:val="006B56D7"/>
    <w:rsid w:val="006C2DC7"/>
    <w:rsid w:val="006C6673"/>
    <w:rsid w:val="006C78A3"/>
    <w:rsid w:val="006D28DC"/>
    <w:rsid w:val="006D3210"/>
    <w:rsid w:val="006D6ABE"/>
    <w:rsid w:val="006E05E5"/>
    <w:rsid w:val="006E6292"/>
    <w:rsid w:val="006F69B4"/>
    <w:rsid w:val="007017F0"/>
    <w:rsid w:val="007054D8"/>
    <w:rsid w:val="007117F0"/>
    <w:rsid w:val="007120C1"/>
    <w:rsid w:val="00717A0B"/>
    <w:rsid w:val="00721AC4"/>
    <w:rsid w:val="00722C15"/>
    <w:rsid w:val="00723312"/>
    <w:rsid w:val="00723CCC"/>
    <w:rsid w:val="007247C0"/>
    <w:rsid w:val="00730BAD"/>
    <w:rsid w:val="00730BE4"/>
    <w:rsid w:val="00732752"/>
    <w:rsid w:val="00734628"/>
    <w:rsid w:val="0073619E"/>
    <w:rsid w:val="00736302"/>
    <w:rsid w:val="00736A30"/>
    <w:rsid w:val="00736D6B"/>
    <w:rsid w:val="00737E8C"/>
    <w:rsid w:val="0074456C"/>
    <w:rsid w:val="0075051B"/>
    <w:rsid w:val="0075147D"/>
    <w:rsid w:val="007527F7"/>
    <w:rsid w:val="00753CCF"/>
    <w:rsid w:val="00754B20"/>
    <w:rsid w:val="00756BED"/>
    <w:rsid w:val="0076006C"/>
    <w:rsid w:val="00774E6F"/>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2109"/>
    <w:rsid w:val="007D4298"/>
    <w:rsid w:val="007D48BF"/>
    <w:rsid w:val="007D5178"/>
    <w:rsid w:val="007D7DC8"/>
    <w:rsid w:val="007F0DF7"/>
    <w:rsid w:val="007F476B"/>
    <w:rsid w:val="007F6C20"/>
    <w:rsid w:val="007F6C97"/>
    <w:rsid w:val="007F7926"/>
    <w:rsid w:val="008033A9"/>
    <w:rsid w:val="00804071"/>
    <w:rsid w:val="008075F1"/>
    <w:rsid w:val="0082153E"/>
    <w:rsid w:val="008240CF"/>
    <w:rsid w:val="00830EFF"/>
    <w:rsid w:val="008353C8"/>
    <w:rsid w:val="008356A9"/>
    <w:rsid w:val="008363BE"/>
    <w:rsid w:val="00836E5B"/>
    <w:rsid w:val="00837286"/>
    <w:rsid w:val="00837428"/>
    <w:rsid w:val="008377B8"/>
    <w:rsid w:val="008424D2"/>
    <w:rsid w:val="008435E1"/>
    <w:rsid w:val="008458FB"/>
    <w:rsid w:val="00847EBF"/>
    <w:rsid w:val="00856A7C"/>
    <w:rsid w:val="00857272"/>
    <w:rsid w:val="0086244A"/>
    <w:rsid w:val="00862C17"/>
    <w:rsid w:val="00863D7C"/>
    <w:rsid w:val="00870548"/>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7F21"/>
    <w:rsid w:val="008F595A"/>
    <w:rsid w:val="008F5D14"/>
    <w:rsid w:val="008F7E70"/>
    <w:rsid w:val="008F7F82"/>
    <w:rsid w:val="00902C86"/>
    <w:rsid w:val="00902CF3"/>
    <w:rsid w:val="00906F44"/>
    <w:rsid w:val="00907A58"/>
    <w:rsid w:val="00907DB9"/>
    <w:rsid w:val="0091251A"/>
    <w:rsid w:val="0091552A"/>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AB0"/>
    <w:rsid w:val="00992BDA"/>
    <w:rsid w:val="00994BF9"/>
    <w:rsid w:val="00995B96"/>
    <w:rsid w:val="0099677E"/>
    <w:rsid w:val="009A59FE"/>
    <w:rsid w:val="009B05D2"/>
    <w:rsid w:val="009C15F2"/>
    <w:rsid w:val="009C2C29"/>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5976"/>
    <w:rsid w:val="00A33D1F"/>
    <w:rsid w:val="00A35E51"/>
    <w:rsid w:val="00A373FE"/>
    <w:rsid w:val="00A37FC1"/>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921ED"/>
    <w:rsid w:val="00A92570"/>
    <w:rsid w:val="00A930C4"/>
    <w:rsid w:val="00A96DE6"/>
    <w:rsid w:val="00AA00FC"/>
    <w:rsid w:val="00AA4145"/>
    <w:rsid w:val="00AA48BB"/>
    <w:rsid w:val="00AA632F"/>
    <w:rsid w:val="00AC211F"/>
    <w:rsid w:val="00AC3DEA"/>
    <w:rsid w:val="00AC408D"/>
    <w:rsid w:val="00AC60B8"/>
    <w:rsid w:val="00AD2782"/>
    <w:rsid w:val="00AD2F6A"/>
    <w:rsid w:val="00AE1727"/>
    <w:rsid w:val="00AE214D"/>
    <w:rsid w:val="00AF0A91"/>
    <w:rsid w:val="00AF551B"/>
    <w:rsid w:val="00AF6D5B"/>
    <w:rsid w:val="00B01A2C"/>
    <w:rsid w:val="00B05911"/>
    <w:rsid w:val="00B05C9B"/>
    <w:rsid w:val="00B1115D"/>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4585"/>
    <w:rsid w:val="00B545E8"/>
    <w:rsid w:val="00B563D4"/>
    <w:rsid w:val="00B57D7A"/>
    <w:rsid w:val="00B60C85"/>
    <w:rsid w:val="00B61AF9"/>
    <w:rsid w:val="00B65A8A"/>
    <w:rsid w:val="00B65CC7"/>
    <w:rsid w:val="00B67AB0"/>
    <w:rsid w:val="00B76274"/>
    <w:rsid w:val="00B8300B"/>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5092B"/>
    <w:rsid w:val="00C5385D"/>
    <w:rsid w:val="00C6069B"/>
    <w:rsid w:val="00C62219"/>
    <w:rsid w:val="00C6226E"/>
    <w:rsid w:val="00C8033E"/>
    <w:rsid w:val="00C81C65"/>
    <w:rsid w:val="00C85C94"/>
    <w:rsid w:val="00C90563"/>
    <w:rsid w:val="00C934FC"/>
    <w:rsid w:val="00C94568"/>
    <w:rsid w:val="00C953C4"/>
    <w:rsid w:val="00C959EC"/>
    <w:rsid w:val="00C9673A"/>
    <w:rsid w:val="00C972CB"/>
    <w:rsid w:val="00C976AB"/>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656D"/>
    <w:rsid w:val="00D87AEC"/>
    <w:rsid w:val="00D935D5"/>
    <w:rsid w:val="00D936D0"/>
    <w:rsid w:val="00D9395C"/>
    <w:rsid w:val="00D95261"/>
    <w:rsid w:val="00DA2FEA"/>
    <w:rsid w:val="00DA3BB3"/>
    <w:rsid w:val="00DA64A8"/>
    <w:rsid w:val="00DB1745"/>
    <w:rsid w:val="00DB4EC6"/>
    <w:rsid w:val="00DC7ED6"/>
    <w:rsid w:val="00DD0006"/>
    <w:rsid w:val="00DD5662"/>
    <w:rsid w:val="00DE1C36"/>
    <w:rsid w:val="00DE280C"/>
    <w:rsid w:val="00DE5863"/>
    <w:rsid w:val="00DE6E80"/>
    <w:rsid w:val="00DE72D9"/>
    <w:rsid w:val="00DF0B1B"/>
    <w:rsid w:val="00DF4D85"/>
    <w:rsid w:val="00E03B30"/>
    <w:rsid w:val="00E1006C"/>
    <w:rsid w:val="00E10BA2"/>
    <w:rsid w:val="00E1155B"/>
    <w:rsid w:val="00E136D0"/>
    <w:rsid w:val="00E13916"/>
    <w:rsid w:val="00E205D9"/>
    <w:rsid w:val="00E209AD"/>
    <w:rsid w:val="00E271A0"/>
    <w:rsid w:val="00E27555"/>
    <w:rsid w:val="00E31071"/>
    <w:rsid w:val="00E4377B"/>
    <w:rsid w:val="00E45D93"/>
    <w:rsid w:val="00E518A8"/>
    <w:rsid w:val="00E5442B"/>
    <w:rsid w:val="00E57E7A"/>
    <w:rsid w:val="00E62020"/>
    <w:rsid w:val="00E65721"/>
    <w:rsid w:val="00E674C9"/>
    <w:rsid w:val="00E7139F"/>
    <w:rsid w:val="00E7226B"/>
    <w:rsid w:val="00E77A47"/>
    <w:rsid w:val="00E81E4B"/>
    <w:rsid w:val="00E83E3E"/>
    <w:rsid w:val="00E83EDF"/>
    <w:rsid w:val="00E85F9E"/>
    <w:rsid w:val="00E87C50"/>
    <w:rsid w:val="00EA0274"/>
    <w:rsid w:val="00EB1475"/>
    <w:rsid w:val="00EB19D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705B"/>
    <w:rsid w:val="00F508B7"/>
    <w:rsid w:val="00F509E1"/>
    <w:rsid w:val="00F53D40"/>
    <w:rsid w:val="00F5444F"/>
    <w:rsid w:val="00F57383"/>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hyperlink" Target="http://forum.icann.org/lists/acdr-proposal/msg00004.html" TargetMode="External"/><Relationship Id="rId14" Type="http://schemas.openxmlformats.org/officeDocument/2006/relationships/hyperlink" Target="http://www.bizconst.org/Positions-Statements/BC_on_UDRP_Issues_Report_July_2011.pdf" TargetMode="Externa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47169"/>
    <w:rsid w:val="002E5E36"/>
    <w:rsid w:val="00406229"/>
    <w:rsid w:val="00471E69"/>
    <w:rsid w:val="00691E56"/>
    <w:rsid w:val="00836E60"/>
    <w:rsid w:val="009B3120"/>
    <w:rsid w:val="00C009FC"/>
    <w:rsid w:val="00D55D57"/>
    <w:rsid w:val="00ED1D4F"/>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730D-2820-8348-B088-39438663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1775</Words>
  <Characters>9715</Characters>
  <Application>Microsoft Macintosh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DelBianco</dc:creator>
  <cp:keywords/>
  <dc:description/>
  <cp:lastModifiedBy>Steve DelBianco</cp:lastModifiedBy>
  <cp:revision>10</cp:revision>
  <cp:lastPrinted>2013-03-15T15:25:00Z</cp:lastPrinted>
  <dcterms:created xsi:type="dcterms:W3CDTF">2013-03-21T00:10:00Z</dcterms:created>
  <dcterms:modified xsi:type="dcterms:W3CDTF">2013-03-21T01:51:00Z</dcterms:modified>
  <cp:category/>
</cp:coreProperties>
</file>