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6C4" w:rsidRPr="00335F7B" w:rsidRDefault="006C78A3">
      <w:r>
        <w:rPr>
          <w:noProof/>
        </w:rPr>
        <w:pict>
          <v:shapetype id="_x0000_t202" coordsize="21600,21600" o:spt="202" path="m,l,21600r21600,l21600,xe">
            <v:stroke joinstyle="miter"/>
            <v:path gradientshapeok="t" o:connecttype="rect"/>
          </v:shapetype>
          <v:shape id="_x0000_s1029" type="#_x0000_t202" style="position:absolute;margin-left:23.75pt;margin-top:549.5pt;width:2in;height:119.1pt;z-index:251660288" filled="f" stroked="f">
            <v:textbox style="mso-next-textbox:#_x0000_s1029">
              <w:txbxContent>
                <w:p w:rsidR="007527F7" w:rsidRPr="0091661B" w:rsidRDefault="007527F7" w:rsidP="00D04118">
                  <w:pPr>
                    <w:rPr>
                      <w:rFonts w:ascii="Calibri" w:eastAsia="Calibri" w:hAnsi="Calibri" w:cs="Arial"/>
                      <w:sz w:val="32"/>
                      <w:szCs w:val="32"/>
                    </w:rPr>
                  </w:pPr>
                  <w:r w:rsidRPr="0091661B">
                    <w:rPr>
                      <w:rFonts w:ascii="Calibri" w:eastAsia="Calibri" w:hAnsi="Calibri" w:cs="Arial"/>
                      <w:sz w:val="32"/>
                      <w:szCs w:val="32"/>
                    </w:rPr>
                    <w:t xml:space="preserve">Status: </w:t>
                  </w:r>
                  <w:r w:rsidR="004D3EFA">
                    <w:rPr>
                      <w:rFonts w:ascii="Calibri" w:eastAsia="Calibri" w:hAnsi="Calibri" w:cs="Arial"/>
                      <w:sz w:val="32"/>
                      <w:szCs w:val="32"/>
                    </w:rPr>
                    <w:t>Final</w:t>
                  </w:r>
                </w:p>
                <w:p w:rsidR="007527F7" w:rsidRDefault="004D3EFA" w:rsidP="00D04118">
                  <w:pPr>
                    <w:rPr>
                      <w:rFonts w:cs="Arial"/>
                      <w:sz w:val="32"/>
                      <w:szCs w:val="32"/>
                    </w:rPr>
                  </w:pPr>
                  <w:r>
                    <w:rPr>
                      <w:rFonts w:ascii="Calibri" w:eastAsia="Calibri" w:hAnsi="Calibri" w:cs="Arial"/>
                      <w:sz w:val="32"/>
                      <w:szCs w:val="32"/>
                    </w:rPr>
                    <w:t>Version: 1</w:t>
                  </w:r>
                  <w:r w:rsidR="007527F7">
                    <w:rPr>
                      <w:rFonts w:ascii="Calibri" w:eastAsia="Calibri" w:hAnsi="Calibri" w:cs="Arial"/>
                      <w:sz w:val="32"/>
                      <w:szCs w:val="32"/>
                    </w:rPr>
                    <w:t>.</w:t>
                  </w:r>
                  <w:r w:rsidR="00E4377B">
                    <w:rPr>
                      <w:rFonts w:ascii="Calibri" w:eastAsia="Calibri" w:hAnsi="Calibri" w:cs="Arial"/>
                      <w:sz w:val="32"/>
                      <w:szCs w:val="32"/>
                    </w:rPr>
                    <w:t>1</w:t>
                  </w:r>
                </w:p>
                <w:p w:rsidR="007527F7" w:rsidRPr="0091661B" w:rsidRDefault="004D3EFA" w:rsidP="00D04118">
                  <w:pPr>
                    <w:rPr>
                      <w:rFonts w:ascii="Calibri" w:eastAsia="Calibri" w:hAnsi="Calibri" w:cs="Arial"/>
                      <w:sz w:val="32"/>
                      <w:szCs w:val="32"/>
                    </w:rPr>
                  </w:pPr>
                  <w:r>
                    <w:rPr>
                      <w:rFonts w:cs="Arial"/>
                      <w:sz w:val="32"/>
                      <w:szCs w:val="32"/>
                    </w:rPr>
                    <w:t>31</w:t>
                  </w:r>
                  <w:r w:rsidR="007527F7">
                    <w:rPr>
                      <w:rFonts w:cs="Arial"/>
                      <w:sz w:val="32"/>
                      <w:szCs w:val="32"/>
                    </w:rPr>
                    <w:t xml:space="preserve"> Mar 2010</w:t>
                  </w:r>
                </w:p>
              </w:txbxContent>
            </v:textbox>
          </v:shape>
        </w:pict>
      </w:r>
      <w:r>
        <w:rPr>
          <w:noProof/>
        </w:rPr>
        <w:pict>
          <v:rect id="_x0000_s1031" style="position:absolute;margin-left:.95pt;margin-top:7.95pt;width:538.15pt;height:690.1pt;z-index:251657215" filled="f"/>
        </w:pict>
      </w:r>
      <w:r w:rsidR="00E1006C">
        <w:rPr>
          <w:noProof/>
        </w:rPr>
        <w:drawing>
          <wp:anchor distT="0" distB="0" distL="114300" distR="114300" simplePos="0" relativeHeight="251658240" behindDoc="0" locked="0" layoutInCell="1" allowOverlap="1">
            <wp:simplePos x="0" y="0"/>
            <wp:positionH relativeFrom="column">
              <wp:posOffset>93980</wp:posOffset>
            </wp:positionH>
            <wp:positionV relativeFrom="paragraph">
              <wp:posOffset>252095</wp:posOffset>
            </wp:positionV>
            <wp:extent cx="1230630" cy="995680"/>
            <wp:effectExtent l="19050" t="0" r="7620" b="0"/>
            <wp:wrapSquare wrapText="bothSides"/>
            <wp:docPr id="3" name="Picture 1" descr="ICANNLogodkbluesm"/>
            <wp:cNvGraphicFramePr/>
            <a:graphic xmlns:a="http://schemas.openxmlformats.org/drawingml/2006/main">
              <a:graphicData uri="http://schemas.openxmlformats.org/drawingml/2006/picture">
                <pic:pic xmlns:pic="http://schemas.openxmlformats.org/drawingml/2006/picture">
                  <pic:nvPicPr>
                    <pic:cNvPr id="8" name="Picture 9" descr="ICANNLogodkbluesm"/>
                    <pic:cNvPicPr>
                      <a:picLocks noChangeAspect="1" noChangeArrowheads="1"/>
                    </pic:cNvPicPr>
                  </pic:nvPicPr>
                  <pic:blipFill>
                    <a:blip r:embed="rId8" cstate="print"/>
                    <a:srcRect/>
                    <a:stretch>
                      <a:fillRect/>
                    </a:stretch>
                  </pic:blipFill>
                  <pic:spPr bwMode="auto">
                    <a:xfrm>
                      <a:off x="0" y="0"/>
                      <a:ext cx="1230630" cy="995680"/>
                    </a:xfrm>
                    <a:prstGeom prst="rect">
                      <a:avLst/>
                    </a:prstGeom>
                    <a:noFill/>
                    <a:ln w="9525">
                      <a:noFill/>
                      <a:miter lim="800000"/>
                      <a:headEnd/>
                      <a:tailEnd/>
                    </a:ln>
                  </pic:spPr>
                </pic:pic>
              </a:graphicData>
            </a:graphic>
          </wp:anchor>
        </w:drawing>
      </w:r>
      <w:r w:rsidR="00E1006C">
        <w:rPr>
          <w:noProof/>
        </w:rPr>
        <w:drawing>
          <wp:anchor distT="0" distB="0" distL="114300" distR="114300" simplePos="0" relativeHeight="251662336" behindDoc="1" locked="0" layoutInCell="1" allowOverlap="1">
            <wp:simplePos x="0" y="0"/>
            <wp:positionH relativeFrom="column">
              <wp:posOffset>53169</wp:posOffset>
            </wp:positionH>
            <wp:positionV relativeFrom="paragraph">
              <wp:posOffset>129654</wp:posOffset>
            </wp:positionV>
            <wp:extent cx="6750239" cy="1241946"/>
            <wp:effectExtent l="19050" t="0" r="0" b="0"/>
            <wp:wrapNone/>
            <wp:docPr id="5" name="Picture 2" descr="PPslide5"/>
            <wp:cNvGraphicFramePr/>
            <a:graphic xmlns:a="http://schemas.openxmlformats.org/drawingml/2006/main">
              <a:graphicData uri="http://schemas.openxmlformats.org/drawingml/2006/picture">
                <pic:pic xmlns:pic="http://schemas.openxmlformats.org/drawingml/2006/picture">
                  <pic:nvPicPr>
                    <pic:cNvPr id="7" name="Picture 10" descr="PPslide5"/>
                    <pic:cNvPicPr>
                      <a:picLocks noChangeAspect="1" noChangeArrowheads="1"/>
                    </pic:cNvPicPr>
                  </pic:nvPicPr>
                  <pic:blipFill>
                    <a:blip r:embed="rId9" cstate="print"/>
                    <a:srcRect/>
                    <a:stretch>
                      <a:fillRect/>
                    </a:stretch>
                  </pic:blipFill>
                  <pic:spPr bwMode="auto">
                    <a:xfrm>
                      <a:off x="0" y="0"/>
                      <a:ext cx="6750239" cy="1241946"/>
                    </a:xfrm>
                    <a:prstGeom prst="rect">
                      <a:avLst/>
                    </a:prstGeom>
                    <a:solidFill>
                      <a:srgbClr val="9ABCDE"/>
                    </a:solidFill>
                    <a:ln w="9525">
                      <a:noFill/>
                      <a:miter lim="800000"/>
                      <a:headEnd/>
                      <a:tailEnd/>
                    </a:ln>
                  </pic:spPr>
                </pic:pic>
              </a:graphicData>
            </a:graphic>
          </wp:anchor>
        </w:drawing>
      </w:r>
      <w:r>
        <w:rPr>
          <w:noProof/>
        </w:rPr>
        <w:pict>
          <v:shape id="_x0000_s1030" type="#_x0000_t202" style="position:absolute;margin-left:162pt;margin-top:157.2pt;width:5in;height:484.15pt;z-index:251661312;mso-position-horizontal-relative:text;mso-position-vertical-relative:text" filled="f" stroked="f">
            <v:textbox style="mso-next-textbox:#_x0000_s1030">
              <w:txbxContent>
                <w:p w:rsidR="007527F7" w:rsidRDefault="00E13916" w:rsidP="00D04118">
                  <w:pPr>
                    <w:rPr>
                      <w:rFonts w:ascii="Arial Rounded MT Bold" w:hAnsi="Arial Rounded MT Bold"/>
                      <w:b/>
                      <w:sz w:val="88"/>
                      <w:szCs w:val="88"/>
                    </w:rPr>
                  </w:pPr>
                  <w:r>
                    <w:rPr>
                      <w:rFonts w:ascii="Arial Rounded MT Bold" w:hAnsi="Arial Rounded MT Bold"/>
                      <w:b/>
                      <w:sz w:val="88"/>
                      <w:szCs w:val="88"/>
                    </w:rPr>
                    <w:t xml:space="preserve">New gTLD </w:t>
                  </w:r>
                  <w:r w:rsidR="00FA744D">
                    <w:rPr>
                      <w:rFonts w:ascii="Arial Rounded MT Bold" w:hAnsi="Arial Rounded MT Bold"/>
                      <w:b/>
                      <w:sz w:val="88"/>
                      <w:szCs w:val="88"/>
                    </w:rPr>
                    <w:t xml:space="preserve">Benchmarking of </w:t>
                  </w:r>
                  <w:r w:rsidR="007527F7">
                    <w:rPr>
                      <w:rFonts w:ascii="Arial Rounded MT Bold" w:hAnsi="Arial Rounded MT Bold"/>
                      <w:b/>
                      <w:sz w:val="88"/>
                      <w:szCs w:val="88"/>
                    </w:rPr>
                    <w:t>Registr</w:t>
                  </w:r>
                  <w:r w:rsidR="00FA744D">
                    <w:rPr>
                      <w:rFonts w:ascii="Arial Rounded MT Bold" w:hAnsi="Arial Rounded MT Bold"/>
                      <w:b/>
                      <w:sz w:val="88"/>
                      <w:szCs w:val="88"/>
                    </w:rPr>
                    <w:t>y Operations</w:t>
                  </w:r>
                </w:p>
                <w:p w:rsidR="007527F7" w:rsidRPr="00D87AEC" w:rsidRDefault="007527F7" w:rsidP="00D87AEC">
                  <w:pPr>
                    <w:pStyle w:val="ListParagraph"/>
                    <w:numPr>
                      <w:ilvl w:val="0"/>
                      <w:numId w:val="21"/>
                    </w:numPr>
                    <w:rPr>
                      <w:rFonts w:ascii="Arial Rounded MT Bold" w:hAnsi="Arial Rounded MT Bold"/>
                      <w:b/>
                      <w:sz w:val="52"/>
                      <w:szCs w:val="52"/>
                    </w:rPr>
                  </w:pPr>
                  <w:r>
                    <w:rPr>
                      <w:rFonts w:ascii="Arial Rounded MT Bold" w:hAnsi="Arial Rounded MT Bold"/>
                      <w:b/>
                      <w:sz w:val="52"/>
                      <w:szCs w:val="52"/>
                    </w:rPr>
                    <w:t xml:space="preserve">CBUC </w:t>
                  </w:r>
                  <w:r w:rsidRPr="00D87AEC">
                    <w:rPr>
                      <w:rFonts w:ascii="Arial Rounded MT Bold" w:hAnsi="Arial Rounded MT Bold"/>
                      <w:b/>
                      <w:sz w:val="52"/>
                      <w:szCs w:val="52"/>
                    </w:rPr>
                    <w:t>Position Statement -</w:t>
                  </w:r>
                </w:p>
                <w:p w:rsidR="007527F7" w:rsidRDefault="007527F7" w:rsidP="00D04118">
                  <w:pPr>
                    <w:rPr>
                      <w:rFonts w:ascii="Arial Rounded MT Bold" w:hAnsi="Arial Rounded MT Bold"/>
                      <w:b/>
                      <w:sz w:val="96"/>
                      <w:szCs w:val="96"/>
                    </w:rPr>
                  </w:pPr>
                </w:p>
                <w:p w:rsidR="007527F7" w:rsidRPr="00D04118" w:rsidRDefault="007527F7" w:rsidP="00E83E3E">
                  <w:pPr>
                    <w:rPr>
                      <w:rFonts w:ascii="Arial Rounded MT Bold" w:eastAsia="Calibri" w:hAnsi="Arial Rounded MT Bold" w:cs="Times New Roman"/>
                      <w:b/>
                      <w:sz w:val="44"/>
                      <w:szCs w:val="44"/>
                    </w:rPr>
                  </w:pPr>
                  <w:r>
                    <w:rPr>
                      <w:rFonts w:ascii="Arial Rounded MT Bold" w:hAnsi="Arial Rounded MT Bold"/>
                      <w:b/>
                      <w:sz w:val="44"/>
                      <w:szCs w:val="44"/>
                    </w:rPr>
                    <w:t>Commercial &amp; Business Users Constituency</w:t>
                  </w:r>
                </w:p>
                <w:p w:rsidR="007527F7" w:rsidRDefault="007527F7" w:rsidP="00D04118">
                  <w:pPr>
                    <w:rPr>
                      <w:rFonts w:ascii="Arial Rounded MT Bold" w:hAnsi="Arial Rounded MT Bold"/>
                      <w:b/>
                      <w:sz w:val="44"/>
                      <w:szCs w:val="44"/>
                    </w:rPr>
                  </w:pPr>
                  <w:r>
                    <w:rPr>
                      <w:rFonts w:ascii="Arial Rounded MT Bold" w:hAnsi="Arial Rounded MT Bold"/>
                      <w:b/>
                      <w:sz w:val="44"/>
                      <w:szCs w:val="44"/>
                    </w:rPr>
                    <w:t>GNSO//CSG//CBUC</w:t>
                  </w:r>
                </w:p>
              </w:txbxContent>
            </v:textbox>
          </v:shape>
        </w:pict>
      </w:r>
      <w:r>
        <w:rPr>
          <w:noProof/>
        </w:rPr>
        <w:pict>
          <v:line id="_x0000_s1028" style="position:absolute;z-index:251659264;mso-position-horizontal-relative:text;mso-position-vertical-relative:text" from="140.35pt,128.6pt" to="140.35pt,668.6pt" strokecolor="#31849b [2408]" strokeweight="5pt"/>
        </w:pict>
      </w:r>
      <w:r w:rsidR="00D04118">
        <w:t xml:space="preserve"> </w:t>
      </w:r>
      <w:r w:rsidR="00045860">
        <w:br w:type="page"/>
      </w:r>
    </w:p>
    <w:p w:rsidR="00D87AEC" w:rsidRPr="004750FA" w:rsidRDefault="00D87AEC" w:rsidP="00D87AEC">
      <w:pPr>
        <w:pStyle w:val="BodyText2"/>
        <w:pBdr>
          <w:top w:val="single" w:sz="4" w:space="1" w:color="auto"/>
          <w:left w:val="single" w:sz="4" w:space="4" w:color="auto"/>
          <w:bottom w:val="single" w:sz="4" w:space="1" w:color="auto"/>
          <w:right w:val="single" w:sz="4" w:space="4" w:color="auto"/>
        </w:pBdr>
        <w:rPr>
          <w:b/>
          <w:bCs/>
          <w:color w:val="31849B" w:themeColor="accent5" w:themeShade="BF"/>
          <w:sz w:val="40"/>
          <w:szCs w:val="22"/>
        </w:rPr>
      </w:pPr>
      <w:r>
        <w:rPr>
          <w:b/>
          <w:bCs/>
          <w:color w:val="31849B" w:themeColor="accent5" w:themeShade="BF"/>
          <w:sz w:val="40"/>
          <w:szCs w:val="22"/>
        </w:rPr>
        <w:lastRenderedPageBreak/>
        <w:t>Position Statement Summary</w:t>
      </w:r>
      <w:r w:rsidRPr="004750FA">
        <w:rPr>
          <w:b/>
          <w:bCs/>
          <w:color w:val="31849B" w:themeColor="accent5" w:themeShade="BF"/>
          <w:sz w:val="40"/>
          <w:szCs w:val="22"/>
        </w:rPr>
        <w:t>:</w:t>
      </w:r>
    </w:p>
    <w:p w:rsidR="00D87AEC" w:rsidRDefault="00D87AEC" w:rsidP="00D87AEC">
      <w:pPr>
        <w:rPr>
          <w:rFonts w:ascii="Arial" w:hAnsi="Arial" w:cs="Arial"/>
          <w:sz w:val="20"/>
          <w:szCs w:val="20"/>
        </w:rPr>
      </w:pPr>
    </w:p>
    <w:p w:rsidR="008356A9" w:rsidRDefault="008B5757" w:rsidP="008356A9">
      <w:pPr>
        <w:rPr>
          <w:rFonts w:ascii="Arial" w:hAnsi="Arial" w:cs="Arial"/>
          <w:sz w:val="20"/>
          <w:szCs w:val="20"/>
        </w:rPr>
      </w:pPr>
      <w:r>
        <w:rPr>
          <w:rFonts w:ascii="Arial" w:hAnsi="Arial" w:cs="Arial"/>
          <w:sz w:val="20"/>
          <w:szCs w:val="20"/>
        </w:rPr>
        <w:t>The CBUC would like to thank ICANN for initiating this study</w:t>
      </w:r>
      <w:r w:rsidR="008C7A43">
        <w:rPr>
          <w:rFonts w:ascii="Arial" w:hAnsi="Arial" w:cs="Arial"/>
          <w:sz w:val="20"/>
          <w:szCs w:val="20"/>
        </w:rPr>
        <w:t xml:space="preserve"> with respect to the gTLD expansion</w:t>
      </w:r>
      <w:r>
        <w:rPr>
          <w:rFonts w:ascii="Arial" w:hAnsi="Arial" w:cs="Arial"/>
          <w:sz w:val="20"/>
          <w:szCs w:val="20"/>
        </w:rPr>
        <w:t xml:space="preserve"> and we acknowledge the </w:t>
      </w:r>
      <w:r w:rsidR="008C7A43">
        <w:rPr>
          <w:rFonts w:ascii="Arial" w:hAnsi="Arial" w:cs="Arial"/>
          <w:sz w:val="20"/>
          <w:szCs w:val="20"/>
        </w:rPr>
        <w:t xml:space="preserve">validity </w:t>
      </w:r>
      <w:r>
        <w:rPr>
          <w:rFonts w:ascii="Arial" w:hAnsi="Arial" w:cs="Arial"/>
          <w:sz w:val="20"/>
          <w:szCs w:val="20"/>
        </w:rPr>
        <w:t xml:space="preserve">and thoroughness of </w:t>
      </w:r>
      <w:r w:rsidR="008C7A43">
        <w:rPr>
          <w:rFonts w:ascii="Arial" w:hAnsi="Arial" w:cs="Arial"/>
          <w:sz w:val="20"/>
          <w:szCs w:val="20"/>
        </w:rPr>
        <w:t xml:space="preserve">the </w:t>
      </w:r>
      <w:r>
        <w:rPr>
          <w:rFonts w:ascii="Arial" w:hAnsi="Arial" w:cs="Arial"/>
          <w:sz w:val="20"/>
          <w:szCs w:val="20"/>
        </w:rPr>
        <w:t>KPMG</w:t>
      </w:r>
      <w:r w:rsidR="008C7A43">
        <w:rPr>
          <w:rFonts w:ascii="Arial" w:hAnsi="Arial" w:cs="Arial"/>
          <w:sz w:val="20"/>
          <w:szCs w:val="20"/>
        </w:rPr>
        <w:t xml:space="preserve"> approach</w:t>
      </w:r>
      <w:r>
        <w:rPr>
          <w:rFonts w:ascii="Arial" w:hAnsi="Arial" w:cs="Arial"/>
          <w:sz w:val="20"/>
          <w:szCs w:val="20"/>
        </w:rPr>
        <w:t xml:space="preserve">.  </w:t>
      </w:r>
      <w:r w:rsidR="002F084E">
        <w:rPr>
          <w:rFonts w:ascii="Arial" w:hAnsi="Arial" w:cs="Arial"/>
          <w:sz w:val="20"/>
          <w:szCs w:val="20"/>
        </w:rPr>
        <w:t xml:space="preserve">Presentation of the Registry Operations data provides valuable insight across the defined operational components.  </w:t>
      </w:r>
      <w:r>
        <w:rPr>
          <w:rFonts w:ascii="Arial" w:hAnsi="Arial" w:cs="Arial"/>
          <w:sz w:val="20"/>
          <w:szCs w:val="20"/>
        </w:rPr>
        <w:t xml:space="preserve">The </w:t>
      </w:r>
      <w:r w:rsidR="008C7A43">
        <w:rPr>
          <w:rFonts w:ascii="Arial" w:hAnsi="Arial" w:cs="Arial"/>
          <w:sz w:val="20"/>
          <w:szCs w:val="20"/>
        </w:rPr>
        <w:t>resu</w:t>
      </w:r>
      <w:r w:rsidR="002F084E">
        <w:rPr>
          <w:rFonts w:ascii="Arial" w:hAnsi="Arial" w:cs="Arial"/>
          <w:sz w:val="20"/>
          <w:szCs w:val="20"/>
        </w:rPr>
        <w:t>lts of this study</w:t>
      </w:r>
      <w:r w:rsidR="008C7A43">
        <w:rPr>
          <w:rFonts w:ascii="Arial" w:hAnsi="Arial" w:cs="Arial"/>
          <w:sz w:val="20"/>
          <w:szCs w:val="20"/>
        </w:rPr>
        <w:t xml:space="preserve"> begin to provide a foundation </w:t>
      </w:r>
      <w:r w:rsidR="007017F0">
        <w:rPr>
          <w:rFonts w:ascii="Arial" w:hAnsi="Arial" w:cs="Arial"/>
          <w:sz w:val="20"/>
          <w:szCs w:val="20"/>
        </w:rPr>
        <w:t>of</w:t>
      </w:r>
      <w:r w:rsidR="008C7A43">
        <w:rPr>
          <w:rFonts w:ascii="Arial" w:hAnsi="Arial" w:cs="Arial"/>
          <w:sz w:val="20"/>
          <w:szCs w:val="20"/>
        </w:rPr>
        <w:t xml:space="preserve"> benchmark Registry operations</w:t>
      </w:r>
      <w:r w:rsidR="004367CF">
        <w:rPr>
          <w:rFonts w:ascii="Arial" w:hAnsi="Arial" w:cs="Arial"/>
          <w:sz w:val="20"/>
          <w:szCs w:val="20"/>
        </w:rPr>
        <w:t xml:space="preserve"> </w:t>
      </w:r>
      <w:r w:rsidR="007017F0">
        <w:rPr>
          <w:rFonts w:ascii="Arial" w:hAnsi="Arial" w:cs="Arial"/>
          <w:sz w:val="20"/>
          <w:szCs w:val="20"/>
        </w:rPr>
        <w:t xml:space="preserve">where </w:t>
      </w:r>
      <w:r w:rsidR="004367CF">
        <w:rPr>
          <w:rFonts w:ascii="Arial" w:hAnsi="Arial" w:cs="Arial"/>
          <w:sz w:val="20"/>
          <w:szCs w:val="20"/>
        </w:rPr>
        <w:t>an image of scope</w:t>
      </w:r>
      <w:r w:rsidR="007017F0">
        <w:rPr>
          <w:rFonts w:ascii="Arial" w:hAnsi="Arial" w:cs="Arial"/>
          <w:sz w:val="20"/>
          <w:szCs w:val="20"/>
        </w:rPr>
        <w:t xml:space="preserve"> can begin to emerge</w:t>
      </w:r>
      <w:r w:rsidR="008C7A43">
        <w:rPr>
          <w:rFonts w:ascii="Arial" w:hAnsi="Arial" w:cs="Arial"/>
          <w:sz w:val="20"/>
          <w:szCs w:val="20"/>
        </w:rPr>
        <w:t xml:space="preserve">.  The CBUC supports this approach and believe it will be a useful tool </w:t>
      </w:r>
      <w:r w:rsidR="004367CF">
        <w:rPr>
          <w:rFonts w:ascii="Arial" w:hAnsi="Arial" w:cs="Arial"/>
          <w:sz w:val="20"/>
          <w:szCs w:val="20"/>
        </w:rPr>
        <w:t xml:space="preserve">for </w:t>
      </w:r>
      <w:r w:rsidR="008C7A43">
        <w:rPr>
          <w:rFonts w:ascii="Arial" w:hAnsi="Arial" w:cs="Arial"/>
          <w:sz w:val="20"/>
          <w:szCs w:val="20"/>
        </w:rPr>
        <w:t>ICANN t</w:t>
      </w:r>
      <w:r w:rsidR="008356A9">
        <w:rPr>
          <w:rFonts w:ascii="Arial" w:hAnsi="Arial" w:cs="Arial"/>
          <w:sz w:val="20"/>
          <w:szCs w:val="20"/>
        </w:rPr>
        <w:t xml:space="preserve">o further promote stability, </w:t>
      </w:r>
      <w:r w:rsidR="008C7A43">
        <w:rPr>
          <w:rFonts w:ascii="Arial" w:hAnsi="Arial" w:cs="Arial"/>
          <w:sz w:val="20"/>
          <w:szCs w:val="20"/>
        </w:rPr>
        <w:t>security</w:t>
      </w:r>
      <w:r w:rsidR="008356A9">
        <w:rPr>
          <w:rFonts w:ascii="Arial" w:hAnsi="Arial" w:cs="Arial"/>
          <w:sz w:val="20"/>
          <w:szCs w:val="20"/>
        </w:rPr>
        <w:t>, and</w:t>
      </w:r>
      <w:r w:rsidR="008C7A43">
        <w:rPr>
          <w:rFonts w:ascii="Arial" w:hAnsi="Arial" w:cs="Arial"/>
          <w:sz w:val="20"/>
          <w:szCs w:val="20"/>
        </w:rPr>
        <w:t xml:space="preserve"> competition</w:t>
      </w:r>
      <w:r w:rsidR="008356A9">
        <w:rPr>
          <w:rFonts w:ascii="Arial" w:hAnsi="Arial" w:cs="Arial"/>
          <w:sz w:val="20"/>
          <w:szCs w:val="20"/>
        </w:rPr>
        <w:t xml:space="preserve"> with the new gTLDs</w:t>
      </w:r>
      <w:r w:rsidR="008C7A43">
        <w:rPr>
          <w:rFonts w:ascii="Arial" w:hAnsi="Arial" w:cs="Arial"/>
          <w:sz w:val="20"/>
          <w:szCs w:val="20"/>
        </w:rPr>
        <w:t xml:space="preserve">.  This baseline will also be valuable to prospective applicants </w:t>
      </w:r>
      <w:r w:rsidR="007017F0">
        <w:rPr>
          <w:rFonts w:ascii="Arial" w:hAnsi="Arial" w:cs="Arial"/>
          <w:sz w:val="20"/>
          <w:szCs w:val="20"/>
        </w:rPr>
        <w:t>who wish to be better</w:t>
      </w:r>
      <w:r w:rsidR="008C7A43">
        <w:rPr>
          <w:rFonts w:ascii="Arial" w:hAnsi="Arial" w:cs="Arial"/>
          <w:sz w:val="20"/>
          <w:szCs w:val="20"/>
        </w:rPr>
        <w:t xml:space="preserve"> educate</w:t>
      </w:r>
      <w:r w:rsidR="004367CF">
        <w:rPr>
          <w:rFonts w:ascii="Arial" w:hAnsi="Arial" w:cs="Arial"/>
          <w:sz w:val="20"/>
          <w:szCs w:val="20"/>
        </w:rPr>
        <w:t>d on</w:t>
      </w:r>
      <w:r w:rsidR="008C7A43">
        <w:rPr>
          <w:rFonts w:ascii="Arial" w:hAnsi="Arial" w:cs="Arial"/>
          <w:sz w:val="20"/>
          <w:szCs w:val="20"/>
        </w:rPr>
        <w:t xml:space="preserve"> the requirements </w:t>
      </w:r>
      <w:r w:rsidR="004367CF">
        <w:rPr>
          <w:rFonts w:ascii="Arial" w:hAnsi="Arial" w:cs="Arial"/>
          <w:sz w:val="20"/>
          <w:szCs w:val="20"/>
        </w:rPr>
        <w:t>of</w:t>
      </w:r>
      <w:r w:rsidR="007017F0">
        <w:rPr>
          <w:rFonts w:ascii="Arial" w:hAnsi="Arial" w:cs="Arial"/>
          <w:sz w:val="20"/>
          <w:szCs w:val="20"/>
        </w:rPr>
        <w:t xml:space="preserve"> TLD operations thereby </w:t>
      </w:r>
      <w:r w:rsidR="008C7A43">
        <w:rPr>
          <w:rFonts w:ascii="Arial" w:hAnsi="Arial" w:cs="Arial"/>
          <w:sz w:val="20"/>
          <w:szCs w:val="20"/>
        </w:rPr>
        <w:t>increas</w:t>
      </w:r>
      <w:r w:rsidR="007017F0">
        <w:rPr>
          <w:rFonts w:ascii="Arial" w:hAnsi="Arial" w:cs="Arial"/>
          <w:sz w:val="20"/>
          <w:szCs w:val="20"/>
        </w:rPr>
        <w:t>ing</w:t>
      </w:r>
      <w:r w:rsidR="008C7A43">
        <w:rPr>
          <w:rFonts w:ascii="Arial" w:hAnsi="Arial" w:cs="Arial"/>
          <w:sz w:val="20"/>
          <w:szCs w:val="20"/>
        </w:rPr>
        <w:t xml:space="preserve"> chances for success.</w:t>
      </w:r>
      <w:r w:rsidR="002F084E">
        <w:rPr>
          <w:rFonts w:ascii="Arial" w:hAnsi="Arial" w:cs="Arial"/>
          <w:sz w:val="20"/>
          <w:szCs w:val="20"/>
        </w:rPr>
        <w:t xml:space="preserve">  The CBUC looks forward to future </w:t>
      </w:r>
      <w:r w:rsidR="008356A9">
        <w:rPr>
          <w:rFonts w:ascii="Arial" w:hAnsi="Arial" w:cs="Arial"/>
          <w:sz w:val="20"/>
          <w:szCs w:val="20"/>
        </w:rPr>
        <w:t xml:space="preserve">mature reporting </w:t>
      </w:r>
      <w:r w:rsidR="004367CF">
        <w:rPr>
          <w:rFonts w:ascii="Arial" w:hAnsi="Arial" w:cs="Arial"/>
          <w:sz w:val="20"/>
          <w:szCs w:val="20"/>
        </w:rPr>
        <w:t>buil</w:t>
      </w:r>
      <w:r w:rsidR="007017F0">
        <w:rPr>
          <w:rFonts w:ascii="Arial" w:hAnsi="Arial" w:cs="Arial"/>
          <w:sz w:val="20"/>
          <w:szCs w:val="20"/>
        </w:rPr>
        <w:t>t</w:t>
      </w:r>
      <w:r w:rsidR="008356A9">
        <w:rPr>
          <w:rFonts w:ascii="Arial" w:hAnsi="Arial" w:cs="Arial"/>
          <w:sz w:val="20"/>
          <w:szCs w:val="20"/>
        </w:rPr>
        <w:t xml:space="preserve"> upon this initial framework</w:t>
      </w:r>
      <w:r w:rsidR="004367CF">
        <w:rPr>
          <w:rFonts w:ascii="Arial" w:hAnsi="Arial" w:cs="Arial"/>
          <w:sz w:val="20"/>
          <w:szCs w:val="20"/>
        </w:rPr>
        <w:t xml:space="preserve"> and </w:t>
      </w:r>
      <w:r w:rsidR="007017F0">
        <w:rPr>
          <w:rFonts w:ascii="Arial" w:hAnsi="Arial" w:cs="Arial"/>
          <w:sz w:val="20"/>
          <w:szCs w:val="20"/>
        </w:rPr>
        <w:t xml:space="preserve">a </w:t>
      </w:r>
      <w:r w:rsidR="008356A9">
        <w:rPr>
          <w:rFonts w:ascii="Arial" w:hAnsi="Arial" w:cs="Arial"/>
          <w:sz w:val="20"/>
          <w:szCs w:val="20"/>
        </w:rPr>
        <w:t xml:space="preserve">defined </w:t>
      </w:r>
      <w:r w:rsidR="007017F0">
        <w:rPr>
          <w:rFonts w:ascii="Arial" w:hAnsi="Arial" w:cs="Arial"/>
          <w:sz w:val="20"/>
          <w:szCs w:val="20"/>
        </w:rPr>
        <w:t xml:space="preserve">structure </w:t>
      </w:r>
      <w:r w:rsidR="008356A9">
        <w:rPr>
          <w:rFonts w:ascii="Arial" w:hAnsi="Arial" w:cs="Arial"/>
          <w:sz w:val="20"/>
          <w:szCs w:val="20"/>
        </w:rPr>
        <w:t xml:space="preserve">that </w:t>
      </w:r>
      <w:r w:rsidR="007017F0">
        <w:rPr>
          <w:rFonts w:ascii="Arial" w:hAnsi="Arial" w:cs="Arial"/>
          <w:sz w:val="20"/>
          <w:szCs w:val="20"/>
        </w:rPr>
        <w:t>evolves</w:t>
      </w:r>
      <w:r w:rsidR="004367CF">
        <w:rPr>
          <w:rFonts w:ascii="Arial" w:hAnsi="Arial" w:cs="Arial"/>
          <w:sz w:val="20"/>
          <w:szCs w:val="20"/>
        </w:rPr>
        <w:t xml:space="preserve"> </w:t>
      </w:r>
      <w:r w:rsidR="007017F0">
        <w:rPr>
          <w:rFonts w:ascii="Arial" w:hAnsi="Arial" w:cs="Arial"/>
          <w:sz w:val="20"/>
          <w:szCs w:val="20"/>
        </w:rPr>
        <w:t>with</w:t>
      </w:r>
      <w:r w:rsidR="004367CF">
        <w:rPr>
          <w:rFonts w:ascii="Arial" w:hAnsi="Arial" w:cs="Arial"/>
          <w:sz w:val="20"/>
          <w:szCs w:val="20"/>
        </w:rPr>
        <w:t xml:space="preserve"> the market expansion</w:t>
      </w:r>
      <w:r w:rsidR="002F084E">
        <w:rPr>
          <w:rFonts w:ascii="Arial" w:hAnsi="Arial" w:cs="Arial"/>
          <w:sz w:val="20"/>
          <w:szCs w:val="20"/>
        </w:rPr>
        <w:t xml:space="preserve">.  </w:t>
      </w:r>
      <w:r w:rsidR="008356A9">
        <w:rPr>
          <w:rFonts w:ascii="Arial" w:hAnsi="Arial" w:cs="Arial"/>
          <w:sz w:val="20"/>
          <w:szCs w:val="20"/>
        </w:rPr>
        <w:t>Lastly with reference to Applicability, the CBUC is eager to understand how the results of study will be used by ICANN’s Evaluation team (including DAGv4) and how it may influence the application process and information to be provided.</w:t>
      </w:r>
    </w:p>
    <w:p w:rsidR="008356A9" w:rsidRDefault="008356A9" w:rsidP="002F084E">
      <w:pPr>
        <w:ind w:left="30"/>
        <w:rPr>
          <w:rFonts w:ascii="Arial" w:hAnsi="Arial" w:cs="Arial"/>
          <w:sz w:val="20"/>
          <w:szCs w:val="20"/>
        </w:rPr>
      </w:pPr>
    </w:p>
    <w:p w:rsidR="008D075A" w:rsidRDefault="002F084E" w:rsidP="002F084E">
      <w:pPr>
        <w:ind w:left="30"/>
        <w:rPr>
          <w:rFonts w:ascii="Arial" w:hAnsi="Arial" w:cs="Arial"/>
          <w:sz w:val="20"/>
          <w:szCs w:val="20"/>
        </w:rPr>
      </w:pPr>
      <w:r>
        <w:rPr>
          <w:rFonts w:ascii="Arial" w:hAnsi="Arial" w:cs="Arial"/>
          <w:sz w:val="20"/>
          <w:szCs w:val="20"/>
        </w:rPr>
        <w:t xml:space="preserve">More details of the CBUC </w:t>
      </w:r>
      <w:r w:rsidR="00517FA4">
        <w:rPr>
          <w:rFonts w:ascii="Arial" w:hAnsi="Arial" w:cs="Arial"/>
          <w:sz w:val="20"/>
          <w:szCs w:val="20"/>
        </w:rPr>
        <w:t>position</w:t>
      </w:r>
      <w:r>
        <w:rPr>
          <w:rFonts w:ascii="Arial" w:hAnsi="Arial" w:cs="Arial"/>
          <w:sz w:val="20"/>
          <w:szCs w:val="20"/>
        </w:rPr>
        <w:t xml:space="preserve"> reside in the next section, and below you will find a summary of </w:t>
      </w:r>
      <w:r w:rsidR="004367CF">
        <w:rPr>
          <w:rFonts w:ascii="Arial" w:hAnsi="Arial" w:cs="Arial"/>
          <w:sz w:val="20"/>
          <w:szCs w:val="20"/>
        </w:rPr>
        <w:t xml:space="preserve">our </w:t>
      </w:r>
      <w:r>
        <w:rPr>
          <w:rFonts w:ascii="Arial" w:hAnsi="Arial" w:cs="Arial"/>
          <w:sz w:val="20"/>
          <w:szCs w:val="20"/>
        </w:rPr>
        <w:t>support across the defined operational categories</w:t>
      </w:r>
      <w:r w:rsidR="004367CF">
        <w:rPr>
          <w:rFonts w:ascii="Arial" w:hAnsi="Arial" w:cs="Arial"/>
          <w:sz w:val="20"/>
          <w:szCs w:val="20"/>
        </w:rPr>
        <w:t xml:space="preserve"> as defined in the KPMG study</w:t>
      </w:r>
      <w:r>
        <w:rPr>
          <w:rFonts w:ascii="Arial" w:hAnsi="Arial" w:cs="Arial"/>
          <w:sz w:val="20"/>
          <w:szCs w:val="20"/>
        </w:rPr>
        <w:t xml:space="preserve">. </w:t>
      </w:r>
    </w:p>
    <w:p w:rsidR="004367CF" w:rsidRDefault="004367CF" w:rsidP="002F084E">
      <w:pPr>
        <w:ind w:left="30"/>
        <w:rPr>
          <w:rFonts w:ascii="Arial" w:hAnsi="Arial" w:cs="Arial"/>
          <w:sz w:val="20"/>
          <w:szCs w:val="20"/>
        </w:rPr>
      </w:pPr>
    </w:p>
    <w:p w:rsidR="00E7226B" w:rsidRDefault="00E7226B" w:rsidP="00D87AEC">
      <w:pPr>
        <w:ind w:left="30"/>
        <w:rPr>
          <w:rFonts w:ascii="Arial" w:hAnsi="Arial" w:cs="Arial"/>
          <w:sz w:val="20"/>
          <w:szCs w:val="20"/>
        </w:rPr>
      </w:pPr>
    </w:p>
    <w:tbl>
      <w:tblPr>
        <w:tblStyle w:val="TableGrid"/>
        <w:tblW w:w="0" w:type="auto"/>
        <w:jc w:val="center"/>
        <w:tblLook w:val="04A0"/>
      </w:tblPr>
      <w:tblGrid>
        <w:gridCol w:w="2994"/>
        <w:gridCol w:w="546"/>
      </w:tblGrid>
      <w:tr w:rsidR="00CA3D72" w:rsidRPr="00AA632F" w:rsidTr="002D6DF4">
        <w:trPr>
          <w:jc w:val="center"/>
        </w:trPr>
        <w:tc>
          <w:tcPr>
            <w:tcW w:w="2994" w:type="dxa"/>
            <w:vAlign w:val="center"/>
          </w:tcPr>
          <w:p w:rsidR="00CA3D72" w:rsidRPr="00CA3D72" w:rsidRDefault="00CA3D72" w:rsidP="002D6DF4">
            <w:pPr>
              <w:rPr>
                <w:rFonts w:ascii="Arial" w:hAnsi="Arial" w:cs="Arial"/>
                <w:sz w:val="18"/>
                <w:szCs w:val="18"/>
              </w:rPr>
            </w:pPr>
            <w:r w:rsidRPr="00CA3D72">
              <w:rPr>
                <w:rFonts w:ascii="Arial" w:hAnsi="Arial" w:cs="Arial"/>
                <w:sz w:val="18"/>
                <w:szCs w:val="18"/>
              </w:rPr>
              <w:t>Agree</w:t>
            </w:r>
          </w:p>
        </w:tc>
        <w:tc>
          <w:tcPr>
            <w:tcW w:w="450" w:type="dxa"/>
            <w:vAlign w:val="center"/>
          </w:tcPr>
          <w:p w:rsidR="00CA3D72" w:rsidRPr="00AA632F" w:rsidRDefault="00CA3D72" w:rsidP="007527F7">
            <w:pPr>
              <w:jc w:val="center"/>
              <w:rPr>
                <w:rFonts w:ascii="Arial" w:hAnsi="Arial" w:cs="Arial"/>
              </w:rPr>
            </w:pPr>
            <w:r w:rsidRPr="00FE7980">
              <w:rPr>
                <w:rFonts w:asciiTheme="minorHAnsi" w:eastAsiaTheme="minorHAnsi" w:hAnsiTheme="minorHAnsi" w:cstheme="minorBidi"/>
                <w:sz w:val="22"/>
                <w:szCs w:val="22"/>
              </w:rPr>
              <w:object w:dxaOrig="31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25pt" o:ole="">
                  <v:imagedata r:id="rId10" o:title=""/>
                </v:shape>
                <o:OLEObject Type="Embed" ProgID="" ShapeID="_x0000_i1025" DrawAspect="Content" ObjectID="_1331553186" r:id="rId11"/>
              </w:object>
            </w:r>
          </w:p>
        </w:tc>
      </w:tr>
      <w:tr w:rsidR="00CA3D72" w:rsidRPr="00AA632F" w:rsidTr="002D6DF4">
        <w:trPr>
          <w:jc w:val="center"/>
        </w:trPr>
        <w:tc>
          <w:tcPr>
            <w:tcW w:w="2994" w:type="dxa"/>
            <w:vAlign w:val="center"/>
          </w:tcPr>
          <w:p w:rsidR="00CA3D72" w:rsidRPr="00CA3D72" w:rsidRDefault="00CA3D72" w:rsidP="002D6DF4">
            <w:pPr>
              <w:rPr>
                <w:rFonts w:ascii="Arial" w:hAnsi="Arial" w:cs="Arial"/>
                <w:sz w:val="18"/>
                <w:szCs w:val="18"/>
              </w:rPr>
            </w:pPr>
            <w:r w:rsidRPr="00CA3D72">
              <w:rPr>
                <w:rFonts w:ascii="Arial" w:hAnsi="Arial" w:cs="Arial"/>
                <w:sz w:val="18"/>
                <w:szCs w:val="18"/>
              </w:rPr>
              <w:t>Agree &amp; Offer Suggestion</w:t>
            </w:r>
          </w:p>
        </w:tc>
        <w:tc>
          <w:tcPr>
            <w:tcW w:w="450" w:type="dxa"/>
            <w:vAlign w:val="center"/>
          </w:tcPr>
          <w:p w:rsidR="00CA3D72" w:rsidRPr="00AA632F" w:rsidRDefault="00CA3D72" w:rsidP="007527F7">
            <w:pPr>
              <w:jc w:val="center"/>
              <w:rPr>
                <w:rFonts w:ascii="Arial" w:hAnsi="Arial" w:cs="Arial"/>
              </w:rPr>
            </w:pPr>
            <w:r w:rsidRPr="00FE7980">
              <w:rPr>
                <w:rFonts w:asciiTheme="minorHAnsi" w:eastAsiaTheme="minorHAnsi" w:hAnsiTheme="minorHAnsi" w:cstheme="minorBidi"/>
                <w:sz w:val="22"/>
                <w:szCs w:val="22"/>
              </w:rPr>
              <w:object w:dxaOrig="300" w:dyaOrig="270">
                <v:shape id="_x0000_i1026" type="#_x0000_t75" style="width:15pt;height:13.5pt" o:ole="">
                  <v:imagedata r:id="rId12" o:title=""/>
                </v:shape>
                <o:OLEObject Type="Embed" ProgID="" ShapeID="_x0000_i1026" DrawAspect="Content" ObjectID="_1331553187" r:id="rId13"/>
              </w:object>
            </w:r>
          </w:p>
        </w:tc>
      </w:tr>
      <w:tr w:rsidR="00CA3D72" w:rsidRPr="00AA632F" w:rsidTr="002D6DF4">
        <w:trPr>
          <w:jc w:val="center"/>
        </w:trPr>
        <w:tc>
          <w:tcPr>
            <w:tcW w:w="2994" w:type="dxa"/>
            <w:vAlign w:val="center"/>
          </w:tcPr>
          <w:p w:rsidR="00CA3D72" w:rsidRPr="00CA3D72" w:rsidRDefault="002D6DF4" w:rsidP="002D6DF4">
            <w:pPr>
              <w:rPr>
                <w:rFonts w:ascii="Arial" w:hAnsi="Arial" w:cs="Arial"/>
                <w:sz w:val="18"/>
                <w:szCs w:val="18"/>
              </w:rPr>
            </w:pPr>
            <w:r>
              <w:rPr>
                <w:rFonts w:ascii="Arial" w:hAnsi="Arial" w:cs="Arial"/>
                <w:sz w:val="18"/>
                <w:szCs w:val="18"/>
              </w:rPr>
              <w:t>Disa</w:t>
            </w:r>
            <w:r w:rsidR="00CA3D72" w:rsidRPr="00CA3D72">
              <w:rPr>
                <w:rFonts w:ascii="Arial" w:hAnsi="Arial" w:cs="Arial"/>
                <w:sz w:val="18"/>
                <w:szCs w:val="18"/>
              </w:rPr>
              <w:t>gree &amp; Offer Suggestion</w:t>
            </w:r>
          </w:p>
        </w:tc>
        <w:tc>
          <w:tcPr>
            <w:tcW w:w="450" w:type="dxa"/>
            <w:vAlign w:val="center"/>
          </w:tcPr>
          <w:p w:rsidR="00CA3D72" w:rsidRPr="00AA632F" w:rsidRDefault="00CA3D72" w:rsidP="007527F7">
            <w:pPr>
              <w:jc w:val="center"/>
              <w:rPr>
                <w:rFonts w:ascii="Arial" w:hAnsi="Arial" w:cs="Arial"/>
              </w:rPr>
            </w:pPr>
            <w:r w:rsidRPr="00FE7980">
              <w:rPr>
                <w:rFonts w:asciiTheme="minorHAnsi" w:eastAsiaTheme="minorHAnsi" w:hAnsiTheme="minorHAnsi" w:cstheme="minorBidi"/>
                <w:sz w:val="22"/>
                <w:szCs w:val="22"/>
              </w:rPr>
              <w:object w:dxaOrig="330" w:dyaOrig="285">
                <v:shape id="_x0000_i1027" type="#_x0000_t75" style="width:16.5pt;height:14.25pt" o:ole="">
                  <v:imagedata r:id="rId14" o:title=""/>
                </v:shape>
                <o:OLEObject Type="Embed" ProgID="" ShapeID="_x0000_i1027" DrawAspect="Content" ObjectID="_1331553188" r:id="rId15"/>
              </w:object>
            </w:r>
          </w:p>
        </w:tc>
      </w:tr>
    </w:tbl>
    <w:p w:rsidR="00380B2C" w:rsidRDefault="00380B2C" w:rsidP="00CA3D72">
      <w:pPr>
        <w:rPr>
          <w:rFonts w:ascii="Arial" w:hAnsi="Arial" w:cs="Arial"/>
          <w:sz w:val="20"/>
          <w:szCs w:val="20"/>
        </w:rPr>
      </w:pPr>
    </w:p>
    <w:tbl>
      <w:tblPr>
        <w:tblStyle w:val="TableGrid"/>
        <w:tblW w:w="0" w:type="auto"/>
        <w:jc w:val="center"/>
        <w:tblLook w:val="04A0"/>
      </w:tblPr>
      <w:tblGrid>
        <w:gridCol w:w="5912"/>
        <w:gridCol w:w="2340"/>
      </w:tblGrid>
      <w:tr w:rsidR="00380B2C" w:rsidRPr="00AA632F" w:rsidTr="00B05C9B">
        <w:trPr>
          <w:jc w:val="center"/>
        </w:trPr>
        <w:tc>
          <w:tcPr>
            <w:tcW w:w="5912" w:type="dxa"/>
            <w:shd w:val="clear" w:color="auto" w:fill="D9D9D9" w:themeFill="background1" w:themeFillShade="D9"/>
            <w:vAlign w:val="center"/>
          </w:tcPr>
          <w:p w:rsidR="00380B2C" w:rsidRPr="00AA632F" w:rsidRDefault="000E08F8" w:rsidP="003635DF">
            <w:pPr>
              <w:jc w:val="center"/>
              <w:rPr>
                <w:rFonts w:ascii="Arial" w:hAnsi="Arial" w:cs="Arial"/>
                <w:b/>
              </w:rPr>
            </w:pPr>
            <w:r>
              <w:rPr>
                <w:rFonts w:ascii="Arial" w:hAnsi="Arial" w:cs="Arial"/>
                <w:b/>
              </w:rPr>
              <w:t>Report Category</w:t>
            </w:r>
          </w:p>
        </w:tc>
        <w:tc>
          <w:tcPr>
            <w:tcW w:w="2340" w:type="dxa"/>
            <w:shd w:val="clear" w:color="auto" w:fill="D9D9D9" w:themeFill="background1" w:themeFillShade="D9"/>
            <w:vAlign w:val="center"/>
          </w:tcPr>
          <w:p w:rsidR="00380B2C" w:rsidRPr="00AA632F" w:rsidRDefault="00E7226B" w:rsidP="0082153E">
            <w:pPr>
              <w:jc w:val="center"/>
              <w:rPr>
                <w:rFonts w:ascii="Arial" w:hAnsi="Arial" w:cs="Arial"/>
                <w:b/>
              </w:rPr>
            </w:pPr>
            <w:r>
              <w:rPr>
                <w:rFonts w:ascii="Arial" w:hAnsi="Arial" w:cs="Arial"/>
                <w:b/>
              </w:rPr>
              <w:t xml:space="preserve">CBUC </w:t>
            </w:r>
            <w:r w:rsidR="0082153E">
              <w:rPr>
                <w:rFonts w:ascii="Arial" w:hAnsi="Arial" w:cs="Arial"/>
                <w:b/>
              </w:rPr>
              <w:t>Rating</w:t>
            </w:r>
          </w:p>
        </w:tc>
      </w:tr>
      <w:tr w:rsidR="004235EC" w:rsidRPr="00AA632F" w:rsidTr="00B05C9B">
        <w:trPr>
          <w:jc w:val="center"/>
        </w:trPr>
        <w:tc>
          <w:tcPr>
            <w:tcW w:w="5912" w:type="dxa"/>
            <w:vAlign w:val="center"/>
          </w:tcPr>
          <w:p w:rsidR="003635DF" w:rsidRPr="00CA3D72" w:rsidRDefault="008D075A" w:rsidP="003635DF">
            <w:pPr>
              <w:rPr>
                <w:rFonts w:ascii="Arial" w:hAnsi="Arial" w:cs="Arial"/>
              </w:rPr>
            </w:pPr>
            <w:r>
              <w:rPr>
                <w:rFonts w:ascii="Arial" w:hAnsi="Arial" w:cs="Arial"/>
              </w:rPr>
              <w:t>Registry Population</w:t>
            </w:r>
          </w:p>
        </w:tc>
        <w:tc>
          <w:tcPr>
            <w:tcW w:w="2340" w:type="dxa"/>
            <w:vAlign w:val="center"/>
          </w:tcPr>
          <w:p w:rsidR="004235EC" w:rsidRPr="00AA632F" w:rsidRDefault="00100211" w:rsidP="003635DF">
            <w:pPr>
              <w:jc w:val="center"/>
              <w:rPr>
                <w:rFonts w:ascii="Arial" w:hAnsi="Arial" w:cs="Arial"/>
              </w:rPr>
            </w:pPr>
            <w:r w:rsidRPr="00FE7980">
              <w:rPr>
                <w:rFonts w:asciiTheme="minorHAnsi" w:eastAsiaTheme="minorHAnsi" w:hAnsiTheme="minorHAnsi" w:cstheme="minorBidi"/>
                <w:sz w:val="22"/>
                <w:szCs w:val="22"/>
              </w:rPr>
              <w:object w:dxaOrig="300" w:dyaOrig="270">
                <v:shape id="_x0000_i1028" type="#_x0000_t75" style="width:15pt;height:13.5pt" o:ole="">
                  <v:imagedata r:id="rId12" o:title=""/>
                </v:shape>
                <o:OLEObject Type="Embed" ProgID="" ShapeID="_x0000_i1028" DrawAspect="Content" ObjectID="_1331553189" r:id="rId16"/>
              </w:object>
            </w:r>
          </w:p>
        </w:tc>
      </w:tr>
      <w:tr w:rsidR="004235EC" w:rsidRPr="00AA632F" w:rsidTr="00B05C9B">
        <w:trPr>
          <w:jc w:val="center"/>
        </w:trPr>
        <w:tc>
          <w:tcPr>
            <w:tcW w:w="5912" w:type="dxa"/>
            <w:vAlign w:val="center"/>
          </w:tcPr>
          <w:p w:rsidR="00CA3D72" w:rsidRPr="00CA3D72" w:rsidRDefault="008D075A" w:rsidP="003635DF">
            <w:pPr>
              <w:rPr>
                <w:rFonts w:ascii="Arial" w:hAnsi="Arial" w:cs="Arial"/>
              </w:rPr>
            </w:pPr>
            <w:r>
              <w:rPr>
                <w:rFonts w:ascii="Arial" w:hAnsi="Arial" w:cs="Arial"/>
              </w:rPr>
              <w:t>Survey Demographics</w:t>
            </w:r>
          </w:p>
        </w:tc>
        <w:tc>
          <w:tcPr>
            <w:tcW w:w="2340" w:type="dxa"/>
            <w:vAlign w:val="center"/>
          </w:tcPr>
          <w:p w:rsidR="004235EC" w:rsidRPr="00AA632F" w:rsidRDefault="0082153E" w:rsidP="003635DF">
            <w:pPr>
              <w:jc w:val="center"/>
              <w:rPr>
                <w:rFonts w:ascii="Arial" w:hAnsi="Arial" w:cs="Arial"/>
              </w:rPr>
            </w:pPr>
            <w:r w:rsidRPr="00FE7980">
              <w:rPr>
                <w:rFonts w:asciiTheme="minorHAnsi" w:eastAsiaTheme="minorHAnsi" w:hAnsiTheme="minorHAnsi" w:cstheme="minorBidi"/>
                <w:sz w:val="22"/>
                <w:szCs w:val="22"/>
              </w:rPr>
              <w:object w:dxaOrig="300" w:dyaOrig="270">
                <v:shape id="_x0000_i1029" type="#_x0000_t75" style="width:15pt;height:13.5pt" o:ole="">
                  <v:imagedata r:id="rId12" o:title=""/>
                </v:shape>
                <o:OLEObject Type="Embed" ProgID="" ShapeID="_x0000_i1029" DrawAspect="Content" ObjectID="_1331553190" r:id="rId17"/>
              </w:object>
            </w:r>
          </w:p>
        </w:tc>
      </w:tr>
      <w:tr w:rsidR="00380B2C" w:rsidRPr="00AA632F" w:rsidTr="00B05C9B">
        <w:trPr>
          <w:jc w:val="center"/>
        </w:trPr>
        <w:tc>
          <w:tcPr>
            <w:tcW w:w="5912" w:type="dxa"/>
            <w:vAlign w:val="center"/>
          </w:tcPr>
          <w:p w:rsidR="00E7226B" w:rsidRPr="00AA632F" w:rsidRDefault="008D075A" w:rsidP="000B4EA5">
            <w:pPr>
              <w:rPr>
                <w:rFonts w:ascii="Arial" w:hAnsi="Arial" w:cs="Arial"/>
              </w:rPr>
            </w:pPr>
            <w:r>
              <w:rPr>
                <w:rFonts w:ascii="Arial" w:hAnsi="Arial" w:cs="Arial"/>
              </w:rPr>
              <w:t>Registry Growth</w:t>
            </w:r>
          </w:p>
        </w:tc>
        <w:tc>
          <w:tcPr>
            <w:tcW w:w="2340" w:type="dxa"/>
            <w:vAlign w:val="center"/>
          </w:tcPr>
          <w:p w:rsidR="00380B2C" w:rsidRPr="00AA632F" w:rsidRDefault="00E4377B" w:rsidP="003635DF">
            <w:pPr>
              <w:jc w:val="center"/>
              <w:rPr>
                <w:rFonts w:ascii="Arial" w:hAnsi="Arial" w:cs="Arial"/>
              </w:rPr>
            </w:pPr>
            <w:r w:rsidRPr="00FE7980">
              <w:rPr>
                <w:rFonts w:asciiTheme="minorHAnsi" w:eastAsiaTheme="minorHAnsi" w:hAnsiTheme="minorHAnsi" w:cstheme="minorBidi"/>
                <w:sz w:val="22"/>
                <w:szCs w:val="22"/>
              </w:rPr>
              <w:object w:dxaOrig="300" w:dyaOrig="270">
                <v:shape id="_x0000_i1046" type="#_x0000_t75" style="width:15pt;height:13.5pt" o:ole="">
                  <v:imagedata r:id="rId12" o:title=""/>
                </v:shape>
                <o:OLEObject Type="Embed" ProgID="" ShapeID="_x0000_i1046" DrawAspect="Content" ObjectID="_1331553191" r:id="rId18"/>
              </w:object>
            </w:r>
          </w:p>
        </w:tc>
      </w:tr>
      <w:tr w:rsidR="00380B2C" w:rsidRPr="00AA632F" w:rsidTr="00B05C9B">
        <w:trPr>
          <w:jc w:val="center"/>
        </w:trPr>
        <w:tc>
          <w:tcPr>
            <w:tcW w:w="5912" w:type="dxa"/>
            <w:vAlign w:val="center"/>
          </w:tcPr>
          <w:p w:rsidR="00E7226B" w:rsidRPr="00AA632F" w:rsidRDefault="008D075A" w:rsidP="00CE45E2">
            <w:pPr>
              <w:rPr>
                <w:rFonts w:ascii="Arial" w:hAnsi="Arial" w:cs="Arial"/>
              </w:rPr>
            </w:pPr>
            <w:r>
              <w:rPr>
                <w:rFonts w:ascii="Arial" w:hAnsi="Arial" w:cs="Arial"/>
              </w:rPr>
              <w:t>Staffing Models &amp; Cost</w:t>
            </w:r>
          </w:p>
        </w:tc>
        <w:tc>
          <w:tcPr>
            <w:tcW w:w="2340" w:type="dxa"/>
            <w:vAlign w:val="center"/>
          </w:tcPr>
          <w:p w:rsidR="00380B2C" w:rsidRPr="00AA632F" w:rsidRDefault="0082153E" w:rsidP="003635DF">
            <w:pPr>
              <w:jc w:val="center"/>
              <w:rPr>
                <w:rFonts w:ascii="Arial" w:hAnsi="Arial" w:cs="Arial"/>
              </w:rPr>
            </w:pPr>
            <w:r w:rsidRPr="00FE7980">
              <w:rPr>
                <w:rFonts w:asciiTheme="minorHAnsi" w:eastAsiaTheme="minorHAnsi" w:hAnsiTheme="minorHAnsi" w:cstheme="minorBidi"/>
                <w:sz w:val="22"/>
                <w:szCs w:val="22"/>
              </w:rPr>
              <w:object w:dxaOrig="315" w:dyaOrig="285">
                <v:shape id="_x0000_i1030" type="#_x0000_t75" style="width:15.75pt;height:14.25pt" o:ole="">
                  <v:imagedata r:id="rId10" o:title=""/>
                </v:shape>
                <o:OLEObject Type="Embed" ProgID="" ShapeID="_x0000_i1030" DrawAspect="Content" ObjectID="_1331553192" r:id="rId19"/>
              </w:object>
            </w:r>
          </w:p>
        </w:tc>
      </w:tr>
      <w:tr w:rsidR="008D075A" w:rsidRPr="00AA632F" w:rsidTr="00B05C9B">
        <w:trPr>
          <w:jc w:val="center"/>
        </w:trPr>
        <w:tc>
          <w:tcPr>
            <w:tcW w:w="5912" w:type="dxa"/>
            <w:vAlign w:val="center"/>
          </w:tcPr>
          <w:p w:rsidR="008D075A" w:rsidRPr="00AA632F" w:rsidRDefault="008D075A" w:rsidP="00CE45E2">
            <w:pPr>
              <w:rPr>
                <w:rFonts w:ascii="Arial" w:hAnsi="Arial" w:cs="Arial"/>
              </w:rPr>
            </w:pPr>
            <w:r>
              <w:rPr>
                <w:rFonts w:ascii="Arial" w:hAnsi="Arial" w:cs="Arial"/>
              </w:rPr>
              <w:t>Operating Costs</w:t>
            </w:r>
          </w:p>
        </w:tc>
        <w:tc>
          <w:tcPr>
            <w:tcW w:w="2340" w:type="dxa"/>
            <w:vAlign w:val="center"/>
          </w:tcPr>
          <w:p w:rsidR="008D075A" w:rsidRPr="00FE7980" w:rsidRDefault="0082153E" w:rsidP="003635DF">
            <w:pPr>
              <w:jc w:val="center"/>
            </w:pPr>
            <w:r w:rsidRPr="00FE7980">
              <w:rPr>
                <w:rFonts w:asciiTheme="minorHAnsi" w:eastAsiaTheme="minorHAnsi" w:hAnsiTheme="minorHAnsi" w:cstheme="minorBidi"/>
                <w:sz w:val="22"/>
                <w:szCs w:val="22"/>
              </w:rPr>
              <w:object w:dxaOrig="300" w:dyaOrig="270">
                <v:shape id="_x0000_i1031" type="#_x0000_t75" style="width:15pt;height:13.5pt" o:ole="">
                  <v:imagedata r:id="rId12" o:title=""/>
                </v:shape>
                <o:OLEObject Type="Embed" ProgID="" ShapeID="_x0000_i1031" DrawAspect="Content" ObjectID="_1331553193" r:id="rId20"/>
              </w:object>
            </w:r>
          </w:p>
        </w:tc>
      </w:tr>
      <w:tr w:rsidR="008D075A" w:rsidRPr="00AA632F" w:rsidTr="00B05C9B">
        <w:trPr>
          <w:jc w:val="center"/>
        </w:trPr>
        <w:tc>
          <w:tcPr>
            <w:tcW w:w="5912" w:type="dxa"/>
            <w:vAlign w:val="center"/>
          </w:tcPr>
          <w:p w:rsidR="008D075A" w:rsidRPr="00AA632F" w:rsidRDefault="008D075A" w:rsidP="00CE45E2">
            <w:pPr>
              <w:rPr>
                <w:rFonts w:ascii="Arial" w:hAnsi="Arial" w:cs="Arial"/>
              </w:rPr>
            </w:pPr>
            <w:r>
              <w:rPr>
                <w:rFonts w:ascii="Arial" w:hAnsi="Arial" w:cs="Arial"/>
              </w:rPr>
              <w:t>Technical &amp; Network Architecture</w:t>
            </w:r>
          </w:p>
        </w:tc>
        <w:tc>
          <w:tcPr>
            <w:tcW w:w="2340" w:type="dxa"/>
            <w:vAlign w:val="center"/>
          </w:tcPr>
          <w:p w:rsidR="008D075A" w:rsidRPr="00FE7980" w:rsidRDefault="0082153E" w:rsidP="003635DF">
            <w:pPr>
              <w:jc w:val="center"/>
            </w:pPr>
            <w:r w:rsidRPr="00FE7980">
              <w:rPr>
                <w:rFonts w:asciiTheme="minorHAnsi" w:eastAsiaTheme="minorHAnsi" w:hAnsiTheme="minorHAnsi" w:cstheme="minorBidi"/>
                <w:sz w:val="22"/>
                <w:szCs w:val="22"/>
              </w:rPr>
              <w:object w:dxaOrig="300" w:dyaOrig="270">
                <v:shape id="_x0000_i1032" type="#_x0000_t75" style="width:15pt;height:13.5pt" o:ole="">
                  <v:imagedata r:id="rId12" o:title=""/>
                </v:shape>
                <o:OLEObject Type="Embed" ProgID="" ShapeID="_x0000_i1032" DrawAspect="Content" ObjectID="_1331553194" r:id="rId21"/>
              </w:object>
            </w:r>
          </w:p>
        </w:tc>
      </w:tr>
      <w:tr w:rsidR="008D075A" w:rsidRPr="00AA632F" w:rsidTr="00B05C9B">
        <w:trPr>
          <w:jc w:val="center"/>
        </w:trPr>
        <w:tc>
          <w:tcPr>
            <w:tcW w:w="5912" w:type="dxa"/>
            <w:vAlign w:val="center"/>
          </w:tcPr>
          <w:p w:rsidR="008D075A" w:rsidRPr="00AA632F" w:rsidRDefault="008D075A" w:rsidP="00CE45E2">
            <w:pPr>
              <w:rPr>
                <w:rFonts w:ascii="Arial" w:hAnsi="Arial" w:cs="Arial"/>
              </w:rPr>
            </w:pPr>
            <w:r>
              <w:rPr>
                <w:rFonts w:ascii="Arial" w:hAnsi="Arial" w:cs="Arial"/>
              </w:rPr>
              <w:t>Reserves</w:t>
            </w:r>
          </w:p>
        </w:tc>
        <w:tc>
          <w:tcPr>
            <w:tcW w:w="2340" w:type="dxa"/>
            <w:vAlign w:val="center"/>
          </w:tcPr>
          <w:p w:rsidR="008D075A" w:rsidRPr="00FE7980" w:rsidRDefault="00E1155B" w:rsidP="003635DF">
            <w:pPr>
              <w:jc w:val="center"/>
            </w:pPr>
            <w:r w:rsidRPr="00FE7980">
              <w:rPr>
                <w:rFonts w:asciiTheme="minorHAnsi" w:eastAsiaTheme="minorHAnsi" w:hAnsiTheme="minorHAnsi" w:cstheme="minorBidi"/>
                <w:sz w:val="22"/>
                <w:szCs w:val="22"/>
              </w:rPr>
              <w:object w:dxaOrig="300" w:dyaOrig="270">
                <v:shape id="_x0000_i1040" type="#_x0000_t75" style="width:15pt;height:13.5pt" o:ole="">
                  <v:imagedata r:id="rId12" o:title=""/>
                </v:shape>
                <o:OLEObject Type="Embed" ProgID="" ShapeID="_x0000_i1040" DrawAspect="Content" ObjectID="_1331553195" r:id="rId22"/>
              </w:object>
            </w:r>
          </w:p>
        </w:tc>
      </w:tr>
      <w:tr w:rsidR="008D075A" w:rsidRPr="00AA632F" w:rsidTr="00B05C9B">
        <w:trPr>
          <w:jc w:val="center"/>
        </w:trPr>
        <w:tc>
          <w:tcPr>
            <w:tcW w:w="5912" w:type="dxa"/>
            <w:vAlign w:val="center"/>
          </w:tcPr>
          <w:p w:rsidR="008D075A" w:rsidRPr="00AA632F" w:rsidRDefault="008D075A" w:rsidP="00CE45E2">
            <w:pPr>
              <w:rPr>
                <w:rFonts w:ascii="Arial" w:hAnsi="Arial" w:cs="Arial"/>
              </w:rPr>
            </w:pPr>
            <w:r>
              <w:rPr>
                <w:rFonts w:ascii="Arial" w:hAnsi="Arial" w:cs="Arial"/>
              </w:rPr>
              <w:t>Capital Expenditure</w:t>
            </w:r>
          </w:p>
        </w:tc>
        <w:tc>
          <w:tcPr>
            <w:tcW w:w="2340" w:type="dxa"/>
            <w:vAlign w:val="center"/>
          </w:tcPr>
          <w:p w:rsidR="008D075A" w:rsidRPr="00FE7980" w:rsidRDefault="00E1155B" w:rsidP="003635DF">
            <w:pPr>
              <w:jc w:val="center"/>
            </w:pPr>
            <w:r w:rsidRPr="00FE7980">
              <w:rPr>
                <w:rFonts w:asciiTheme="minorHAnsi" w:eastAsiaTheme="minorHAnsi" w:hAnsiTheme="minorHAnsi" w:cstheme="minorBidi"/>
                <w:sz w:val="22"/>
                <w:szCs w:val="22"/>
              </w:rPr>
              <w:object w:dxaOrig="300" w:dyaOrig="270">
                <v:shape id="_x0000_i1042" type="#_x0000_t75" style="width:15pt;height:13.5pt" o:ole="">
                  <v:imagedata r:id="rId12" o:title=""/>
                </v:shape>
                <o:OLEObject Type="Embed" ProgID="" ShapeID="_x0000_i1042" DrawAspect="Content" ObjectID="_1331553196" r:id="rId23"/>
              </w:object>
            </w:r>
          </w:p>
        </w:tc>
      </w:tr>
      <w:tr w:rsidR="008D075A" w:rsidRPr="00AA632F" w:rsidTr="00B05C9B">
        <w:trPr>
          <w:jc w:val="center"/>
        </w:trPr>
        <w:tc>
          <w:tcPr>
            <w:tcW w:w="5912" w:type="dxa"/>
            <w:vAlign w:val="center"/>
          </w:tcPr>
          <w:p w:rsidR="008D075A" w:rsidRPr="00AA632F" w:rsidRDefault="008D075A" w:rsidP="00CE45E2">
            <w:pPr>
              <w:rPr>
                <w:rFonts w:ascii="Arial" w:hAnsi="Arial" w:cs="Arial"/>
              </w:rPr>
            </w:pPr>
            <w:r>
              <w:rPr>
                <w:rFonts w:ascii="Arial" w:hAnsi="Arial" w:cs="Arial"/>
              </w:rPr>
              <w:t>Continuity Planning</w:t>
            </w:r>
          </w:p>
        </w:tc>
        <w:tc>
          <w:tcPr>
            <w:tcW w:w="2340" w:type="dxa"/>
            <w:vAlign w:val="center"/>
          </w:tcPr>
          <w:p w:rsidR="008D075A" w:rsidRPr="00FE7980" w:rsidRDefault="00E1155B" w:rsidP="003635DF">
            <w:pPr>
              <w:jc w:val="center"/>
            </w:pPr>
            <w:r w:rsidRPr="00FE7980">
              <w:rPr>
                <w:rFonts w:asciiTheme="minorHAnsi" w:eastAsiaTheme="minorHAnsi" w:hAnsiTheme="minorHAnsi" w:cstheme="minorBidi"/>
                <w:sz w:val="22"/>
                <w:szCs w:val="22"/>
              </w:rPr>
              <w:object w:dxaOrig="300" w:dyaOrig="270">
                <v:shape id="_x0000_i1045" type="#_x0000_t75" style="width:15pt;height:13.5pt" o:ole="">
                  <v:imagedata r:id="rId12" o:title=""/>
                </v:shape>
                <o:OLEObject Type="Embed" ProgID="" ShapeID="_x0000_i1045" DrawAspect="Content" ObjectID="_1331553197" r:id="rId24"/>
              </w:object>
            </w:r>
          </w:p>
        </w:tc>
      </w:tr>
      <w:tr w:rsidR="008D075A" w:rsidRPr="00AA632F" w:rsidTr="00B05C9B">
        <w:trPr>
          <w:jc w:val="center"/>
        </w:trPr>
        <w:tc>
          <w:tcPr>
            <w:tcW w:w="5912" w:type="dxa"/>
            <w:vAlign w:val="center"/>
          </w:tcPr>
          <w:p w:rsidR="008D075A" w:rsidRPr="00AA632F" w:rsidRDefault="008D075A" w:rsidP="00CE45E2">
            <w:pPr>
              <w:rPr>
                <w:rFonts w:ascii="Arial" w:hAnsi="Arial" w:cs="Arial"/>
              </w:rPr>
            </w:pPr>
            <w:r>
              <w:rPr>
                <w:rFonts w:ascii="Arial" w:hAnsi="Arial" w:cs="Arial"/>
              </w:rPr>
              <w:t>Other</w:t>
            </w:r>
          </w:p>
        </w:tc>
        <w:tc>
          <w:tcPr>
            <w:tcW w:w="2340" w:type="dxa"/>
            <w:vAlign w:val="center"/>
          </w:tcPr>
          <w:p w:rsidR="008D075A" w:rsidRPr="00FE7980" w:rsidRDefault="004367CF" w:rsidP="003635DF">
            <w:pPr>
              <w:jc w:val="center"/>
            </w:pPr>
            <w:r w:rsidRPr="00FE7980">
              <w:rPr>
                <w:rFonts w:asciiTheme="minorHAnsi" w:eastAsiaTheme="minorHAnsi" w:hAnsiTheme="minorHAnsi" w:cstheme="minorBidi"/>
                <w:sz w:val="22"/>
                <w:szCs w:val="22"/>
              </w:rPr>
              <w:object w:dxaOrig="315" w:dyaOrig="285">
                <v:shape id="_x0000_i1033" type="#_x0000_t75" style="width:15.75pt;height:14.25pt" o:ole="">
                  <v:imagedata r:id="rId10" o:title=""/>
                </v:shape>
                <o:OLEObject Type="Embed" ProgID="" ShapeID="_x0000_i1033" DrawAspect="Content" ObjectID="_1331553198" r:id="rId25"/>
              </w:object>
            </w:r>
          </w:p>
        </w:tc>
      </w:tr>
    </w:tbl>
    <w:p w:rsidR="00B22DFE" w:rsidRDefault="00B22DFE" w:rsidP="00D87AEC">
      <w:pPr>
        <w:ind w:left="30"/>
        <w:rPr>
          <w:rFonts w:ascii="Arial" w:hAnsi="Arial" w:cs="Arial"/>
          <w:sz w:val="20"/>
          <w:szCs w:val="20"/>
        </w:rPr>
      </w:pPr>
    </w:p>
    <w:p w:rsidR="00B05C9B" w:rsidRDefault="00B05C9B">
      <w:pPr>
        <w:rPr>
          <w:rFonts w:ascii="Arial" w:hAnsi="Arial" w:cs="Arial"/>
          <w:sz w:val="20"/>
          <w:szCs w:val="20"/>
        </w:rPr>
      </w:pPr>
      <w:r>
        <w:rPr>
          <w:rFonts w:ascii="Arial" w:hAnsi="Arial" w:cs="Arial"/>
          <w:sz w:val="20"/>
          <w:szCs w:val="20"/>
        </w:rPr>
        <w:br w:type="page"/>
      </w:r>
    </w:p>
    <w:p w:rsidR="00CA3D72" w:rsidRPr="004750FA" w:rsidRDefault="00CA3D72" w:rsidP="00CA3D72">
      <w:pPr>
        <w:pStyle w:val="BodyText2"/>
        <w:pBdr>
          <w:top w:val="single" w:sz="4" w:space="1" w:color="auto"/>
          <w:left w:val="single" w:sz="4" w:space="4" w:color="auto"/>
          <w:bottom w:val="single" w:sz="4" w:space="1" w:color="auto"/>
          <w:right w:val="single" w:sz="4" w:space="4" w:color="auto"/>
        </w:pBdr>
        <w:rPr>
          <w:b/>
          <w:bCs/>
          <w:color w:val="31849B" w:themeColor="accent5" w:themeShade="BF"/>
          <w:sz w:val="40"/>
          <w:szCs w:val="22"/>
        </w:rPr>
      </w:pPr>
      <w:r>
        <w:rPr>
          <w:b/>
          <w:bCs/>
          <w:color w:val="31849B" w:themeColor="accent5" w:themeShade="BF"/>
          <w:sz w:val="40"/>
          <w:szCs w:val="22"/>
        </w:rPr>
        <w:lastRenderedPageBreak/>
        <w:t>Position Statement Details</w:t>
      </w:r>
      <w:r w:rsidRPr="004750FA">
        <w:rPr>
          <w:b/>
          <w:bCs/>
          <w:color w:val="31849B" w:themeColor="accent5" w:themeShade="BF"/>
          <w:sz w:val="40"/>
          <w:szCs w:val="22"/>
        </w:rPr>
        <w:t>:</w:t>
      </w:r>
    </w:p>
    <w:p w:rsidR="00CA3D72" w:rsidRDefault="00CA3D72" w:rsidP="00CA3D72">
      <w:pPr>
        <w:rPr>
          <w:rFonts w:ascii="Arial" w:hAnsi="Arial" w:cs="Arial"/>
          <w:sz w:val="20"/>
          <w:szCs w:val="20"/>
        </w:rPr>
      </w:pPr>
    </w:p>
    <w:p w:rsidR="005652F1" w:rsidRDefault="00B05C9B" w:rsidP="008356A9">
      <w:pPr>
        <w:ind w:left="30"/>
        <w:rPr>
          <w:rFonts w:ascii="Arial" w:hAnsi="Arial" w:cs="Arial"/>
          <w:sz w:val="20"/>
          <w:szCs w:val="20"/>
        </w:rPr>
      </w:pPr>
      <w:r>
        <w:rPr>
          <w:rFonts w:ascii="Arial" w:hAnsi="Arial" w:cs="Arial"/>
          <w:sz w:val="20"/>
          <w:szCs w:val="20"/>
        </w:rPr>
        <w:t>The Commercial &amp; Business Users Constituency (CBUC) maintains the following position re</w:t>
      </w:r>
      <w:r w:rsidR="008C7A43">
        <w:rPr>
          <w:rFonts w:ascii="Arial" w:hAnsi="Arial" w:cs="Arial"/>
          <w:sz w:val="20"/>
          <w:szCs w:val="20"/>
        </w:rPr>
        <w:t>lating to the published new gTLD Benchmarking of Registry Operations study</w:t>
      </w:r>
      <w:r w:rsidR="00517FA4">
        <w:rPr>
          <w:rFonts w:ascii="Arial" w:hAnsi="Arial" w:cs="Arial"/>
          <w:sz w:val="20"/>
          <w:szCs w:val="20"/>
        </w:rPr>
        <w:t>.</w:t>
      </w:r>
    </w:p>
    <w:p w:rsidR="00C15DC1" w:rsidRDefault="00C15DC1" w:rsidP="00B05C9B">
      <w:pPr>
        <w:ind w:left="30"/>
        <w:rPr>
          <w:rFonts w:ascii="Arial" w:hAnsi="Arial" w:cs="Arial"/>
          <w:sz w:val="20"/>
          <w:szCs w:val="20"/>
        </w:rPr>
      </w:pPr>
    </w:p>
    <w:tbl>
      <w:tblPr>
        <w:tblStyle w:val="TableGrid"/>
        <w:tblW w:w="0" w:type="auto"/>
        <w:jc w:val="center"/>
        <w:tblCellMar>
          <w:left w:w="115" w:type="dxa"/>
          <w:right w:w="115" w:type="dxa"/>
        </w:tblCellMar>
        <w:tblLook w:val="04A0"/>
      </w:tblPr>
      <w:tblGrid>
        <w:gridCol w:w="3316"/>
        <w:gridCol w:w="1530"/>
        <w:gridCol w:w="5746"/>
      </w:tblGrid>
      <w:tr w:rsidR="0082153E" w:rsidRPr="00AA632F" w:rsidTr="00A33D1F">
        <w:trPr>
          <w:cantSplit/>
          <w:tblHeader/>
          <w:jc w:val="center"/>
        </w:trPr>
        <w:tc>
          <w:tcPr>
            <w:tcW w:w="3316" w:type="dxa"/>
            <w:shd w:val="clear" w:color="auto" w:fill="D9D9D9" w:themeFill="background1" w:themeFillShade="D9"/>
            <w:vAlign w:val="center"/>
          </w:tcPr>
          <w:p w:rsidR="0082153E" w:rsidRPr="00AA632F" w:rsidRDefault="0082153E" w:rsidP="0012702D">
            <w:pPr>
              <w:jc w:val="center"/>
              <w:rPr>
                <w:rFonts w:ascii="Arial" w:hAnsi="Arial" w:cs="Arial"/>
                <w:b/>
              </w:rPr>
            </w:pPr>
            <w:r>
              <w:rPr>
                <w:rFonts w:ascii="Arial" w:hAnsi="Arial" w:cs="Arial"/>
                <w:b/>
              </w:rPr>
              <w:t>Report Category</w:t>
            </w:r>
          </w:p>
        </w:tc>
        <w:tc>
          <w:tcPr>
            <w:tcW w:w="1530" w:type="dxa"/>
            <w:shd w:val="clear" w:color="auto" w:fill="D9D9D9" w:themeFill="background1" w:themeFillShade="D9"/>
            <w:vAlign w:val="center"/>
          </w:tcPr>
          <w:p w:rsidR="0082153E" w:rsidRPr="00AA632F" w:rsidRDefault="0082153E" w:rsidP="0082153E">
            <w:pPr>
              <w:jc w:val="center"/>
              <w:rPr>
                <w:rFonts w:ascii="Arial" w:hAnsi="Arial" w:cs="Arial"/>
                <w:b/>
              </w:rPr>
            </w:pPr>
            <w:r>
              <w:rPr>
                <w:rFonts w:ascii="Arial" w:hAnsi="Arial" w:cs="Arial"/>
                <w:b/>
              </w:rPr>
              <w:t>CBUC Rating</w:t>
            </w:r>
          </w:p>
        </w:tc>
        <w:tc>
          <w:tcPr>
            <w:tcW w:w="5746" w:type="dxa"/>
            <w:shd w:val="clear" w:color="auto" w:fill="D9D9D9" w:themeFill="background1" w:themeFillShade="D9"/>
          </w:tcPr>
          <w:p w:rsidR="0082153E" w:rsidRDefault="00A33D1F" w:rsidP="0012702D">
            <w:pPr>
              <w:jc w:val="center"/>
              <w:rPr>
                <w:rFonts w:ascii="Arial" w:hAnsi="Arial" w:cs="Arial"/>
                <w:b/>
              </w:rPr>
            </w:pPr>
            <w:r>
              <w:rPr>
                <w:rFonts w:ascii="Arial" w:hAnsi="Arial" w:cs="Arial"/>
                <w:b/>
              </w:rPr>
              <w:t>CBUC Comment</w:t>
            </w:r>
          </w:p>
        </w:tc>
      </w:tr>
      <w:tr w:rsidR="0082153E" w:rsidRPr="00AA632F" w:rsidTr="00A33D1F">
        <w:trPr>
          <w:cantSplit/>
          <w:jc w:val="center"/>
        </w:trPr>
        <w:tc>
          <w:tcPr>
            <w:tcW w:w="3316" w:type="dxa"/>
            <w:vAlign w:val="center"/>
          </w:tcPr>
          <w:p w:rsidR="0082153E" w:rsidRPr="00CA3D72" w:rsidRDefault="0082153E" w:rsidP="0012702D">
            <w:pPr>
              <w:rPr>
                <w:rFonts w:ascii="Arial" w:hAnsi="Arial" w:cs="Arial"/>
              </w:rPr>
            </w:pPr>
            <w:r>
              <w:rPr>
                <w:rFonts w:ascii="Arial" w:hAnsi="Arial" w:cs="Arial"/>
              </w:rPr>
              <w:t>Registry Population</w:t>
            </w:r>
          </w:p>
        </w:tc>
        <w:tc>
          <w:tcPr>
            <w:tcW w:w="1530" w:type="dxa"/>
            <w:vAlign w:val="center"/>
          </w:tcPr>
          <w:p w:rsidR="0082153E" w:rsidRPr="00AA632F" w:rsidRDefault="00100211" w:rsidP="0012702D">
            <w:pPr>
              <w:jc w:val="center"/>
              <w:rPr>
                <w:rFonts w:ascii="Arial" w:hAnsi="Arial" w:cs="Arial"/>
              </w:rPr>
            </w:pPr>
            <w:r w:rsidRPr="00FE7980">
              <w:rPr>
                <w:rFonts w:asciiTheme="minorHAnsi" w:eastAsiaTheme="minorHAnsi" w:hAnsiTheme="minorHAnsi" w:cstheme="minorBidi"/>
                <w:sz w:val="22"/>
                <w:szCs w:val="22"/>
              </w:rPr>
              <w:object w:dxaOrig="300" w:dyaOrig="270">
                <v:shape id="_x0000_i1034" type="#_x0000_t75" style="width:15pt;height:13.5pt" o:ole="">
                  <v:imagedata r:id="rId12" o:title=""/>
                </v:shape>
                <o:OLEObject Type="Embed" ProgID="" ShapeID="_x0000_i1034" DrawAspect="Content" ObjectID="_1331553199" r:id="rId26"/>
              </w:object>
            </w:r>
          </w:p>
        </w:tc>
        <w:tc>
          <w:tcPr>
            <w:tcW w:w="5746" w:type="dxa"/>
          </w:tcPr>
          <w:p w:rsidR="00A33D1F" w:rsidRDefault="00A33D1F" w:rsidP="0082153E">
            <w:pPr>
              <w:rPr>
                <w:rFonts w:ascii="Arial" w:hAnsi="Arial" w:cs="Arial"/>
              </w:rPr>
            </w:pPr>
          </w:p>
          <w:p w:rsidR="0082153E" w:rsidRDefault="00100211" w:rsidP="0082153E">
            <w:pPr>
              <w:rPr>
                <w:rFonts w:ascii="Arial" w:hAnsi="Arial" w:cs="Arial"/>
              </w:rPr>
            </w:pPr>
            <w:r>
              <w:rPr>
                <w:rFonts w:ascii="Arial" w:hAnsi="Arial" w:cs="Arial"/>
              </w:rPr>
              <w:t xml:space="preserve">CBUC agrees with the SMALL and LARGE delineation but </w:t>
            </w:r>
            <w:r w:rsidR="0082153E">
              <w:rPr>
                <w:rFonts w:ascii="Arial" w:hAnsi="Arial" w:cs="Arial"/>
              </w:rPr>
              <w:t xml:space="preserve">perhaps </w:t>
            </w:r>
            <w:r>
              <w:rPr>
                <w:rFonts w:ascii="Arial" w:hAnsi="Arial" w:cs="Arial"/>
              </w:rPr>
              <w:t xml:space="preserve">the study would </w:t>
            </w:r>
            <w:r w:rsidR="0082153E">
              <w:rPr>
                <w:rFonts w:ascii="Arial" w:hAnsi="Arial" w:cs="Arial"/>
              </w:rPr>
              <w:t xml:space="preserve">benefit to have </w:t>
            </w:r>
            <w:r w:rsidR="0082153E" w:rsidRPr="004D3EFA">
              <w:rPr>
                <w:rFonts w:ascii="Arial" w:hAnsi="Arial" w:cs="Arial"/>
                <w:u w:val="single"/>
              </w:rPr>
              <w:t>small, med</w:t>
            </w:r>
            <w:r w:rsidRPr="004D3EFA">
              <w:rPr>
                <w:rFonts w:ascii="Arial" w:hAnsi="Arial" w:cs="Arial"/>
                <w:u w:val="single"/>
              </w:rPr>
              <w:t>ium</w:t>
            </w:r>
            <w:r w:rsidR="0082153E" w:rsidRPr="004D3EFA">
              <w:rPr>
                <w:rFonts w:ascii="Arial" w:hAnsi="Arial" w:cs="Arial"/>
                <w:u w:val="single"/>
              </w:rPr>
              <w:t xml:space="preserve">, </w:t>
            </w:r>
            <w:r w:rsidRPr="004D3EFA">
              <w:rPr>
                <w:rFonts w:ascii="Arial" w:hAnsi="Arial" w:cs="Arial"/>
                <w:u w:val="single"/>
              </w:rPr>
              <w:t xml:space="preserve">and </w:t>
            </w:r>
            <w:r w:rsidR="0082153E" w:rsidRPr="004D3EFA">
              <w:rPr>
                <w:rFonts w:ascii="Arial" w:hAnsi="Arial" w:cs="Arial"/>
                <w:u w:val="single"/>
              </w:rPr>
              <w:t>large</w:t>
            </w:r>
            <w:r w:rsidRPr="004D3EFA">
              <w:rPr>
                <w:rFonts w:ascii="Arial" w:hAnsi="Arial" w:cs="Arial"/>
                <w:u w:val="single"/>
              </w:rPr>
              <w:t xml:space="preserve"> </w:t>
            </w:r>
            <w:r>
              <w:rPr>
                <w:rFonts w:ascii="Arial" w:hAnsi="Arial" w:cs="Arial"/>
              </w:rPr>
              <w:t>categories defined.</w:t>
            </w:r>
            <w:r w:rsidR="0082153E">
              <w:rPr>
                <w:rFonts w:ascii="Arial" w:hAnsi="Arial" w:cs="Arial"/>
              </w:rPr>
              <w:t xml:space="preserve"> </w:t>
            </w:r>
          </w:p>
          <w:p w:rsidR="00E1155B" w:rsidRDefault="00E1155B" w:rsidP="0082153E">
            <w:pPr>
              <w:rPr>
                <w:rFonts w:ascii="Arial" w:hAnsi="Arial" w:cs="Arial"/>
              </w:rPr>
            </w:pPr>
          </w:p>
          <w:p w:rsidR="00E1155B" w:rsidRDefault="00E1155B" w:rsidP="0082153E">
            <w:pPr>
              <w:rPr>
                <w:rFonts w:ascii="Arial" w:hAnsi="Arial" w:cs="Arial"/>
              </w:rPr>
            </w:pPr>
            <w:r>
              <w:rPr>
                <w:rFonts w:ascii="Arial" w:hAnsi="Arial" w:cs="Arial"/>
              </w:rPr>
              <w:t>The CBUC would also like to make note that this study does not take in to account for “dot_Brand” or “Single-Registrant” gTLDs.  Operating models for type of gTLD may vary greatly from more typical models.  CBUC understands that policy and Applicant Guidebook considerations are work in progress and that perhaps this gTLD type was relatively unknown at the time of this study.</w:t>
            </w:r>
          </w:p>
          <w:p w:rsidR="00A33D1F" w:rsidRPr="00FE7980" w:rsidRDefault="00A33D1F" w:rsidP="0082153E"/>
        </w:tc>
      </w:tr>
      <w:tr w:rsidR="0082153E" w:rsidRPr="00AA632F" w:rsidTr="00A33D1F">
        <w:trPr>
          <w:cantSplit/>
          <w:jc w:val="center"/>
        </w:trPr>
        <w:tc>
          <w:tcPr>
            <w:tcW w:w="3316" w:type="dxa"/>
            <w:vAlign w:val="center"/>
          </w:tcPr>
          <w:p w:rsidR="0082153E" w:rsidRPr="00CA3D72" w:rsidRDefault="0082153E" w:rsidP="0012702D">
            <w:pPr>
              <w:rPr>
                <w:rFonts w:ascii="Arial" w:hAnsi="Arial" w:cs="Arial"/>
              </w:rPr>
            </w:pPr>
            <w:r>
              <w:rPr>
                <w:rFonts w:ascii="Arial" w:hAnsi="Arial" w:cs="Arial"/>
              </w:rPr>
              <w:t>Survey Demographics</w:t>
            </w:r>
          </w:p>
        </w:tc>
        <w:tc>
          <w:tcPr>
            <w:tcW w:w="1530" w:type="dxa"/>
            <w:vAlign w:val="center"/>
          </w:tcPr>
          <w:p w:rsidR="0082153E" w:rsidRPr="00AA632F" w:rsidRDefault="0082153E" w:rsidP="0012702D">
            <w:pPr>
              <w:jc w:val="center"/>
              <w:rPr>
                <w:rFonts w:ascii="Arial" w:hAnsi="Arial" w:cs="Arial"/>
              </w:rPr>
            </w:pPr>
            <w:r w:rsidRPr="00FE7980">
              <w:rPr>
                <w:rFonts w:asciiTheme="minorHAnsi" w:eastAsiaTheme="minorHAnsi" w:hAnsiTheme="minorHAnsi" w:cstheme="minorBidi"/>
                <w:sz w:val="22"/>
                <w:szCs w:val="22"/>
              </w:rPr>
              <w:object w:dxaOrig="300" w:dyaOrig="270">
                <v:shape id="_x0000_i1035" type="#_x0000_t75" style="width:15pt;height:13.5pt" o:ole="">
                  <v:imagedata r:id="rId12" o:title=""/>
                </v:shape>
                <o:OLEObject Type="Embed" ProgID="" ShapeID="_x0000_i1035" DrawAspect="Content" ObjectID="_1331553200" r:id="rId27"/>
              </w:object>
            </w:r>
          </w:p>
        </w:tc>
        <w:tc>
          <w:tcPr>
            <w:tcW w:w="5746" w:type="dxa"/>
          </w:tcPr>
          <w:p w:rsidR="00207167" w:rsidRDefault="00207167" w:rsidP="0082153E">
            <w:pPr>
              <w:rPr>
                <w:rFonts w:ascii="Arial" w:hAnsi="Arial" w:cs="Arial"/>
              </w:rPr>
            </w:pPr>
          </w:p>
          <w:p w:rsidR="00207167" w:rsidRPr="004D3EFA" w:rsidRDefault="00207167" w:rsidP="00A04CAA">
            <w:pPr>
              <w:pStyle w:val="ListParagraph"/>
              <w:numPr>
                <w:ilvl w:val="0"/>
                <w:numId w:val="27"/>
              </w:numPr>
              <w:rPr>
                <w:rFonts w:ascii="Arial" w:hAnsi="Arial" w:cs="Arial"/>
              </w:rPr>
            </w:pPr>
            <w:r w:rsidRPr="004D3EFA">
              <w:rPr>
                <w:rFonts w:ascii="Arial" w:hAnsi="Arial" w:cs="Arial"/>
              </w:rPr>
              <w:t xml:space="preserve">The CBUC would </w:t>
            </w:r>
            <w:r w:rsidR="0082153E" w:rsidRPr="004D3EFA">
              <w:rPr>
                <w:rFonts w:ascii="Arial" w:hAnsi="Arial" w:cs="Arial"/>
              </w:rPr>
              <w:t>pr</w:t>
            </w:r>
            <w:r w:rsidRPr="004D3EFA">
              <w:rPr>
                <w:rFonts w:ascii="Arial" w:hAnsi="Arial" w:cs="Arial"/>
              </w:rPr>
              <w:t>efer to have seen more participants for this study and do take caution with the influence of ccTLD data in this study</w:t>
            </w:r>
            <w:r w:rsidR="004D3EFA" w:rsidRPr="004D3EFA">
              <w:rPr>
                <w:rFonts w:ascii="Arial" w:hAnsi="Arial" w:cs="Arial"/>
              </w:rPr>
              <w:t>, as they tend to operate</w:t>
            </w:r>
            <w:r w:rsidRPr="004D3EFA">
              <w:rPr>
                <w:rFonts w:ascii="Arial" w:hAnsi="Arial" w:cs="Arial"/>
              </w:rPr>
              <w:t xml:space="preserve"> differently and under different</w:t>
            </w:r>
            <w:r w:rsidR="00413C6E">
              <w:rPr>
                <w:rFonts w:ascii="Arial" w:hAnsi="Arial" w:cs="Arial"/>
              </w:rPr>
              <w:t xml:space="preserve"> contractual obligations than g</w:t>
            </w:r>
            <w:r w:rsidRPr="004D3EFA">
              <w:rPr>
                <w:rFonts w:ascii="Arial" w:hAnsi="Arial" w:cs="Arial"/>
              </w:rPr>
              <w:t>TLDs.</w:t>
            </w:r>
          </w:p>
          <w:p w:rsidR="0082153E" w:rsidRPr="004D3EFA" w:rsidRDefault="00207167" w:rsidP="00A04CAA">
            <w:pPr>
              <w:pStyle w:val="ListParagraph"/>
              <w:numPr>
                <w:ilvl w:val="0"/>
                <w:numId w:val="27"/>
              </w:numPr>
              <w:rPr>
                <w:rFonts w:ascii="Arial" w:hAnsi="Arial" w:cs="Arial"/>
              </w:rPr>
            </w:pPr>
            <w:r w:rsidRPr="004D3EFA">
              <w:rPr>
                <w:rFonts w:ascii="Arial" w:hAnsi="Arial" w:cs="Arial"/>
              </w:rPr>
              <w:t>W</w:t>
            </w:r>
            <w:r w:rsidR="0082153E" w:rsidRPr="004D3EFA">
              <w:rPr>
                <w:rFonts w:ascii="Arial" w:hAnsi="Arial" w:cs="Arial"/>
              </w:rPr>
              <w:t>ill the inclusion ccTLD</w:t>
            </w:r>
            <w:r w:rsidRPr="004D3EFA">
              <w:rPr>
                <w:rFonts w:ascii="Arial" w:hAnsi="Arial" w:cs="Arial"/>
              </w:rPr>
              <w:t xml:space="preserve"> data in this study</w:t>
            </w:r>
            <w:r w:rsidR="0082153E" w:rsidRPr="004D3EFA">
              <w:rPr>
                <w:rFonts w:ascii="Arial" w:hAnsi="Arial" w:cs="Arial"/>
              </w:rPr>
              <w:t xml:space="preserve"> be a valid barometer for new gTLDs? </w:t>
            </w:r>
          </w:p>
          <w:p w:rsidR="00207167" w:rsidRPr="004D3EFA" w:rsidRDefault="00207167" w:rsidP="00A04CAA">
            <w:pPr>
              <w:pStyle w:val="ListParagraph"/>
              <w:numPr>
                <w:ilvl w:val="0"/>
                <w:numId w:val="27"/>
              </w:numPr>
              <w:rPr>
                <w:rFonts w:ascii="Arial" w:hAnsi="Arial" w:cs="Arial"/>
              </w:rPr>
            </w:pPr>
            <w:r w:rsidRPr="004D3EFA">
              <w:rPr>
                <w:rFonts w:ascii="Arial" w:hAnsi="Arial" w:cs="Arial"/>
              </w:rPr>
              <w:t xml:space="preserve">Study mentions </w:t>
            </w:r>
            <w:r w:rsidR="0082153E" w:rsidRPr="004D3EFA">
              <w:rPr>
                <w:rFonts w:ascii="Arial" w:hAnsi="Arial" w:cs="Arial"/>
              </w:rPr>
              <w:t>cc</w:t>
            </w:r>
            <w:r w:rsidRPr="004D3EFA">
              <w:rPr>
                <w:rFonts w:ascii="Arial" w:hAnsi="Arial" w:cs="Arial"/>
              </w:rPr>
              <w:t xml:space="preserve">TLDs were chosen at random.  </w:t>
            </w:r>
            <w:r w:rsidR="0082153E" w:rsidRPr="004D3EFA">
              <w:rPr>
                <w:rFonts w:ascii="Arial" w:hAnsi="Arial" w:cs="Arial"/>
              </w:rPr>
              <w:t xml:space="preserve">Perhaps, </w:t>
            </w:r>
            <w:r w:rsidRPr="004D3EFA">
              <w:rPr>
                <w:rFonts w:ascii="Arial" w:hAnsi="Arial" w:cs="Arial"/>
              </w:rPr>
              <w:t>ccTLDs</w:t>
            </w:r>
            <w:r w:rsidR="0082153E" w:rsidRPr="004D3EFA">
              <w:rPr>
                <w:rFonts w:ascii="Arial" w:hAnsi="Arial" w:cs="Arial"/>
              </w:rPr>
              <w:t xml:space="preserve"> that m</w:t>
            </w:r>
            <w:r w:rsidRPr="004D3EFA">
              <w:rPr>
                <w:rFonts w:ascii="Arial" w:hAnsi="Arial" w:cs="Arial"/>
              </w:rPr>
              <w:t>imic a</w:t>
            </w:r>
            <w:r w:rsidR="0082153E" w:rsidRPr="004D3EFA">
              <w:rPr>
                <w:rFonts w:ascii="Arial" w:hAnsi="Arial" w:cs="Arial"/>
              </w:rPr>
              <w:t xml:space="preserve"> g</w:t>
            </w:r>
            <w:r w:rsidR="004D3EFA">
              <w:rPr>
                <w:rFonts w:ascii="Arial" w:hAnsi="Arial" w:cs="Arial"/>
              </w:rPr>
              <w:t>TLD should be chosen</w:t>
            </w:r>
          </w:p>
          <w:p w:rsidR="00A04CAA" w:rsidRPr="004D3EFA" w:rsidRDefault="00A04CAA" w:rsidP="00A04CAA">
            <w:pPr>
              <w:pStyle w:val="ListParagraph"/>
              <w:numPr>
                <w:ilvl w:val="0"/>
                <w:numId w:val="27"/>
              </w:numPr>
              <w:rPr>
                <w:rFonts w:ascii="Arial" w:hAnsi="Arial" w:cs="Arial"/>
              </w:rPr>
            </w:pPr>
            <w:r w:rsidRPr="004D3EFA">
              <w:rPr>
                <w:rFonts w:ascii="Arial" w:hAnsi="Arial" w:cs="Arial"/>
              </w:rPr>
              <w:t>C</w:t>
            </w:r>
            <w:r w:rsidR="0082153E" w:rsidRPr="004D3EFA">
              <w:rPr>
                <w:rFonts w:ascii="Arial" w:hAnsi="Arial" w:cs="Arial"/>
              </w:rPr>
              <w:t>B</w:t>
            </w:r>
            <w:r w:rsidRPr="004D3EFA">
              <w:rPr>
                <w:rFonts w:ascii="Arial" w:hAnsi="Arial" w:cs="Arial"/>
              </w:rPr>
              <w:t>U</w:t>
            </w:r>
            <w:r w:rsidR="0082153E" w:rsidRPr="004D3EFA">
              <w:rPr>
                <w:rFonts w:ascii="Arial" w:hAnsi="Arial" w:cs="Arial"/>
              </w:rPr>
              <w:t xml:space="preserve">C does take notice to the how the Demographics (4) slide reinforces the notion that smaller Registries do outsource greater critical elements of their operations.  The view through this lens should always be considered with future decisions of gTLD expansion.  </w:t>
            </w:r>
          </w:p>
          <w:p w:rsidR="0082153E" w:rsidRPr="004D3EFA" w:rsidRDefault="0082153E" w:rsidP="00A04CAA">
            <w:pPr>
              <w:pStyle w:val="ListParagraph"/>
              <w:numPr>
                <w:ilvl w:val="0"/>
                <w:numId w:val="27"/>
              </w:numPr>
              <w:rPr>
                <w:rFonts w:ascii="Arial" w:hAnsi="Arial" w:cs="Arial"/>
              </w:rPr>
            </w:pPr>
            <w:r w:rsidRPr="004D3EFA">
              <w:rPr>
                <w:rFonts w:ascii="Arial" w:hAnsi="Arial" w:cs="Arial"/>
              </w:rPr>
              <w:t xml:space="preserve">The outsourcing of compliance </w:t>
            </w:r>
            <w:r w:rsidR="00413C6E">
              <w:rPr>
                <w:rFonts w:ascii="Arial" w:hAnsi="Arial" w:cs="Arial"/>
              </w:rPr>
              <w:t xml:space="preserve">within Registries </w:t>
            </w:r>
            <w:r w:rsidRPr="004D3EFA">
              <w:rPr>
                <w:rFonts w:ascii="Arial" w:hAnsi="Arial" w:cs="Arial"/>
              </w:rPr>
              <w:t>should be further investigated</w:t>
            </w:r>
            <w:r w:rsidR="004D3EFA">
              <w:rPr>
                <w:rFonts w:ascii="Arial" w:hAnsi="Arial" w:cs="Arial"/>
              </w:rPr>
              <w:t xml:space="preserve"> by ICANN to understand any risks or exposures</w:t>
            </w:r>
            <w:r w:rsidRPr="004D3EFA">
              <w:rPr>
                <w:rFonts w:ascii="Arial" w:hAnsi="Arial" w:cs="Arial"/>
              </w:rPr>
              <w:t>.</w:t>
            </w:r>
          </w:p>
          <w:p w:rsidR="0082153E" w:rsidRPr="00FE7980" w:rsidRDefault="0082153E" w:rsidP="0082153E"/>
        </w:tc>
      </w:tr>
      <w:tr w:rsidR="0082153E" w:rsidRPr="00AA632F" w:rsidTr="00A33D1F">
        <w:trPr>
          <w:cantSplit/>
          <w:jc w:val="center"/>
        </w:trPr>
        <w:tc>
          <w:tcPr>
            <w:tcW w:w="3316" w:type="dxa"/>
            <w:vAlign w:val="center"/>
          </w:tcPr>
          <w:p w:rsidR="0082153E" w:rsidRPr="00AA632F" w:rsidRDefault="0082153E" w:rsidP="0012702D">
            <w:pPr>
              <w:rPr>
                <w:rFonts w:ascii="Arial" w:hAnsi="Arial" w:cs="Arial"/>
              </w:rPr>
            </w:pPr>
            <w:r>
              <w:rPr>
                <w:rFonts w:ascii="Arial" w:hAnsi="Arial" w:cs="Arial"/>
              </w:rPr>
              <w:t>Registry Growth</w:t>
            </w:r>
          </w:p>
        </w:tc>
        <w:tc>
          <w:tcPr>
            <w:tcW w:w="1530" w:type="dxa"/>
            <w:vAlign w:val="center"/>
          </w:tcPr>
          <w:p w:rsidR="0082153E" w:rsidRPr="00AA632F" w:rsidRDefault="00E4377B" w:rsidP="0012702D">
            <w:pPr>
              <w:jc w:val="center"/>
              <w:rPr>
                <w:rFonts w:ascii="Arial" w:hAnsi="Arial" w:cs="Arial"/>
              </w:rPr>
            </w:pPr>
            <w:r w:rsidRPr="00FE7980">
              <w:rPr>
                <w:rFonts w:asciiTheme="minorHAnsi" w:eastAsiaTheme="minorHAnsi" w:hAnsiTheme="minorHAnsi" w:cstheme="minorBidi"/>
                <w:sz w:val="22"/>
                <w:szCs w:val="22"/>
              </w:rPr>
              <w:object w:dxaOrig="300" w:dyaOrig="270">
                <v:shape id="_x0000_i1047" type="#_x0000_t75" style="width:15pt;height:13.5pt" o:ole="">
                  <v:imagedata r:id="rId12" o:title=""/>
                </v:shape>
                <o:OLEObject Type="Embed" ProgID="" ShapeID="_x0000_i1047" DrawAspect="Content" ObjectID="_1331553201" r:id="rId28"/>
              </w:object>
            </w:r>
          </w:p>
        </w:tc>
        <w:tc>
          <w:tcPr>
            <w:tcW w:w="5746" w:type="dxa"/>
          </w:tcPr>
          <w:p w:rsidR="00A33D1F" w:rsidRDefault="00A33D1F" w:rsidP="0082153E">
            <w:pPr>
              <w:rPr>
                <w:rFonts w:ascii="Arial" w:hAnsi="Arial" w:cs="Arial"/>
              </w:rPr>
            </w:pPr>
          </w:p>
          <w:p w:rsidR="0082153E" w:rsidRDefault="0082153E" w:rsidP="0082153E">
            <w:pPr>
              <w:rPr>
                <w:rFonts w:ascii="Arial" w:hAnsi="Arial" w:cs="Arial"/>
              </w:rPr>
            </w:pPr>
            <w:r>
              <w:rPr>
                <w:rFonts w:ascii="Arial" w:hAnsi="Arial" w:cs="Arial"/>
              </w:rPr>
              <w:t xml:space="preserve">Given the rough number of possible applicants at 500, these types of metrics do provoke the notion of TLDs that </w:t>
            </w:r>
            <w:r w:rsidR="00B3011B">
              <w:rPr>
                <w:rFonts w:ascii="Arial" w:hAnsi="Arial" w:cs="Arial"/>
              </w:rPr>
              <w:t>could possibly fail.  A</w:t>
            </w:r>
            <w:r>
              <w:rPr>
                <w:rFonts w:ascii="Arial" w:hAnsi="Arial" w:cs="Arial"/>
              </w:rPr>
              <w:t xml:space="preserve">t what point in </w:t>
            </w:r>
            <w:r w:rsidR="00B3011B">
              <w:rPr>
                <w:rFonts w:ascii="Arial" w:hAnsi="Arial" w:cs="Arial"/>
              </w:rPr>
              <w:t xml:space="preserve">the </w:t>
            </w:r>
            <w:r>
              <w:rPr>
                <w:rFonts w:ascii="Arial" w:hAnsi="Arial" w:cs="Arial"/>
              </w:rPr>
              <w:t>operations</w:t>
            </w:r>
            <w:r w:rsidR="00B3011B">
              <w:rPr>
                <w:rFonts w:ascii="Arial" w:hAnsi="Arial" w:cs="Arial"/>
              </w:rPr>
              <w:t xml:space="preserve"> cycle</w:t>
            </w:r>
            <w:r>
              <w:rPr>
                <w:rFonts w:ascii="Arial" w:hAnsi="Arial" w:cs="Arial"/>
              </w:rPr>
              <w:t xml:space="preserve"> would they </w:t>
            </w:r>
            <w:r w:rsidR="00B3011B">
              <w:rPr>
                <w:rFonts w:ascii="Arial" w:hAnsi="Arial" w:cs="Arial"/>
              </w:rPr>
              <w:t xml:space="preserve">tend to </w:t>
            </w:r>
            <w:r>
              <w:rPr>
                <w:rFonts w:ascii="Arial" w:hAnsi="Arial" w:cs="Arial"/>
              </w:rPr>
              <w:t>fail?</w:t>
            </w:r>
            <w:r w:rsidR="00B3011B">
              <w:rPr>
                <w:rFonts w:ascii="Arial" w:hAnsi="Arial" w:cs="Arial"/>
              </w:rPr>
              <w:t xml:space="preserve">  Has ICANN and community adequately addressed a failing Registry?</w:t>
            </w:r>
          </w:p>
          <w:p w:rsidR="00A33D1F" w:rsidRPr="00FE7980" w:rsidRDefault="00A33D1F" w:rsidP="0082153E"/>
        </w:tc>
      </w:tr>
      <w:tr w:rsidR="0082153E" w:rsidRPr="00AA632F" w:rsidTr="00A33D1F">
        <w:trPr>
          <w:cantSplit/>
          <w:jc w:val="center"/>
        </w:trPr>
        <w:tc>
          <w:tcPr>
            <w:tcW w:w="3316" w:type="dxa"/>
            <w:vAlign w:val="center"/>
          </w:tcPr>
          <w:p w:rsidR="0082153E" w:rsidRPr="00AA632F" w:rsidRDefault="0082153E" w:rsidP="0012702D">
            <w:pPr>
              <w:rPr>
                <w:rFonts w:ascii="Arial" w:hAnsi="Arial" w:cs="Arial"/>
              </w:rPr>
            </w:pPr>
            <w:r>
              <w:rPr>
                <w:rFonts w:ascii="Arial" w:hAnsi="Arial" w:cs="Arial"/>
              </w:rPr>
              <w:t>Staffing Models &amp; Cost</w:t>
            </w:r>
          </w:p>
        </w:tc>
        <w:tc>
          <w:tcPr>
            <w:tcW w:w="1530" w:type="dxa"/>
            <w:vAlign w:val="center"/>
          </w:tcPr>
          <w:p w:rsidR="0082153E" w:rsidRPr="00AA632F" w:rsidRDefault="0082153E" w:rsidP="0012702D">
            <w:pPr>
              <w:jc w:val="center"/>
              <w:rPr>
                <w:rFonts w:ascii="Arial" w:hAnsi="Arial" w:cs="Arial"/>
              </w:rPr>
            </w:pPr>
            <w:r w:rsidRPr="00FE7980">
              <w:rPr>
                <w:rFonts w:asciiTheme="minorHAnsi" w:eastAsiaTheme="minorHAnsi" w:hAnsiTheme="minorHAnsi" w:cstheme="minorBidi"/>
                <w:sz w:val="22"/>
                <w:szCs w:val="22"/>
              </w:rPr>
              <w:object w:dxaOrig="315" w:dyaOrig="285">
                <v:shape id="_x0000_i1036" type="#_x0000_t75" style="width:15.75pt;height:14.25pt" o:ole="">
                  <v:imagedata r:id="rId10" o:title=""/>
                </v:shape>
                <o:OLEObject Type="Embed" ProgID="" ShapeID="_x0000_i1036" DrawAspect="Content" ObjectID="_1331553202" r:id="rId29"/>
              </w:object>
            </w:r>
          </w:p>
        </w:tc>
        <w:tc>
          <w:tcPr>
            <w:tcW w:w="5746" w:type="dxa"/>
          </w:tcPr>
          <w:p w:rsidR="00A33D1F" w:rsidRDefault="00A33D1F" w:rsidP="0082153E">
            <w:pPr>
              <w:rPr>
                <w:rFonts w:ascii="Arial" w:hAnsi="Arial" w:cs="Arial"/>
              </w:rPr>
            </w:pPr>
          </w:p>
          <w:p w:rsidR="0082153E" w:rsidRDefault="00A33D1F" w:rsidP="0082153E">
            <w:pPr>
              <w:rPr>
                <w:rFonts w:ascii="Arial" w:hAnsi="Arial" w:cs="Arial"/>
              </w:rPr>
            </w:pPr>
            <w:r>
              <w:rPr>
                <w:rFonts w:ascii="Arial" w:hAnsi="Arial" w:cs="Arial"/>
              </w:rPr>
              <w:t>N</w:t>
            </w:r>
            <w:r w:rsidR="0082153E">
              <w:rPr>
                <w:rFonts w:ascii="Arial" w:hAnsi="Arial" w:cs="Arial"/>
              </w:rPr>
              <w:t>o Comments</w:t>
            </w:r>
          </w:p>
          <w:p w:rsidR="00A33D1F" w:rsidRPr="00FE7980" w:rsidRDefault="00A33D1F" w:rsidP="0082153E"/>
        </w:tc>
      </w:tr>
      <w:tr w:rsidR="0082153E" w:rsidRPr="00AA632F" w:rsidTr="00A33D1F">
        <w:trPr>
          <w:cantSplit/>
          <w:jc w:val="center"/>
        </w:trPr>
        <w:tc>
          <w:tcPr>
            <w:tcW w:w="3316" w:type="dxa"/>
            <w:vAlign w:val="center"/>
          </w:tcPr>
          <w:p w:rsidR="0082153E" w:rsidRPr="00AA632F" w:rsidRDefault="0082153E" w:rsidP="0012702D">
            <w:pPr>
              <w:rPr>
                <w:rFonts w:ascii="Arial" w:hAnsi="Arial" w:cs="Arial"/>
              </w:rPr>
            </w:pPr>
            <w:r>
              <w:rPr>
                <w:rFonts w:ascii="Arial" w:hAnsi="Arial" w:cs="Arial"/>
              </w:rPr>
              <w:lastRenderedPageBreak/>
              <w:t>Operating Costs</w:t>
            </w:r>
          </w:p>
        </w:tc>
        <w:tc>
          <w:tcPr>
            <w:tcW w:w="1530" w:type="dxa"/>
            <w:vAlign w:val="center"/>
          </w:tcPr>
          <w:p w:rsidR="0082153E" w:rsidRPr="00FE7980" w:rsidRDefault="0082153E" w:rsidP="0012702D">
            <w:pPr>
              <w:jc w:val="center"/>
            </w:pPr>
            <w:r w:rsidRPr="00FE7980">
              <w:rPr>
                <w:rFonts w:asciiTheme="minorHAnsi" w:eastAsiaTheme="minorHAnsi" w:hAnsiTheme="minorHAnsi" w:cstheme="minorBidi"/>
                <w:sz w:val="22"/>
                <w:szCs w:val="22"/>
              </w:rPr>
              <w:object w:dxaOrig="300" w:dyaOrig="270">
                <v:shape id="_x0000_i1037" type="#_x0000_t75" style="width:15pt;height:13.5pt" o:ole="">
                  <v:imagedata r:id="rId12" o:title=""/>
                </v:shape>
                <o:OLEObject Type="Embed" ProgID="" ShapeID="_x0000_i1037" DrawAspect="Content" ObjectID="_1331553203" r:id="rId30"/>
              </w:object>
            </w:r>
          </w:p>
        </w:tc>
        <w:tc>
          <w:tcPr>
            <w:tcW w:w="5746" w:type="dxa"/>
          </w:tcPr>
          <w:p w:rsidR="00A33D1F" w:rsidRDefault="00A33D1F" w:rsidP="0082153E">
            <w:pPr>
              <w:rPr>
                <w:rFonts w:ascii="Arial" w:hAnsi="Arial" w:cs="Arial"/>
              </w:rPr>
            </w:pPr>
          </w:p>
          <w:p w:rsidR="0082153E" w:rsidRPr="009C15F2" w:rsidRDefault="00207167" w:rsidP="00207167">
            <w:pPr>
              <w:pStyle w:val="ListParagraph"/>
              <w:numPr>
                <w:ilvl w:val="0"/>
                <w:numId w:val="26"/>
              </w:numPr>
              <w:rPr>
                <w:rFonts w:ascii="Arial" w:hAnsi="Arial" w:cs="Arial"/>
              </w:rPr>
            </w:pPr>
            <w:r w:rsidRPr="009C15F2">
              <w:rPr>
                <w:rFonts w:ascii="Arial" w:hAnsi="Arial" w:cs="Arial"/>
              </w:rPr>
              <w:t xml:space="preserve">Would </w:t>
            </w:r>
            <w:r w:rsidR="004D3EFA" w:rsidRPr="009C15F2">
              <w:rPr>
                <w:rFonts w:ascii="Arial" w:hAnsi="Arial" w:cs="Arial"/>
              </w:rPr>
              <w:t>DNS</w:t>
            </w:r>
            <w:r w:rsidR="0082153E" w:rsidRPr="009C15F2">
              <w:rPr>
                <w:rFonts w:ascii="Arial" w:hAnsi="Arial" w:cs="Arial"/>
              </w:rPr>
              <w:t xml:space="preserve">SEC Costs be </w:t>
            </w:r>
            <w:r w:rsidR="004D3EFA" w:rsidRPr="009C15F2">
              <w:rPr>
                <w:rFonts w:ascii="Arial" w:hAnsi="Arial" w:cs="Arial"/>
              </w:rPr>
              <w:t xml:space="preserve">a </w:t>
            </w:r>
            <w:r w:rsidR="0082153E" w:rsidRPr="009C15F2">
              <w:rPr>
                <w:rFonts w:ascii="Arial" w:hAnsi="Arial" w:cs="Arial"/>
              </w:rPr>
              <w:t xml:space="preserve">greater % </w:t>
            </w:r>
            <w:r w:rsidRPr="009C15F2">
              <w:rPr>
                <w:rFonts w:ascii="Arial" w:hAnsi="Arial" w:cs="Arial"/>
              </w:rPr>
              <w:t xml:space="preserve">allocation </w:t>
            </w:r>
            <w:r w:rsidR="0082153E" w:rsidRPr="009C15F2">
              <w:rPr>
                <w:rFonts w:ascii="Arial" w:hAnsi="Arial" w:cs="Arial"/>
              </w:rPr>
              <w:t xml:space="preserve">for all new TLDs, as this </w:t>
            </w:r>
            <w:r w:rsidRPr="009C15F2">
              <w:rPr>
                <w:rFonts w:ascii="Arial" w:hAnsi="Arial" w:cs="Arial"/>
              </w:rPr>
              <w:t xml:space="preserve">will be </w:t>
            </w:r>
            <w:r w:rsidR="0082153E" w:rsidRPr="009C15F2">
              <w:rPr>
                <w:rFonts w:ascii="Arial" w:hAnsi="Arial" w:cs="Arial"/>
              </w:rPr>
              <w:t>a base requirement</w:t>
            </w:r>
            <w:r w:rsidRPr="009C15F2">
              <w:rPr>
                <w:rFonts w:ascii="Arial" w:hAnsi="Arial" w:cs="Arial"/>
              </w:rPr>
              <w:t xml:space="preserve"> for the new TLD?</w:t>
            </w:r>
          </w:p>
          <w:p w:rsidR="0082153E" w:rsidRPr="009C15F2" w:rsidRDefault="004D3EFA" w:rsidP="00207167">
            <w:pPr>
              <w:pStyle w:val="ListParagraph"/>
              <w:numPr>
                <w:ilvl w:val="0"/>
                <w:numId w:val="26"/>
              </w:numPr>
              <w:rPr>
                <w:rFonts w:ascii="Arial" w:hAnsi="Arial" w:cs="Arial"/>
              </w:rPr>
            </w:pPr>
            <w:r w:rsidRPr="009C15F2">
              <w:rPr>
                <w:rFonts w:ascii="Arial" w:hAnsi="Arial" w:cs="Arial"/>
              </w:rPr>
              <w:t>CBUC takes i</w:t>
            </w:r>
            <w:r w:rsidR="00207167" w:rsidRPr="009C15F2">
              <w:rPr>
                <w:rFonts w:ascii="Arial" w:hAnsi="Arial" w:cs="Arial"/>
              </w:rPr>
              <w:t>nterest</w:t>
            </w:r>
            <w:r w:rsidRPr="009C15F2">
              <w:rPr>
                <w:rFonts w:ascii="Arial" w:hAnsi="Arial" w:cs="Arial"/>
              </w:rPr>
              <w:t xml:space="preserve"> to the</w:t>
            </w:r>
            <w:r w:rsidR="00207167" w:rsidRPr="009C15F2">
              <w:rPr>
                <w:rFonts w:ascii="Arial" w:hAnsi="Arial" w:cs="Arial"/>
              </w:rPr>
              <w:t xml:space="preserve"> stat that r</w:t>
            </w:r>
            <w:r w:rsidR="0082153E" w:rsidRPr="009C15F2">
              <w:rPr>
                <w:rFonts w:ascii="Arial" w:hAnsi="Arial" w:cs="Arial"/>
              </w:rPr>
              <w:t xml:space="preserve">oughly </w:t>
            </w:r>
            <w:r w:rsidR="00207167" w:rsidRPr="009C15F2">
              <w:rPr>
                <w:rFonts w:ascii="Arial" w:hAnsi="Arial" w:cs="Arial"/>
              </w:rPr>
              <w:t xml:space="preserve">$1 million </w:t>
            </w:r>
            <w:r w:rsidRPr="009C15F2">
              <w:rPr>
                <w:rFonts w:ascii="Arial" w:hAnsi="Arial" w:cs="Arial"/>
              </w:rPr>
              <w:t xml:space="preserve">in </w:t>
            </w:r>
            <w:r w:rsidR="00207167" w:rsidRPr="009C15F2">
              <w:rPr>
                <w:rFonts w:ascii="Arial" w:hAnsi="Arial" w:cs="Arial"/>
              </w:rPr>
              <w:t xml:space="preserve">operating </w:t>
            </w:r>
            <w:r w:rsidR="0082153E" w:rsidRPr="009C15F2">
              <w:rPr>
                <w:rFonts w:ascii="Arial" w:hAnsi="Arial" w:cs="Arial"/>
              </w:rPr>
              <w:t xml:space="preserve">cost </w:t>
            </w:r>
            <w:r w:rsidR="00207167" w:rsidRPr="009C15F2">
              <w:rPr>
                <w:rFonts w:ascii="Arial" w:hAnsi="Arial" w:cs="Arial"/>
              </w:rPr>
              <w:t xml:space="preserve">can be expected </w:t>
            </w:r>
            <w:r w:rsidR="0082153E" w:rsidRPr="009C15F2">
              <w:rPr>
                <w:rFonts w:ascii="Arial" w:hAnsi="Arial" w:cs="Arial"/>
              </w:rPr>
              <w:t>for a “small” Ry</w:t>
            </w:r>
          </w:p>
          <w:p w:rsidR="00207167" w:rsidRPr="009C15F2" w:rsidRDefault="00207167" w:rsidP="00207167">
            <w:pPr>
              <w:pStyle w:val="ListParagraph"/>
              <w:numPr>
                <w:ilvl w:val="0"/>
                <w:numId w:val="26"/>
              </w:numPr>
              <w:rPr>
                <w:rFonts w:ascii="Arial" w:hAnsi="Arial" w:cs="Arial"/>
              </w:rPr>
            </w:pPr>
            <w:r w:rsidRPr="009C15F2">
              <w:rPr>
                <w:rFonts w:ascii="Arial" w:hAnsi="Arial" w:cs="Arial"/>
              </w:rPr>
              <w:t xml:space="preserve">(3) ccTLD data influences these charts; take away though is that 50% of gTLD underestimated </w:t>
            </w:r>
            <w:r w:rsidR="004D3EFA" w:rsidRPr="009C15F2">
              <w:rPr>
                <w:rFonts w:ascii="Arial" w:hAnsi="Arial" w:cs="Arial"/>
              </w:rPr>
              <w:t>initial</w:t>
            </w:r>
            <w:r w:rsidRPr="009C15F2">
              <w:rPr>
                <w:rFonts w:ascii="Arial" w:hAnsi="Arial" w:cs="Arial"/>
              </w:rPr>
              <w:t xml:space="preserve"> cost projections.  What can be done to educate applicants?</w:t>
            </w:r>
          </w:p>
          <w:p w:rsidR="0082153E" w:rsidRPr="00FE7980" w:rsidRDefault="0082153E" w:rsidP="00207167">
            <w:pPr>
              <w:pStyle w:val="ListParagraph"/>
            </w:pPr>
          </w:p>
        </w:tc>
      </w:tr>
      <w:tr w:rsidR="0082153E" w:rsidRPr="00AA632F" w:rsidTr="00A33D1F">
        <w:trPr>
          <w:cantSplit/>
          <w:jc w:val="center"/>
        </w:trPr>
        <w:tc>
          <w:tcPr>
            <w:tcW w:w="3316" w:type="dxa"/>
            <w:vAlign w:val="center"/>
          </w:tcPr>
          <w:p w:rsidR="0082153E" w:rsidRPr="00AA632F" w:rsidRDefault="0082153E" w:rsidP="0012702D">
            <w:pPr>
              <w:rPr>
                <w:rFonts w:ascii="Arial" w:hAnsi="Arial" w:cs="Arial"/>
              </w:rPr>
            </w:pPr>
            <w:r>
              <w:rPr>
                <w:rFonts w:ascii="Arial" w:hAnsi="Arial" w:cs="Arial"/>
              </w:rPr>
              <w:t>Technical &amp; Network Architecture</w:t>
            </w:r>
          </w:p>
        </w:tc>
        <w:tc>
          <w:tcPr>
            <w:tcW w:w="1530" w:type="dxa"/>
            <w:vAlign w:val="center"/>
          </w:tcPr>
          <w:p w:rsidR="0082153E" w:rsidRPr="00FE7980" w:rsidRDefault="0082153E" w:rsidP="0012702D">
            <w:pPr>
              <w:jc w:val="center"/>
            </w:pPr>
            <w:r w:rsidRPr="00FE7980">
              <w:rPr>
                <w:rFonts w:asciiTheme="minorHAnsi" w:eastAsiaTheme="minorHAnsi" w:hAnsiTheme="minorHAnsi" w:cstheme="minorBidi"/>
                <w:sz w:val="22"/>
                <w:szCs w:val="22"/>
              </w:rPr>
              <w:object w:dxaOrig="300" w:dyaOrig="270">
                <v:shape id="_x0000_i1038" type="#_x0000_t75" style="width:15pt;height:13.5pt" o:ole="">
                  <v:imagedata r:id="rId12" o:title=""/>
                </v:shape>
                <o:OLEObject Type="Embed" ProgID="" ShapeID="_x0000_i1038" DrawAspect="Content" ObjectID="_1331553204" r:id="rId31"/>
              </w:object>
            </w:r>
          </w:p>
        </w:tc>
        <w:tc>
          <w:tcPr>
            <w:tcW w:w="5746" w:type="dxa"/>
          </w:tcPr>
          <w:p w:rsidR="00A33D1F" w:rsidRDefault="00A33D1F" w:rsidP="0082153E">
            <w:pPr>
              <w:rPr>
                <w:rFonts w:ascii="Arial" w:hAnsi="Arial" w:cs="Arial"/>
              </w:rPr>
            </w:pPr>
          </w:p>
          <w:p w:rsidR="0082153E" w:rsidRDefault="00B3011B" w:rsidP="0082153E">
            <w:pPr>
              <w:rPr>
                <w:rFonts w:ascii="Arial" w:hAnsi="Arial" w:cs="Arial"/>
              </w:rPr>
            </w:pPr>
            <w:r>
              <w:rPr>
                <w:rFonts w:ascii="Arial" w:hAnsi="Arial" w:cs="Arial"/>
              </w:rPr>
              <w:t>The CBUC agrees with the initial form of reporting, but would prefer to see more precise delineation between SMALL and LARGE Registries.</w:t>
            </w:r>
          </w:p>
          <w:p w:rsidR="0082153E" w:rsidRPr="00FE7980" w:rsidRDefault="0082153E" w:rsidP="0082153E"/>
        </w:tc>
      </w:tr>
      <w:tr w:rsidR="0082153E" w:rsidRPr="00AA632F" w:rsidTr="00A33D1F">
        <w:trPr>
          <w:cantSplit/>
          <w:jc w:val="center"/>
        </w:trPr>
        <w:tc>
          <w:tcPr>
            <w:tcW w:w="3316" w:type="dxa"/>
            <w:vAlign w:val="center"/>
          </w:tcPr>
          <w:p w:rsidR="0082153E" w:rsidRPr="00AA632F" w:rsidRDefault="0082153E" w:rsidP="0012702D">
            <w:pPr>
              <w:rPr>
                <w:rFonts w:ascii="Arial" w:hAnsi="Arial" w:cs="Arial"/>
              </w:rPr>
            </w:pPr>
            <w:r>
              <w:rPr>
                <w:rFonts w:ascii="Arial" w:hAnsi="Arial" w:cs="Arial"/>
              </w:rPr>
              <w:t>Reserves</w:t>
            </w:r>
          </w:p>
        </w:tc>
        <w:tc>
          <w:tcPr>
            <w:tcW w:w="1530" w:type="dxa"/>
            <w:vAlign w:val="center"/>
          </w:tcPr>
          <w:p w:rsidR="0082153E" w:rsidRPr="00FE7980" w:rsidRDefault="00E1155B" w:rsidP="0012702D">
            <w:pPr>
              <w:jc w:val="center"/>
            </w:pPr>
            <w:r w:rsidRPr="00FE7980">
              <w:rPr>
                <w:rFonts w:asciiTheme="minorHAnsi" w:eastAsiaTheme="minorHAnsi" w:hAnsiTheme="minorHAnsi" w:cstheme="minorBidi"/>
                <w:sz w:val="22"/>
                <w:szCs w:val="22"/>
              </w:rPr>
              <w:object w:dxaOrig="300" w:dyaOrig="270">
                <v:shape id="_x0000_i1041" type="#_x0000_t75" style="width:15pt;height:13.5pt" o:ole="">
                  <v:imagedata r:id="rId12" o:title=""/>
                </v:shape>
                <o:OLEObject Type="Embed" ProgID="" ShapeID="_x0000_i1041" DrawAspect="Content" ObjectID="_1331553205" r:id="rId32"/>
              </w:object>
            </w:r>
          </w:p>
        </w:tc>
        <w:tc>
          <w:tcPr>
            <w:tcW w:w="5746" w:type="dxa"/>
          </w:tcPr>
          <w:p w:rsidR="00A33D1F" w:rsidRDefault="00A33D1F" w:rsidP="0082153E">
            <w:pPr>
              <w:rPr>
                <w:rFonts w:ascii="Arial" w:hAnsi="Arial" w:cs="Arial"/>
              </w:rPr>
            </w:pPr>
          </w:p>
          <w:p w:rsidR="0082153E" w:rsidRDefault="009C15F2" w:rsidP="0082153E">
            <w:pPr>
              <w:rPr>
                <w:rFonts w:ascii="Arial" w:hAnsi="Arial" w:cs="Arial"/>
              </w:rPr>
            </w:pPr>
            <w:r w:rsidRPr="009C15F2">
              <w:rPr>
                <w:rFonts w:ascii="Arial" w:hAnsi="Arial" w:cs="Arial"/>
              </w:rPr>
              <w:t xml:space="preserve">Could a </w:t>
            </w:r>
            <w:r w:rsidR="00B3011B" w:rsidRPr="009C15F2">
              <w:rPr>
                <w:rFonts w:ascii="Arial" w:hAnsi="Arial" w:cs="Arial"/>
              </w:rPr>
              <w:t>recommend</w:t>
            </w:r>
            <w:r w:rsidRPr="009C15F2">
              <w:rPr>
                <w:rFonts w:ascii="Arial" w:hAnsi="Arial" w:cs="Arial"/>
              </w:rPr>
              <w:t>ation of two</w:t>
            </w:r>
            <w:r w:rsidR="00B3011B" w:rsidRPr="009C15F2">
              <w:rPr>
                <w:rFonts w:ascii="Arial" w:hAnsi="Arial" w:cs="Arial"/>
              </w:rPr>
              <w:t xml:space="preserve"> years operating capital be a favorable requirement?</w:t>
            </w:r>
          </w:p>
          <w:p w:rsidR="0082153E" w:rsidRPr="00FE7980" w:rsidRDefault="0082153E" w:rsidP="0082153E"/>
        </w:tc>
      </w:tr>
      <w:tr w:rsidR="0082153E" w:rsidRPr="00AA632F" w:rsidTr="00A33D1F">
        <w:trPr>
          <w:cantSplit/>
          <w:jc w:val="center"/>
        </w:trPr>
        <w:tc>
          <w:tcPr>
            <w:tcW w:w="3316" w:type="dxa"/>
            <w:vAlign w:val="center"/>
          </w:tcPr>
          <w:p w:rsidR="0082153E" w:rsidRPr="00AA632F" w:rsidRDefault="0082153E" w:rsidP="0012702D">
            <w:pPr>
              <w:rPr>
                <w:rFonts w:ascii="Arial" w:hAnsi="Arial" w:cs="Arial"/>
              </w:rPr>
            </w:pPr>
            <w:r>
              <w:rPr>
                <w:rFonts w:ascii="Arial" w:hAnsi="Arial" w:cs="Arial"/>
              </w:rPr>
              <w:t>Capital Expenditure</w:t>
            </w:r>
          </w:p>
        </w:tc>
        <w:tc>
          <w:tcPr>
            <w:tcW w:w="1530" w:type="dxa"/>
            <w:vAlign w:val="center"/>
          </w:tcPr>
          <w:p w:rsidR="0082153E" w:rsidRPr="00FE7980" w:rsidRDefault="00E1155B" w:rsidP="0012702D">
            <w:pPr>
              <w:jc w:val="center"/>
            </w:pPr>
            <w:r w:rsidRPr="00FE7980">
              <w:rPr>
                <w:rFonts w:asciiTheme="minorHAnsi" w:eastAsiaTheme="minorHAnsi" w:hAnsiTheme="minorHAnsi" w:cstheme="minorBidi"/>
                <w:sz w:val="22"/>
                <w:szCs w:val="22"/>
              </w:rPr>
              <w:object w:dxaOrig="300" w:dyaOrig="270">
                <v:shape id="_x0000_i1043" type="#_x0000_t75" style="width:15pt;height:13.5pt" o:ole="">
                  <v:imagedata r:id="rId12" o:title=""/>
                </v:shape>
                <o:OLEObject Type="Embed" ProgID="" ShapeID="_x0000_i1043" DrawAspect="Content" ObjectID="_1331553206" r:id="rId33"/>
              </w:object>
            </w:r>
          </w:p>
        </w:tc>
        <w:tc>
          <w:tcPr>
            <w:tcW w:w="5746" w:type="dxa"/>
          </w:tcPr>
          <w:p w:rsidR="00A33D1F" w:rsidRDefault="00A33D1F" w:rsidP="0082153E">
            <w:pPr>
              <w:rPr>
                <w:rFonts w:ascii="Arial" w:hAnsi="Arial" w:cs="Arial"/>
              </w:rPr>
            </w:pPr>
          </w:p>
          <w:p w:rsidR="0082153E" w:rsidRDefault="00E1155B" w:rsidP="0082153E">
            <w:pPr>
              <w:rPr>
                <w:rFonts w:ascii="Arial" w:hAnsi="Arial" w:cs="Arial"/>
              </w:rPr>
            </w:pPr>
            <w:r>
              <w:rPr>
                <w:rFonts w:ascii="Arial" w:hAnsi="Arial" w:cs="Arial"/>
              </w:rPr>
              <w:t>The CBUC takes notice</w:t>
            </w:r>
            <w:r w:rsidR="00B3011B">
              <w:rPr>
                <w:rFonts w:ascii="Arial" w:hAnsi="Arial" w:cs="Arial"/>
              </w:rPr>
              <w:t xml:space="preserve"> that roughly $7</w:t>
            </w:r>
            <w:r w:rsidR="0082153E">
              <w:rPr>
                <w:rFonts w:ascii="Arial" w:hAnsi="Arial" w:cs="Arial"/>
              </w:rPr>
              <w:t xml:space="preserve">50K </w:t>
            </w:r>
            <w:r w:rsidR="00B3011B">
              <w:rPr>
                <w:rFonts w:ascii="Arial" w:hAnsi="Arial" w:cs="Arial"/>
              </w:rPr>
              <w:t xml:space="preserve">is a minimum </w:t>
            </w:r>
            <w:r w:rsidR="0082153E">
              <w:rPr>
                <w:rFonts w:ascii="Arial" w:hAnsi="Arial" w:cs="Arial"/>
              </w:rPr>
              <w:t xml:space="preserve">startup </w:t>
            </w:r>
            <w:r w:rsidR="00B3011B">
              <w:rPr>
                <w:rFonts w:ascii="Arial" w:hAnsi="Arial" w:cs="Arial"/>
              </w:rPr>
              <w:t>projection that can only leverage a strategy of outsourcing.  This is the cheapest approach and could possibly be the least path of resistance.  Therefore, all policy decisions made should be mindful of this use case.</w:t>
            </w:r>
          </w:p>
          <w:p w:rsidR="0082153E" w:rsidRPr="00FE7980" w:rsidRDefault="0082153E" w:rsidP="0082153E"/>
        </w:tc>
      </w:tr>
      <w:tr w:rsidR="0082153E" w:rsidRPr="00AA632F" w:rsidTr="00A33D1F">
        <w:trPr>
          <w:cantSplit/>
          <w:jc w:val="center"/>
        </w:trPr>
        <w:tc>
          <w:tcPr>
            <w:tcW w:w="3316" w:type="dxa"/>
            <w:vAlign w:val="center"/>
          </w:tcPr>
          <w:p w:rsidR="0082153E" w:rsidRPr="00AA632F" w:rsidRDefault="0082153E" w:rsidP="0012702D">
            <w:pPr>
              <w:rPr>
                <w:rFonts w:ascii="Arial" w:hAnsi="Arial" w:cs="Arial"/>
              </w:rPr>
            </w:pPr>
            <w:r>
              <w:rPr>
                <w:rFonts w:ascii="Arial" w:hAnsi="Arial" w:cs="Arial"/>
              </w:rPr>
              <w:t>Continuity Planning</w:t>
            </w:r>
          </w:p>
        </w:tc>
        <w:tc>
          <w:tcPr>
            <w:tcW w:w="1530" w:type="dxa"/>
            <w:vAlign w:val="center"/>
          </w:tcPr>
          <w:p w:rsidR="0082153E" w:rsidRPr="00FE7980" w:rsidRDefault="00E1155B" w:rsidP="0012702D">
            <w:pPr>
              <w:jc w:val="center"/>
            </w:pPr>
            <w:r w:rsidRPr="00FE7980">
              <w:rPr>
                <w:rFonts w:asciiTheme="minorHAnsi" w:eastAsiaTheme="minorHAnsi" w:hAnsiTheme="minorHAnsi" w:cstheme="minorBidi"/>
                <w:sz w:val="22"/>
                <w:szCs w:val="22"/>
              </w:rPr>
              <w:object w:dxaOrig="300" w:dyaOrig="270">
                <v:shape id="_x0000_i1044" type="#_x0000_t75" style="width:15pt;height:13.5pt" o:ole="">
                  <v:imagedata r:id="rId12" o:title=""/>
                </v:shape>
                <o:OLEObject Type="Embed" ProgID="" ShapeID="_x0000_i1044" DrawAspect="Content" ObjectID="_1331553207" r:id="rId34"/>
              </w:object>
            </w:r>
          </w:p>
        </w:tc>
        <w:tc>
          <w:tcPr>
            <w:tcW w:w="5746" w:type="dxa"/>
          </w:tcPr>
          <w:p w:rsidR="00A33D1F" w:rsidRDefault="00A33D1F" w:rsidP="0082153E">
            <w:pPr>
              <w:rPr>
                <w:rFonts w:ascii="Arial" w:hAnsi="Arial" w:cs="Arial"/>
              </w:rPr>
            </w:pPr>
          </w:p>
          <w:p w:rsidR="0082153E" w:rsidRDefault="00E1155B" w:rsidP="0082153E">
            <w:pPr>
              <w:rPr>
                <w:rFonts w:ascii="Arial" w:hAnsi="Arial" w:cs="Arial"/>
              </w:rPr>
            </w:pPr>
            <w:r>
              <w:rPr>
                <w:rFonts w:ascii="Arial" w:hAnsi="Arial" w:cs="Arial"/>
              </w:rPr>
              <w:t>T</w:t>
            </w:r>
            <w:r w:rsidR="00B3011B">
              <w:rPr>
                <w:rFonts w:ascii="Arial" w:hAnsi="Arial" w:cs="Arial"/>
              </w:rPr>
              <w:t>he CBUC would prefer to see near 100% adoption across all aspects of continuity planning.</w:t>
            </w:r>
          </w:p>
          <w:p w:rsidR="00A33D1F" w:rsidRPr="00FE7980" w:rsidRDefault="00A33D1F" w:rsidP="0082153E"/>
        </w:tc>
      </w:tr>
      <w:tr w:rsidR="0082153E" w:rsidRPr="00AA632F" w:rsidTr="00A33D1F">
        <w:trPr>
          <w:cantSplit/>
          <w:jc w:val="center"/>
        </w:trPr>
        <w:tc>
          <w:tcPr>
            <w:tcW w:w="3316" w:type="dxa"/>
            <w:vAlign w:val="center"/>
          </w:tcPr>
          <w:p w:rsidR="0082153E" w:rsidRPr="00AA632F" w:rsidRDefault="0082153E" w:rsidP="0012702D">
            <w:pPr>
              <w:rPr>
                <w:rFonts w:ascii="Arial" w:hAnsi="Arial" w:cs="Arial"/>
              </w:rPr>
            </w:pPr>
            <w:r>
              <w:rPr>
                <w:rFonts w:ascii="Arial" w:hAnsi="Arial" w:cs="Arial"/>
              </w:rPr>
              <w:t>Other</w:t>
            </w:r>
          </w:p>
        </w:tc>
        <w:tc>
          <w:tcPr>
            <w:tcW w:w="1530" w:type="dxa"/>
            <w:vAlign w:val="center"/>
          </w:tcPr>
          <w:p w:rsidR="0082153E" w:rsidRPr="00FE7980" w:rsidRDefault="0082153E" w:rsidP="0012702D">
            <w:pPr>
              <w:jc w:val="center"/>
            </w:pPr>
            <w:r w:rsidRPr="00FE7980">
              <w:rPr>
                <w:rFonts w:asciiTheme="minorHAnsi" w:eastAsiaTheme="minorHAnsi" w:hAnsiTheme="minorHAnsi" w:cstheme="minorBidi"/>
                <w:sz w:val="22"/>
                <w:szCs w:val="22"/>
              </w:rPr>
              <w:object w:dxaOrig="315" w:dyaOrig="285">
                <v:shape id="_x0000_i1039" type="#_x0000_t75" style="width:15.75pt;height:14.25pt" o:ole="">
                  <v:imagedata r:id="rId10" o:title=""/>
                </v:shape>
                <o:OLEObject Type="Embed" ProgID="" ShapeID="_x0000_i1039" DrawAspect="Content" ObjectID="_1331553208" r:id="rId35"/>
              </w:object>
            </w:r>
          </w:p>
        </w:tc>
        <w:tc>
          <w:tcPr>
            <w:tcW w:w="5746" w:type="dxa"/>
          </w:tcPr>
          <w:p w:rsidR="00A33D1F" w:rsidRDefault="00A33D1F" w:rsidP="00A33D1F">
            <w:pPr>
              <w:rPr>
                <w:rFonts w:ascii="Arial" w:hAnsi="Arial" w:cs="Arial"/>
              </w:rPr>
            </w:pPr>
          </w:p>
          <w:p w:rsidR="00A33D1F" w:rsidRDefault="00A33D1F" w:rsidP="00A33D1F">
            <w:pPr>
              <w:rPr>
                <w:rFonts w:ascii="Arial" w:hAnsi="Arial" w:cs="Arial"/>
              </w:rPr>
            </w:pPr>
            <w:r>
              <w:rPr>
                <w:rFonts w:ascii="Arial" w:hAnsi="Arial" w:cs="Arial"/>
              </w:rPr>
              <w:t>No Comments</w:t>
            </w:r>
          </w:p>
          <w:p w:rsidR="0082153E" w:rsidRPr="00FE7980" w:rsidRDefault="0082153E" w:rsidP="0082153E"/>
        </w:tc>
      </w:tr>
    </w:tbl>
    <w:p w:rsidR="000D6DA1" w:rsidRDefault="000D6DA1" w:rsidP="008D075A">
      <w:pPr>
        <w:rPr>
          <w:rFonts w:ascii="Arial" w:hAnsi="Arial" w:cs="Arial"/>
          <w:sz w:val="20"/>
          <w:szCs w:val="20"/>
        </w:rPr>
      </w:pPr>
    </w:p>
    <w:p w:rsidR="000D6DA1" w:rsidRDefault="000D6DA1" w:rsidP="008D075A">
      <w:pPr>
        <w:rPr>
          <w:rFonts w:ascii="Arial" w:hAnsi="Arial" w:cs="Arial"/>
          <w:sz w:val="20"/>
          <w:szCs w:val="20"/>
        </w:rPr>
      </w:pPr>
    </w:p>
    <w:sectPr w:rsidR="000D6DA1" w:rsidSect="004D3EFA">
      <w:footerReference w:type="default" r:id="rId36"/>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567" w:rsidRDefault="00A74567" w:rsidP="004D3EFA">
      <w:pPr>
        <w:spacing w:line="240" w:lineRule="auto"/>
      </w:pPr>
      <w:r>
        <w:separator/>
      </w:r>
    </w:p>
  </w:endnote>
  <w:endnote w:type="continuationSeparator" w:id="0">
    <w:p w:rsidR="00A74567" w:rsidRDefault="00A74567" w:rsidP="004D3E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3188"/>
      <w:docPartObj>
        <w:docPartGallery w:val="Page Numbers (Bottom of Page)"/>
        <w:docPartUnique/>
      </w:docPartObj>
    </w:sdtPr>
    <w:sdtContent>
      <w:p w:rsidR="004D3EFA" w:rsidRDefault="006C78A3">
        <w:pPr>
          <w:pStyle w:val="Footer"/>
          <w:jc w:val="right"/>
        </w:pPr>
        <w:fldSimple w:instr=" PAGE   \* MERGEFORMAT ">
          <w:r w:rsidR="00E4377B">
            <w:rPr>
              <w:noProof/>
            </w:rPr>
            <w:t>2</w:t>
          </w:r>
        </w:fldSimple>
      </w:p>
    </w:sdtContent>
  </w:sdt>
  <w:p w:rsidR="004D3EFA" w:rsidRDefault="004D3E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567" w:rsidRDefault="00A74567" w:rsidP="004D3EFA">
      <w:pPr>
        <w:spacing w:line="240" w:lineRule="auto"/>
      </w:pPr>
      <w:r>
        <w:separator/>
      </w:r>
    </w:p>
  </w:footnote>
  <w:footnote w:type="continuationSeparator" w:id="0">
    <w:p w:rsidR="00A74567" w:rsidRDefault="00A74567" w:rsidP="004D3EF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63DB"/>
    <w:multiLevelType w:val="hybridMultilevel"/>
    <w:tmpl w:val="36A2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53BC1"/>
    <w:multiLevelType w:val="hybridMultilevel"/>
    <w:tmpl w:val="3B20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82346"/>
    <w:multiLevelType w:val="hybridMultilevel"/>
    <w:tmpl w:val="C14895B8"/>
    <w:lvl w:ilvl="0" w:tplc="AD90E64A">
      <w:start w:val="16"/>
      <w:numFmt w:val="bullet"/>
      <w:lvlText w:val="-"/>
      <w:lvlJc w:val="left"/>
      <w:pPr>
        <w:ind w:left="750" w:hanging="360"/>
      </w:pPr>
      <w:rPr>
        <w:rFonts w:ascii="Arial Rounded MT Bold" w:eastAsiaTheme="minorHAnsi" w:hAnsi="Arial Rounded MT Bold" w:cstheme="minorBidi"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236F23A1"/>
    <w:multiLevelType w:val="hybridMultilevel"/>
    <w:tmpl w:val="0930F446"/>
    <w:lvl w:ilvl="0" w:tplc="D042FB3C">
      <w:start w:val="1"/>
      <w:numFmt w:val="bullet"/>
      <w:lvlText w:val="•"/>
      <w:lvlJc w:val="left"/>
      <w:pPr>
        <w:tabs>
          <w:tab w:val="num" w:pos="720"/>
        </w:tabs>
        <w:ind w:left="720" w:hanging="360"/>
      </w:pPr>
      <w:rPr>
        <w:rFonts w:ascii="Arial" w:hAnsi="Arial" w:hint="default"/>
      </w:rPr>
    </w:lvl>
    <w:lvl w:ilvl="1" w:tplc="F15047EE" w:tentative="1">
      <w:start w:val="1"/>
      <w:numFmt w:val="bullet"/>
      <w:lvlText w:val="•"/>
      <w:lvlJc w:val="left"/>
      <w:pPr>
        <w:tabs>
          <w:tab w:val="num" w:pos="1440"/>
        </w:tabs>
        <w:ind w:left="1440" w:hanging="360"/>
      </w:pPr>
      <w:rPr>
        <w:rFonts w:ascii="Arial" w:hAnsi="Arial" w:hint="default"/>
      </w:rPr>
    </w:lvl>
    <w:lvl w:ilvl="2" w:tplc="F97A4132" w:tentative="1">
      <w:start w:val="1"/>
      <w:numFmt w:val="bullet"/>
      <w:lvlText w:val="•"/>
      <w:lvlJc w:val="left"/>
      <w:pPr>
        <w:tabs>
          <w:tab w:val="num" w:pos="2160"/>
        </w:tabs>
        <w:ind w:left="2160" w:hanging="360"/>
      </w:pPr>
      <w:rPr>
        <w:rFonts w:ascii="Arial" w:hAnsi="Arial" w:hint="default"/>
      </w:rPr>
    </w:lvl>
    <w:lvl w:ilvl="3" w:tplc="788ACE6E" w:tentative="1">
      <w:start w:val="1"/>
      <w:numFmt w:val="bullet"/>
      <w:lvlText w:val="•"/>
      <w:lvlJc w:val="left"/>
      <w:pPr>
        <w:tabs>
          <w:tab w:val="num" w:pos="2880"/>
        </w:tabs>
        <w:ind w:left="2880" w:hanging="360"/>
      </w:pPr>
      <w:rPr>
        <w:rFonts w:ascii="Arial" w:hAnsi="Arial" w:hint="default"/>
      </w:rPr>
    </w:lvl>
    <w:lvl w:ilvl="4" w:tplc="095A2856" w:tentative="1">
      <w:start w:val="1"/>
      <w:numFmt w:val="bullet"/>
      <w:lvlText w:val="•"/>
      <w:lvlJc w:val="left"/>
      <w:pPr>
        <w:tabs>
          <w:tab w:val="num" w:pos="3600"/>
        </w:tabs>
        <w:ind w:left="3600" w:hanging="360"/>
      </w:pPr>
      <w:rPr>
        <w:rFonts w:ascii="Arial" w:hAnsi="Arial" w:hint="default"/>
      </w:rPr>
    </w:lvl>
    <w:lvl w:ilvl="5" w:tplc="B664BC3E" w:tentative="1">
      <w:start w:val="1"/>
      <w:numFmt w:val="bullet"/>
      <w:lvlText w:val="•"/>
      <w:lvlJc w:val="left"/>
      <w:pPr>
        <w:tabs>
          <w:tab w:val="num" w:pos="4320"/>
        </w:tabs>
        <w:ind w:left="4320" w:hanging="360"/>
      </w:pPr>
      <w:rPr>
        <w:rFonts w:ascii="Arial" w:hAnsi="Arial" w:hint="default"/>
      </w:rPr>
    </w:lvl>
    <w:lvl w:ilvl="6" w:tplc="34A8A04A" w:tentative="1">
      <w:start w:val="1"/>
      <w:numFmt w:val="bullet"/>
      <w:lvlText w:val="•"/>
      <w:lvlJc w:val="left"/>
      <w:pPr>
        <w:tabs>
          <w:tab w:val="num" w:pos="5040"/>
        </w:tabs>
        <w:ind w:left="5040" w:hanging="360"/>
      </w:pPr>
      <w:rPr>
        <w:rFonts w:ascii="Arial" w:hAnsi="Arial" w:hint="default"/>
      </w:rPr>
    </w:lvl>
    <w:lvl w:ilvl="7" w:tplc="B9F8F10E" w:tentative="1">
      <w:start w:val="1"/>
      <w:numFmt w:val="bullet"/>
      <w:lvlText w:val="•"/>
      <w:lvlJc w:val="left"/>
      <w:pPr>
        <w:tabs>
          <w:tab w:val="num" w:pos="5760"/>
        </w:tabs>
        <w:ind w:left="5760" w:hanging="360"/>
      </w:pPr>
      <w:rPr>
        <w:rFonts w:ascii="Arial" w:hAnsi="Arial" w:hint="default"/>
      </w:rPr>
    </w:lvl>
    <w:lvl w:ilvl="8" w:tplc="2FB22448" w:tentative="1">
      <w:start w:val="1"/>
      <w:numFmt w:val="bullet"/>
      <w:lvlText w:val="•"/>
      <w:lvlJc w:val="left"/>
      <w:pPr>
        <w:tabs>
          <w:tab w:val="num" w:pos="6480"/>
        </w:tabs>
        <w:ind w:left="6480" w:hanging="360"/>
      </w:pPr>
      <w:rPr>
        <w:rFonts w:ascii="Arial" w:hAnsi="Arial" w:hint="default"/>
      </w:rPr>
    </w:lvl>
  </w:abstractNum>
  <w:abstractNum w:abstractNumId="4">
    <w:nsid w:val="268629F6"/>
    <w:multiLevelType w:val="hybridMultilevel"/>
    <w:tmpl w:val="22E2AB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15144A"/>
    <w:multiLevelType w:val="hybridMultilevel"/>
    <w:tmpl w:val="4286629A"/>
    <w:lvl w:ilvl="0" w:tplc="AD90E64A">
      <w:start w:val="16"/>
      <w:numFmt w:val="bullet"/>
      <w:lvlText w:val="-"/>
      <w:lvlJc w:val="left"/>
      <w:pPr>
        <w:ind w:left="720" w:hanging="360"/>
      </w:pPr>
      <w:rPr>
        <w:rFonts w:ascii="Arial Rounded MT Bold" w:eastAsiaTheme="minorHAnsi" w:hAnsi="Arial Rounded MT Bol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D60C4"/>
    <w:multiLevelType w:val="hybridMultilevel"/>
    <w:tmpl w:val="88EEA714"/>
    <w:lvl w:ilvl="0" w:tplc="13E493AE">
      <w:start w:val="1"/>
      <w:numFmt w:val="lowerLetter"/>
      <w:lvlText w:val="%1)"/>
      <w:lvlJc w:val="left"/>
      <w:pPr>
        <w:ind w:left="360" w:hanging="360"/>
      </w:pPr>
      <w:rPr>
        <w:rFonts w:ascii="Tahoma" w:eastAsia="Times New Roman" w:hAnsi="Tahoma" w:cs="Courie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8E62B6"/>
    <w:multiLevelType w:val="hybridMultilevel"/>
    <w:tmpl w:val="4A92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025C65"/>
    <w:multiLevelType w:val="hybridMultilevel"/>
    <w:tmpl w:val="CAA223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0A7900"/>
    <w:multiLevelType w:val="hybridMultilevel"/>
    <w:tmpl w:val="1FDA56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2E5500"/>
    <w:multiLevelType w:val="hybridMultilevel"/>
    <w:tmpl w:val="22E2AB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315E33"/>
    <w:multiLevelType w:val="hybridMultilevel"/>
    <w:tmpl w:val="22E2AB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2C655F"/>
    <w:multiLevelType w:val="hybridMultilevel"/>
    <w:tmpl w:val="655C0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F608E"/>
    <w:multiLevelType w:val="hybridMultilevel"/>
    <w:tmpl w:val="012678D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nsid w:val="4BA53848"/>
    <w:multiLevelType w:val="hybridMultilevel"/>
    <w:tmpl w:val="C3F6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E46628"/>
    <w:multiLevelType w:val="hybridMultilevel"/>
    <w:tmpl w:val="7186A8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9F2F32"/>
    <w:multiLevelType w:val="hybridMultilevel"/>
    <w:tmpl w:val="7C5E9E3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nsid w:val="56FD7243"/>
    <w:multiLevelType w:val="hybridMultilevel"/>
    <w:tmpl w:val="A72E06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9445C73"/>
    <w:multiLevelType w:val="hybridMultilevel"/>
    <w:tmpl w:val="D4F2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753335"/>
    <w:multiLevelType w:val="hybridMultilevel"/>
    <w:tmpl w:val="8EFE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3D2DC6"/>
    <w:multiLevelType w:val="hybridMultilevel"/>
    <w:tmpl w:val="7AC40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E7D1A36"/>
    <w:multiLevelType w:val="hybridMultilevel"/>
    <w:tmpl w:val="C92AF572"/>
    <w:lvl w:ilvl="0" w:tplc="60EA6D20">
      <w:start w:val="1"/>
      <w:numFmt w:val="decimal"/>
      <w:lvlText w:val="%1."/>
      <w:lvlJc w:val="left"/>
      <w:pPr>
        <w:ind w:left="390" w:hanging="360"/>
      </w:pPr>
      <w:rPr>
        <w:rFonts w:hint="default"/>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2">
    <w:nsid w:val="6C2F2732"/>
    <w:multiLevelType w:val="hybridMultilevel"/>
    <w:tmpl w:val="96581D88"/>
    <w:lvl w:ilvl="0" w:tplc="7062BC3A">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D96E24"/>
    <w:multiLevelType w:val="hybridMultilevel"/>
    <w:tmpl w:val="643A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144043"/>
    <w:multiLevelType w:val="hybridMultilevel"/>
    <w:tmpl w:val="E724D60E"/>
    <w:lvl w:ilvl="0" w:tplc="D482169C">
      <w:start w:val="1"/>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5">
    <w:nsid w:val="7DAB670D"/>
    <w:multiLevelType w:val="hybridMultilevel"/>
    <w:tmpl w:val="524A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3510F1"/>
    <w:multiLevelType w:val="hybridMultilevel"/>
    <w:tmpl w:val="2EE43294"/>
    <w:lvl w:ilvl="0" w:tplc="B10CBAC8">
      <w:start w:val="1"/>
      <w:numFmt w:val="bullet"/>
      <w:lvlText w:val="•"/>
      <w:lvlJc w:val="left"/>
      <w:pPr>
        <w:tabs>
          <w:tab w:val="num" w:pos="720"/>
        </w:tabs>
        <w:ind w:left="720" w:hanging="360"/>
      </w:pPr>
      <w:rPr>
        <w:rFonts w:ascii="Arial" w:hAnsi="Arial" w:hint="default"/>
      </w:rPr>
    </w:lvl>
    <w:lvl w:ilvl="1" w:tplc="10ACEE86">
      <w:start w:val="1648"/>
      <w:numFmt w:val="bullet"/>
      <w:lvlText w:val="–"/>
      <w:lvlJc w:val="left"/>
      <w:pPr>
        <w:tabs>
          <w:tab w:val="num" w:pos="1440"/>
        </w:tabs>
        <w:ind w:left="1440" w:hanging="360"/>
      </w:pPr>
      <w:rPr>
        <w:rFonts w:ascii="Arial" w:hAnsi="Arial" w:hint="default"/>
      </w:rPr>
    </w:lvl>
    <w:lvl w:ilvl="2" w:tplc="2BAA90D0">
      <w:start w:val="1"/>
      <w:numFmt w:val="bullet"/>
      <w:lvlText w:val="•"/>
      <w:lvlJc w:val="left"/>
      <w:pPr>
        <w:tabs>
          <w:tab w:val="num" w:pos="2160"/>
        </w:tabs>
        <w:ind w:left="2160" w:hanging="360"/>
      </w:pPr>
      <w:rPr>
        <w:rFonts w:ascii="Arial" w:hAnsi="Arial" w:hint="default"/>
      </w:rPr>
    </w:lvl>
    <w:lvl w:ilvl="3" w:tplc="14706C18" w:tentative="1">
      <w:start w:val="1"/>
      <w:numFmt w:val="bullet"/>
      <w:lvlText w:val="•"/>
      <w:lvlJc w:val="left"/>
      <w:pPr>
        <w:tabs>
          <w:tab w:val="num" w:pos="2880"/>
        </w:tabs>
        <w:ind w:left="2880" w:hanging="360"/>
      </w:pPr>
      <w:rPr>
        <w:rFonts w:ascii="Arial" w:hAnsi="Arial" w:hint="default"/>
      </w:rPr>
    </w:lvl>
    <w:lvl w:ilvl="4" w:tplc="3500C9B2" w:tentative="1">
      <w:start w:val="1"/>
      <w:numFmt w:val="bullet"/>
      <w:lvlText w:val="•"/>
      <w:lvlJc w:val="left"/>
      <w:pPr>
        <w:tabs>
          <w:tab w:val="num" w:pos="3600"/>
        </w:tabs>
        <w:ind w:left="3600" w:hanging="360"/>
      </w:pPr>
      <w:rPr>
        <w:rFonts w:ascii="Arial" w:hAnsi="Arial" w:hint="default"/>
      </w:rPr>
    </w:lvl>
    <w:lvl w:ilvl="5" w:tplc="5962A112" w:tentative="1">
      <w:start w:val="1"/>
      <w:numFmt w:val="bullet"/>
      <w:lvlText w:val="•"/>
      <w:lvlJc w:val="left"/>
      <w:pPr>
        <w:tabs>
          <w:tab w:val="num" w:pos="4320"/>
        </w:tabs>
        <w:ind w:left="4320" w:hanging="360"/>
      </w:pPr>
      <w:rPr>
        <w:rFonts w:ascii="Arial" w:hAnsi="Arial" w:hint="default"/>
      </w:rPr>
    </w:lvl>
    <w:lvl w:ilvl="6" w:tplc="C83AD664" w:tentative="1">
      <w:start w:val="1"/>
      <w:numFmt w:val="bullet"/>
      <w:lvlText w:val="•"/>
      <w:lvlJc w:val="left"/>
      <w:pPr>
        <w:tabs>
          <w:tab w:val="num" w:pos="5040"/>
        </w:tabs>
        <w:ind w:left="5040" w:hanging="360"/>
      </w:pPr>
      <w:rPr>
        <w:rFonts w:ascii="Arial" w:hAnsi="Arial" w:hint="default"/>
      </w:rPr>
    </w:lvl>
    <w:lvl w:ilvl="7" w:tplc="676624B6" w:tentative="1">
      <w:start w:val="1"/>
      <w:numFmt w:val="bullet"/>
      <w:lvlText w:val="•"/>
      <w:lvlJc w:val="left"/>
      <w:pPr>
        <w:tabs>
          <w:tab w:val="num" w:pos="5760"/>
        </w:tabs>
        <w:ind w:left="5760" w:hanging="360"/>
      </w:pPr>
      <w:rPr>
        <w:rFonts w:ascii="Arial" w:hAnsi="Arial" w:hint="default"/>
      </w:rPr>
    </w:lvl>
    <w:lvl w:ilvl="8" w:tplc="B3DA3332"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4"/>
  </w:num>
  <w:num w:numId="3">
    <w:abstractNumId w:val="6"/>
  </w:num>
  <w:num w:numId="4">
    <w:abstractNumId w:val="17"/>
  </w:num>
  <w:num w:numId="5">
    <w:abstractNumId w:val="22"/>
  </w:num>
  <w:num w:numId="6">
    <w:abstractNumId w:val="9"/>
  </w:num>
  <w:num w:numId="7">
    <w:abstractNumId w:val="12"/>
  </w:num>
  <w:num w:numId="8">
    <w:abstractNumId w:val="15"/>
  </w:num>
  <w:num w:numId="9">
    <w:abstractNumId w:val="13"/>
  </w:num>
  <w:num w:numId="10">
    <w:abstractNumId w:val="21"/>
  </w:num>
  <w:num w:numId="11">
    <w:abstractNumId w:val="11"/>
  </w:num>
  <w:num w:numId="12">
    <w:abstractNumId w:val="4"/>
  </w:num>
  <w:num w:numId="13">
    <w:abstractNumId w:val="8"/>
  </w:num>
  <w:num w:numId="14">
    <w:abstractNumId w:val="20"/>
  </w:num>
  <w:num w:numId="15">
    <w:abstractNumId w:val="26"/>
  </w:num>
  <w:num w:numId="16">
    <w:abstractNumId w:val="3"/>
  </w:num>
  <w:num w:numId="17">
    <w:abstractNumId w:val="1"/>
  </w:num>
  <w:num w:numId="18">
    <w:abstractNumId w:val="18"/>
  </w:num>
  <w:num w:numId="19">
    <w:abstractNumId w:val="14"/>
  </w:num>
  <w:num w:numId="20">
    <w:abstractNumId w:val="0"/>
  </w:num>
  <w:num w:numId="21">
    <w:abstractNumId w:val="5"/>
  </w:num>
  <w:num w:numId="22">
    <w:abstractNumId w:val="2"/>
  </w:num>
  <w:num w:numId="23">
    <w:abstractNumId w:val="7"/>
  </w:num>
  <w:num w:numId="24">
    <w:abstractNumId w:val="25"/>
  </w:num>
  <w:num w:numId="25">
    <w:abstractNumId w:val="16"/>
  </w:num>
  <w:num w:numId="26">
    <w:abstractNumId w:val="19"/>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90563"/>
    <w:rsid w:val="000035B8"/>
    <w:rsid w:val="00020768"/>
    <w:rsid w:val="000259D5"/>
    <w:rsid w:val="000331AC"/>
    <w:rsid w:val="000335BC"/>
    <w:rsid w:val="00045860"/>
    <w:rsid w:val="00056253"/>
    <w:rsid w:val="00067690"/>
    <w:rsid w:val="00073676"/>
    <w:rsid w:val="00074B3D"/>
    <w:rsid w:val="000A7DC4"/>
    <w:rsid w:val="000B4EA5"/>
    <w:rsid w:val="000D6DA1"/>
    <w:rsid w:val="000E08F8"/>
    <w:rsid w:val="00100211"/>
    <w:rsid w:val="00100BA1"/>
    <w:rsid w:val="0010292B"/>
    <w:rsid w:val="00110AC3"/>
    <w:rsid w:val="0013266C"/>
    <w:rsid w:val="00133D01"/>
    <w:rsid w:val="00136989"/>
    <w:rsid w:val="00152D9C"/>
    <w:rsid w:val="0015477D"/>
    <w:rsid w:val="00157854"/>
    <w:rsid w:val="00160448"/>
    <w:rsid w:val="00167C79"/>
    <w:rsid w:val="00180FE4"/>
    <w:rsid w:val="001E3DFE"/>
    <w:rsid w:val="001E4BC1"/>
    <w:rsid w:val="00207167"/>
    <w:rsid w:val="00210FA0"/>
    <w:rsid w:val="002119FB"/>
    <w:rsid w:val="0021341C"/>
    <w:rsid w:val="00214D93"/>
    <w:rsid w:val="002267F2"/>
    <w:rsid w:val="00230910"/>
    <w:rsid w:val="00232E4B"/>
    <w:rsid w:val="00254326"/>
    <w:rsid w:val="00262285"/>
    <w:rsid w:val="002912A4"/>
    <w:rsid w:val="002937AC"/>
    <w:rsid w:val="002941DD"/>
    <w:rsid w:val="002C4AC4"/>
    <w:rsid w:val="002C5EEB"/>
    <w:rsid w:val="002C7A12"/>
    <w:rsid w:val="002D6DF4"/>
    <w:rsid w:val="002E5153"/>
    <w:rsid w:val="002E52D3"/>
    <w:rsid w:val="002F084E"/>
    <w:rsid w:val="00302DE6"/>
    <w:rsid w:val="0030749F"/>
    <w:rsid w:val="003139AE"/>
    <w:rsid w:val="00335F7B"/>
    <w:rsid w:val="00341323"/>
    <w:rsid w:val="00342B79"/>
    <w:rsid w:val="003635DF"/>
    <w:rsid w:val="003736D1"/>
    <w:rsid w:val="00377AC6"/>
    <w:rsid w:val="00380B2C"/>
    <w:rsid w:val="00382B71"/>
    <w:rsid w:val="003A5BA0"/>
    <w:rsid w:val="003B3B73"/>
    <w:rsid w:val="003B5524"/>
    <w:rsid w:val="003D7804"/>
    <w:rsid w:val="003E27DA"/>
    <w:rsid w:val="0040606C"/>
    <w:rsid w:val="00413C6E"/>
    <w:rsid w:val="004235EC"/>
    <w:rsid w:val="004367CF"/>
    <w:rsid w:val="00440015"/>
    <w:rsid w:val="00445E7A"/>
    <w:rsid w:val="004750FA"/>
    <w:rsid w:val="004811C6"/>
    <w:rsid w:val="004873BB"/>
    <w:rsid w:val="00491A2F"/>
    <w:rsid w:val="00492AD5"/>
    <w:rsid w:val="004A3911"/>
    <w:rsid w:val="004B0DBD"/>
    <w:rsid w:val="004B349D"/>
    <w:rsid w:val="004B543E"/>
    <w:rsid w:val="004B6760"/>
    <w:rsid w:val="004B6995"/>
    <w:rsid w:val="004D3EFA"/>
    <w:rsid w:val="004F6B65"/>
    <w:rsid w:val="00506DA9"/>
    <w:rsid w:val="00517FA4"/>
    <w:rsid w:val="0052047B"/>
    <w:rsid w:val="005402FE"/>
    <w:rsid w:val="00556B53"/>
    <w:rsid w:val="00557F41"/>
    <w:rsid w:val="005652F1"/>
    <w:rsid w:val="005C600F"/>
    <w:rsid w:val="005C72D8"/>
    <w:rsid w:val="005E063B"/>
    <w:rsid w:val="00607629"/>
    <w:rsid w:val="00617AE2"/>
    <w:rsid w:val="006273E2"/>
    <w:rsid w:val="00636EAF"/>
    <w:rsid w:val="00646730"/>
    <w:rsid w:val="006706D7"/>
    <w:rsid w:val="0067239D"/>
    <w:rsid w:val="0067578D"/>
    <w:rsid w:val="00675F76"/>
    <w:rsid w:val="006946AB"/>
    <w:rsid w:val="006A32B9"/>
    <w:rsid w:val="006A7CD9"/>
    <w:rsid w:val="006C6673"/>
    <w:rsid w:val="006C78A3"/>
    <w:rsid w:val="006D3210"/>
    <w:rsid w:val="006E05E5"/>
    <w:rsid w:val="007017F0"/>
    <w:rsid w:val="007054D8"/>
    <w:rsid w:val="007117F0"/>
    <w:rsid w:val="00723312"/>
    <w:rsid w:val="0073619E"/>
    <w:rsid w:val="00736302"/>
    <w:rsid w:val="00736A30"/>
    <w:rsid w:val="00737E8C"/>
    <w:rsid w:val="0075051B"/>
    <w:rsid w:val="0075147D"/>
    <w:rsid w:val="007527F7"/>
    <w:rsid w:val="00756BED"/>
    <w:rsid w:val="007800E0"/>
    <w:rsid w:val="00784349"/>
    <w:rsid w:val="00784A26"/>
    <w:rsid w:val="00794DFE"/>
    <w:rsid w:val="007973CC"/>
    <w:rsid w:val="007C6415"/>
    <w:rsid w:val="007D4298"/>
    <w:rsid w:val="007D48BF"/>
    <w:rsid w:val="007F0DF7"/>
    <w:rsid w:val="00804071"/>
    <w:rsid w:val="008075F1"/>
    <w:rsid w:val="0082153E"/>
    <w:rsid w:val="008240CF"/>
    <w:rsid w:val="00830EFF"/>
    <w:rsid w:val="008356A9"/>
    <w:rsid w:val="00837286"/>
    <w:rsid w:val="00837428"/>
    <w:rsid w:val="008377B8"/>
    <w:rsid w:val="00882725"/>
    <w:rsid w:val="0088397A"/>
    <w:rsid w:val="00887ED3"/>
    <w:rsid w:val="008A65C1"/>
    <w:rsid w:val="008B3A38"/>
    <w:rsid w:val="008B5757"/>
    <w:rsid w:val="008C2CF1"/>
    <w:rsid w:val="008C712C"/>
    <w:rsid w:val="008C7A43"/>
    <w:rsid w:val="008D075A"/>
    <w:rsid w:val="008E342D"/>
    <w:rsid w:val="008E4554"/>
    <w:rsid w:val="008F5D14"/>
    <w:rsid w:val="008F7E70"/>
    <w:rsid w:val="00906F44"/>
    <w:rsid w:val="00907DB9"/>
    <w:rsid w:val="00920CA1"/>
    <w:rsid w:val="009370D5"/>
    <w:rsid w:val="009372A8"/>
    <w:rsid w:val="009472BA"/>
    <w:rsid w:val="00966501"/>
    <w:rsid w:val="00982817"/>
    <w:rsid w:val="00992BDA"/>
    <w:rsid w:val="0099677E"/>
    <w:rsid w:val="009C15F2"/>
    <w:rsid w:val="009C2C29"/>
    <w:rsid w:val="009C725B"/>
    <w:rsid w:val="009C7E29"/>
    <w:rsid w:val="009D75E8"/>
    <w:rsid w:val="009D7AA6"/>
    <w:rsid w:val="009E3B1B"/>
    <w:rsid w:val="009F0B4B"/>
    <w:rsid w:val="009F6659"/>
    <w:rsid w:val="00A04CAA"/>
    <w:rsid w:val="00A106D9"/>
    <w:rsid w:val="00A2395E"/>
    <w:rsid w:val="00A25976"/>
    <w:rsid w:val="00A33D1F"/>
    <w:rsid w:val="00A50529"/>
    <w:rsid w:val="00A60BB3"/>
    <w:rsid w:val="00A613F4"/>
    <w:rsid w:val="00A71147"/>
    <w:rsid w:val="00A74567"/>
    <w:rsid w:val="00A80647"/>
    <w:rsid w:val="00A921ED"/>
    <w:rsid w:val="00AA632F"/>
    <w:rsid w:val="00AC3DEA"/>
    <w:rsid w:val="00AC60B8"/>
    <w:rsid w:val="00AE214D"/>
    <w:rsid w:val="00AF0A91"/>
    <w:rsid w:val="00B01A2C"/>
    <w:rsid w:val="00B05911"/>
    <w:rsid w:val="00B05C9B"/>
    <w:rsid w:val="00B134CA"/>
    <w:rsid w:val="00B137F9"/>
    <w:rsid w:val="00B22DFE"/>
    <w:rsid w:val="00B3011B"/>
    <w:rsid w:val="00B36452"/>
    <w:rsid w:val="00B376C4"/>
    <w:rsid w:val="00B52A86"/>
    <w:rsid w:val="00B52E1E"/>
    <w:rsid w:val="00B54585"/>
    <w:rsid w:val="00B57D7A"/>
    <w:rsid w:val="00B65CC7"/>
    <w:rsid w:val="00B90187"/>
    <w:rsid w:val="00B975BF"/>
    <w:rsid w:val="00BD2828"/>
    <w:rsid w:val="00BD6633"/>
    <w:rsid w:val="00C15DC1"/>
    <w:rsid w:val="00C62219"/>
    <w:rsid w:val="00C85C94"/>
    <w:rsid w:val="00C90563"/>
    <w:rsid w:val="00C972CB"/>
    <w:rsid w:val="00CA3D72"/>
    <w:rsid w:val="00CC2BA8"/>
    <w:rsid w:val="00CC30BA"/>
    <w:rsid w:val="00CD55CB"/>
    <w:rsid w:val="00CE45E2"/>
    <w:rsid w:val="00CE7BC2"/>
    <w:rsid w:val="00D04118"/>
    <w:rsid w:val="00D129E7"/>
    <w:rsid w:val="00D17908"/>
    <w:rsid w:val="00D217A8"/>
    <w:rsid w:val="00D232D6"/>
    <w:rsid w:val="00D26209"/>
    <w:rsid w:val="00D31510"/>
    <w:rsid w:val="00D55B65"/>
    <w:rsid w:val="00D62BFE"/>
    <w:rsid w:val="00D75EEE"/>
    <w:rsid w:val="00D779E3"/>
    <w:rsid w:val="00D87AEC"/>
    <w:rsid w:val="00D935D5"/>
    <w:rsid w:val="00DA3BB3"/>
    <w:rsid w:val="00DB1745"/>
    <w:rsid w:val="00DD0006"/>
    <w:rsid w:val="00DE5863"/>
    <w:rsid w:val="00DF0B1B"/>
    <w:rsid w:val="00E03B30"/>
    <w:rsid w:val="00E1006C"/>
    <w:rsid w:val="00E10BA2"/>
    <w:rsid w:val="00E1155B"/>
    <w:rsid w:val="00E13916"/>
    <w:rsid w:val="00E205D9"/>
    <w:rsid w:val="00E31071"/>
    <w:rsid w:val="00E4377B"/>
    <w:rsid w:val="00E7226B"/>
    <w:rsid w:val="00E77A47"/>
    <w:rsid w:val="00E83E3E"/>
    <w:rsid w:val="00EB78C9"/>
    <w:rsid w:val="00EE5B96"/>
    <w:rsid w:val="00F06C41"/>
    <w:rsid w:val="00F215B1"/>
    <w:rsid w:val="00F4705B"/>
    <w:rsid w:val="00F509E1"/>
    <w:rsid w:val="00F5444F"/>
    <w:rsid w:val="00F73603"/>
    <w:rsid w:val="00F96CD3"/>
    <w:rsid w:val="00FA6B96"/>
    <w:rsid w:val="00FA744D"/>
    <w:rsid w:val="00FB341A"/>
    <w:rsid w:val="00FD03F7"/>
    <w:rsid w:val="00FD4E0C"/>
    <w:rsid w:val="00FE32DA"/>
    <w:rsid w:val="00FE79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D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63"/>
    <w:pPr>
      <w:ind w:left="720"/>
      <w:contextualSpacing/>
    </w:pPr>
  </w:style>
  <w:style w:type="table" w:styleId="TableGrid">
    <w:name w:val="Table Grid"/>
    <w:basedOn w:val="TableNormal"/>
    <w:rsid w:val="00646730"/>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34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49D"/>
    <w:rPr>
      <w:rFonts w:ascii="Tahoma" w:hAnsi="Tahoma" w:cs="Tahoma"/>
      <w:sz w:val="16"/>
      <w:szCs w:val="16"/>
    </w:rPr>
  </w:style>
  <w:style w:type="character" w:customStyle="1" w:styleId="apple-style-span">
    <w:name w:val="apple-style-span"/>
    <w:basedOn w:val="DefaultParagraphFont"/>
    <w:rsid w:val="00133D01"/>
  </w:style>
  <w:style w:type="paragraph" w:styleId="NormalWeb">
    <w:name w:val="Normal (Web)"/>
    <w:basedOn w:val="Normal"/>
    <w:uiPriority w:val="99"/>
    <w:semiHidden/>
    <w:unhideWhenUsed/>
    <w:rsid w:val="00FB34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341A"/>
    <w:rPr>
      <w:b/>
      <w:bCs/>
    </w:rPr>
  </w:style>
  <w:style w:type="character" w:styleId="Hyperlink">
    <w:name w:val="Hyperlink"/>
    <w:basedOn w:val="DefaultParagraphFont"/>
    <w:uiPriority w:val="99"/>
    <w:unhideWhenUsed/>
    <w:rsid w:val="008E342D"/>
    <w:rPr>
      <w:color w:val="0000FF"/>
      <w:u w:val="single"/>
    </w:rPr>
  </w:style>
  <w:style w:type="paragraph" w:styleId="BodyText2">
    <w:name w:val="Body Text 2"/>
    <w:basedOn w:val="Normal"/>
    <w:link w:val="BodyText2Char"/>
    <w:rsid w:val="00B376C4"/>
    <w:pPr>
      <w:spacing w:line="240" w:lineRule="auto"/>
    </w:pPr>
    <w:rPr>
      <w:rFonts w:ascii="Arial" w:eastAsia="Times New Roman" w:hAnsi="Arial" w:cs="Arial"/>
      <w:sz w:val="20"/>
      <w:szCs w:val="24"/>
    </w:rPr>
  </w:style>
  <w:style w:type="character" w:customStyle="1" w:styleId="BodyText2Char">
    <w:name w:val="Body Text 2 Char"/>
    <w:basedOn w:val="DefaultParagraphFont"/>
    <w:link w:val="BodyText2"/>
    <w:rsid w:val="00B376C4"/>
    <w:rPr>
      <w:rFonts w:ascii="Arial" w:eastAsia="Times New Roman" w:hAnsi="Arial" w:cs="Arial"/>
      <w:sz w:val="20"/>
      <w:szCs w:val="24"/>
    </w:rPr>
  </w:style>
  <w:style w:type="character" w:styleId="FollowedHyperlink">
    <w:name w:val="FollowedHyperlink"/>
    <w:basedOn w:val="DefaultParagraphFont"/>
    <w:uiPriority w:val="99"/>
    <w:semiHidden/>
    <w:unhideWhenUsed/>
    <w:rsid w:val="00F5444F"/>
    <w:rPr>
      <w:color w:val="800080" w:themeColor="followedHyperlink"/>
      <w:u w:val="single"/>
    </w:rPr>
  </w:style>
  <w:style w:type="paragraph" w:styleId="Header">
    <w:name w:val="header"/>
    <w:basedOn w:val="Normal"/>
    <w:link w:val="HeaderChar"/>
    <w:uiPriority w:val="99"/>
    <w:semiHidden/>
    <w:unhideWhenUsed/>
    <w:rsid w:val="004D3EF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D3EFA"/>
  </w:style>
  <w:style w:type="paragraph" w:styleId="Footer">
    <w:name w:val="footer"/>
    <w:basedOn w:val="Normal"/>
    <w:link w:val="FooterChar"/>
    <w:uiPriority w:val="99"/>
    <w:unhideWhenUsed/>
    <w:rsid w:val="004D3EFA"/>
    <w:pPr>
      <w:tabs>
        <w:tab w:val="center" w:pos="4680"/>
        <w:tab w:val="right" w:pos="9360"/>
      </w:tabs>
      <w:spacing w:line="240" w:lineRule="auto"/>
    </w:pPr>
  </w:style>
  <w:style w:type="character" w:customStyle="1" w:styleId="FooterChar">
    <w:name w:val="Footer Char"/>
    <w:basedOn w:val="DefaultParagraphFont"/>
    <w:link w:val="Footer"/>
    <w:uiPriority w:val="99"/>
    <w:rsid w:val="004D3EFA"/>
  </w:style>
</w:styles>
</file>

<file path=word/webSettings.xml><?xml version="1.0" encoding="utf-8"?>
<w:webSettings xmlns:r="http://schemas.openxmlformats.org/officeDocument/2006/relationships" xmlns:w="http://schemas.openxmlformats.org/wordprocessingml/2006/main">
  <w:divs>
    <w:div w:id="87820455">
      <w:bodyDiv w:val="1"/>
      <w:marLeft w:val="0"/>
      <w:marRight w:val="0"/>
      <w:marTop w:val="0"/>
      <w:marBottom w:val="0"/>
      <w:divBdr>
        <w:top w:val="none" w:sz="0" w:space="0" w:color="auto"/>
        <w:left w:val="none" w:sz="0" w:space="0" w:color="auto"/>
        <w:bottom w:val="none" w:sz="0" w:space="0" w:color="auto"/>
        <w:right w:val="none" w:sz="0" w:space="0" w:color="auto"/>
      </w:divBdr>
    </w:div>
    <w:div w:id="268657882">
      <w:bodyDiv w:val="1"/>
      <w:marLeft w:val="0"/>
      <w:marRight w:val="0"/>
      <w:marTop w:val="0"/>
      <w:marBottom w:val="0"/>
      <w:divBdr>
        <w:top w:val="none" w:sz="0" w:space="0" w:color="auto"/>
        <w:left w:val="none" w:sz="0" w:space="0" w:color="auto"/>
        <w:bottom w:val="none" w:sz="0" w:space="0" w:color="auto"/>
        <w:right w:val="none" w:sz="0" w:space="0" w:color="auto"/>
      </w:divBdr>
      <w:divsChild>
        <w:div w:id="1004405720">
          <w:marLeft w:val="547"/>
          <w:marRight w:val="0"/>
          <w:marTop w:val="106"/>
          <w:marBottom w:val="0"/>
          <w:divBdr>
            <w:top w:val="none" w:sz="0" w:space="0" w:color="auto"/>
            <w:left w:val="none" w:sz="0" w:space="0" w:color="auto"/>
            <w:bottom w:val="none" w:sz="0" w:space="0" w:color="auto"/>
            <w:right w:val="none" w:sz="0" w:space="0" w:color="auto"/>
          </w:divBdr>
        </w:div>
        <w:div w:id="208345122">
          <w:marLeft w:val="1166"/>
          <w:marRight w:val="0"/>
          <w:marTop w:val="96"/>
          <w:marBottom w:val="0"/>
          <w:divBdr>
            <w:top w:val="none" w:sz="0" w:space="0" w:color="auto"/>
            <w:left w:val="none" w:sz="0" w:space="0" w:color="auto"/>
            <w:bottom w:val="none" w:sz="0" w:space="0" w:color="auto"/>
            <w:right w:val="none" w:sz="0" w:space="0" w:color="auto"/>
          </w:divBdr>
        </w:div>
        <w:div w:id="1443845640">
          <w:marLeft w:val="547"/>
          <w:marRight w:val="0"/>
          <w:marTop w:val="106"/>
          <w:marBottom w:val="0"/>
          <w:divBdr>
            <w:top w:val="none" w:sz="0" w:space="0" w:color="auto"/>
            <w:left w:val="none" w:sz="0" w:space="0" w:color="auto"/>
            <w:bottom w:val="none" w:sz="0" w:space="0" w:color="auto"/>
            <w:right w:val="none" w:sz="0" w:space="0" w:color="auto"/>
          </w:divBdr>
        </w:div>
        <w:div w:id="237902574">
          <w:marLeft w:val="1166"/>
          <w:marRight w:val="0"/>
          <w:marTop w:val="96"/>
          <w:marBottom w:val="0"/>
          <w:divBdr>
            <w:top w:val="none" w:sz="0" w:space="0" w:color="auto"/>
            <w:left w:val="none" w:sz="0" w:space="0" w:color="auto"/>
            <w:bottom w:val="none" w:sz="0" w:space="0" w:color="auto"/>
            <w:right w:val="none" w:sz="0" w:space="0" w:color="auto"/>
          </w:divBdr>
        </w:div>
        <w:div w:id="554270716">
          <w:marLeft w:val="547"/>
          <w:marRight w:val="0"/>
          <w:marTop w:val="106"/>
          <w:marBottom w:val="0"/>
          <w:divBdr>
            <w:top w:val="none" w:sz="0" w:space="0" w:color="auto"/>
            <w:left w:val="none" w:sz="0" w:space="0" w:color="auto"/>
            <w:bottom w:val="none" w:sz="0" w:space="0" w:color="auto"/>
            <w:right w:val="none" w:sz="0" w:space="0" w:color="auto"/>
          </w:divBdr>
        </w:div>
        <w:div w:id="158815935">
          <w:marLeft w:val="1166"/>
          <w:marRight w:val="0"/>
          <w:marTop w:val="96"/>
          <w:marBottom w:val="0"/>
          <w:divBdr>
            <w:top w:val="none" w:sz="0" w:space="0" w:color="auto"/>
            <w:left w:val="none" w:sz="0" w:space="0" w:color="auto"/>
            <w:bottom w:val="none" w:sz="0" w:space="0" w:color="auto"/>
            <w:right w:val="none" w:sz="0" w:space="0" w:color="auto"/>
          </w:divBdr>
        </w:div>
        <w:div w:id="245264929">
          <w:marLeft w:val="1166"/>
          <w:marRight w:val="0"/>
          <w:marTop w:val="96"/>
          <w:marBottom w:val="0"/>
          <w:divBdr>
            <w:top w:val="none" w:sz="0" w:space="0" w:color="auto"/>
            <w:left w:val="none" w:sz="0" w:space="0" w:color="auto"/>
            <w:bottom w:val="none" w:sz="0" w:space="0" w:color="auto"/>
            <w:right w:val="none" w:sz="0" w:space="0" w:color="auto"/>
          </w:divBdr>
        </w:div>
      </w:divsChild>
    </w:div>
    <w:div w:id="317803028">
      <w:bodyDiv w:val="1"/>
      <w:marLeft w:val="0"/>
      <w:marRight w:val="0"/>
      <w:marTop w:val="0"/>
      <w:marBottom w:val="0"/>
      <w:divBdr>
        <w:top w:val="none" w:sz="0" w:space="0" w:color="auto"/>
        <w:left w:val="none" w:sz="0" w:space="0" w:color="auto"/>
        <w:bottom w:val="none" w:sz="0" w:space="0" w:color="auto"/>
        <w:right w:val="none" w:sz="0" w:space="0" w:color="auto"/>
      </w:divBdr>
    </w:div>
    <w:div w:id="808477197">
      <w:bodyDiv w:val="1"/>
      <w:marLeft w:val="0"/>
      <w:marRight w:val="0"/>
      <w:marTop w:val="0"/>
      <w:marBottom w:val="0"/>
      <w:divBdr>
        <w:top w:val="none" w:sz="0" w:space="0" w:color="auto"/>
        <w:left w:val="none" w:sz="0" w:space="0" w:color="auto"/>
        <w:bottom w:val="none" w:sz="0" w:space="0" w:color="auto"/>
        <w:right w:val="none" w:sz="0" w:space="0" w:color="auto"/>
      </w:divBdr>
      <w:divsChild>
        <w:div w:id="590044415">
          <w:marLeft w:val="547"/>
          <w:marRight w:val="0"/>
          <w:marTop w:val="130"/>
          <w:marBottom w:val="0"/>
          <w:divBdr>
            <w:top w:val="none" w:sz="0" w:space="0" w:color="auto"/>
            <w:left w:val="none" w:sz="0" w:space="0" w:color="auto"/>
            <w:bottom w:val="none" w:sz="0" w:space="0" w:color="auto"/>
            <w:right w:val="none" w:sz="0" w:space="0" w:color="auto"/>
          </w:divBdr>
        </w:div>
        <w:div w:id="1175535549">
          <w:marLeft w:val="547"/>
          <w:marRight w:val="0"/>
          <w:marTop w:val="130"/>
          <w:marBottom w:val="0"/>
          <w:divBdr>
            <w:top w:val="none" w:sz="0" w:space="0" w:color="auto"/>
            <w:left w:val="none" w:sz="0" w:space="0" w:color="auto"/>
            <w:bottom w:val="none" w:sz="0" w:space="0" w:color="auto"/>
            <w:right w:val="none" w:sz="0" w:space="0" w:color="auto"/>
          </w:divBdr>
        </w:div>
        <w:div w:id="1074350994">
          <w:marLeft w:val="547"/>
          <w:marRight w:val="0"/>
          <w:marTop w:val="130"/>
          <w:marBottom w:val="0"/>
          <w:divBdr>
            <w:top w:val="none" w:sz="0" w:space="0" w:color="auto"/>
            <w:left w:val="none" w:sz="0" w:space="0" w:color="auto"/>
            <w:bottom w:val="none" w:sz="0" w:space="0" w:color="auto"/>
            <w:right w:val="none" w:sz="0" w:space="0" w:color="auto"/>
          </w:divBdr>
        </w:div>
      </w:divsChild>
    </w:div>
    <w:div w:id="1082409542">
      <w:bodyDiv w:val="1"/>
      <w:marLeft w:val="0"/>
      <w:marRight w:val="0"/>
      <w:marTop w:val="0"/>
      <w:marBottom w:val="0"/>
      <w:divBdr>
        <w:top w:val="none" w:sz="0" w:space="0" w:color="auto"/>
        <w:left w:val="none" w:sz="0" w:space="0" w:color="auto"/>
        <w:bottom w:val="none" w:sz="0" w:space="0" w:color="auto"/>
        <w:right w:val="none" w:sz="0" w:space="0" w:color="auto"/>
      </w:divBdr>
    </w:div>
    <w:div w:id="1442799010">
      <w:bodyDiv w:val="1"/>
      <w:marLeft w:val="0"/>
      <w:marRight w:val="0"/>
      <w:marTop w:val="0"/>
      <w:marBottom w:val="0"/>
      <w:divBdr>
        <w:top w:val="none" w:sz="0" w:space="0" w:color="auto"/>
        <w:left w:val="none" w:sz="0" w:space="0" w:color="auto"/>
        <w:bottom w:val="none" w:sz="0" w:space="0" w:color="auto"/>
        <w:right w:val="none" w:sz="0" w:space="0" w:color="auto"/>
      </w:divBdr>
    </w:div>
    <w:div w:id="1601640236">
      <w:bodyDiv w:val="1"/>
      <w:marLeft w:val="0"/>
      <w:marRight w:val="0"/>
      <w:marTop w:val="0"/>
      <w:marBottom w:val="0"/>
      <w:divBdr>
        <w:top w:val="none" w:sz="0" w:space="0" w:color="auto"/>
        <w:left w:val="none" w:sz="0" w:space="0" w:color="auto"/>
        <w:bottom w:val="none" w:sz="0" w:space="0" w:color="auto"/>
        <w:right w:val="none" w:sz="0" w:space="0" w:color="auto"/>
      </w:divBdr>
    </w:div>
    <w:div w:id="1666012913">
      <w:bodyDiv w:val="1"/>
      <w:marLeft w:val="0"/>
      <w:marRight w:val="0"/>
      <w:marTop w:val="0"/>
      <w:marBottom w:val="0"/>
      <w:divBdr>
        <w:top w:val="none" w:sz="0" w:space="0" w:color="auto"/>
        <w:left w:val="none" w:sz="0" w:space="0" w:color="auto"/>
        <w:bottom w:val="none" w:sz="0" w:space="0" w:color="auto"/>
        <w:right w:val="none" w:sz="0" w:space="0" w:color="auto"/>
      </w:divBdr>
    </w:div>
    <w:div w:id="171272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oleObject" Target="embeddings/oleObject22.bin"/><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oleObject" Target="embeddings/oleObject13.bin"/><Relationship Id="rId33" Type="http://schemas.openxmlformats.org/officeDocument/2006/relationships/oleObject" Target="embeddings/oleObject21.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8.bin"/><Relationship Id="rId29"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12.bin"/><Relationship Id="rId32" Type="http://schemas.openxmlformats.org/officeDocument/2006/relationships/oleObject" Target="embeddings/oleObject20.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oleObject" Target="embeddings/oleObject7.bin"/><Relationship Id="rId31"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5CA6E-EBED-4462-BD3A-1A1FB9AB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BC Position Statement</vt:lpstr>
    </vt:vector>
  </TitlesOfParts>
  <Company>Infinity Portals LLC</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 Position Statement</dc:title>
  <dc:subject/>
  <dc:creator>Berry A Cobb</dc:creator>
  <cp:keywords/>
  <dc:description/>
  <cp:lastModifiedBy>MXR</cp:lastModifiedBy>
  <cp:revision>3</cp:revision>
  <dcterms:created xsi:type="dcterms:W3CDTF">2010-03-31T22:05:00Z</dcterms:created>
  <dcterms:modified xsi:type="dcterms:W3CDTF">2010-03-31T22:06:00Z</dcterms:modified>
</cp:coreProperties>
</file>