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7DE" w:rsidRDefault="004577DE" w:rsidP="00AA1ACE">
      <w:pPr>
        <w:rPr>
          <w:rStyle w:val="notranslate"/>
        </w:rPr>
      </w:pPr>
      <w:bookmarkStart w:id="0" w:name="bkDocIDTemp"/>
      <w:bookmarkEnd w:id="0"/>
      <w:r>
        <w:rPr>
          <w:rStyle w:val="notranslate"/>
        </w:rPr>
        <w:t>Submitted electronically</w:t>
      </w:r>
      <w:r w:rsidR="003F2457">
        <w:rPr>
          <w:rStyle w:val="notranslate"/>
        </w:rPr>
        <w:t>:</w:t>
      </w:r>
    </w:p>
    <w:p w:rsidR="004577DE" w:rsidRDefault="004577DE" w:rsidP="00AA1ACE">
      <w:pPr>
        <w:rPr>
          <w:rStyle w:val="notranslate"/>
        </w:rPr>
      </w:pPr>
      <w:r w:rsidRPr="004577DE">
        <w:rPr>
          <w:rStyle w:val="notranslate"/>
        </w:rPr>
        <w:t>comments-cwg-stewardship-draft-proposal-22apr15@icann.org</w:t>
      </w:r>
    </w:p>
    <w:p w:rsidR="004577DE" w:rsidRDefault="004577DE" w:rsidP="00AA1ACE">
      <w:pPr>
        <w:rPr>
          <w:rStyle w:val="notranslate"/>
        </w:rPr>
      </w:pPr>
    </w:p>
    <w:p w:rsidR="00390443" w:rsidRDefault="00390443" w:rsidP="00AA1ACE">
      <w:pPr>
        <w:rPr>
          <w:rStyle w:val="notranslate"/>
        </w:rPr>
      </w:pPr>
      <w:r>
        <w:rPr>
          <w:rStyle w:val="notranslate"/>
        </w:rPr>
        <w:t>May 22, 2015</w:t>
      </w:r>
    </w:p>
    <w:p w:rsidR="00390443" w:rsidRDefault="00390443" w:rsidP="00AA1ACE">
      <w:pPr>
        <w:rPr>
          <w:rStyle w:val="notranslate"/>
        </w:rPr>
      </w:pPr>
    </w:p>
    <w:p w:rsidR="00390443" w:rsidRDefault="00390443" w:rsidP="00AA1ACE">
      <w:pPr>
        <w:rPr>
          <w:rStyle w:val="notranslate"/>
        </w:rPr>
      </w:pPr>
      <w:r>
        <w:rPr>
          <w:rStyle w:val="notranslate"/>
        </w:rPr>
        <w:t xml:space="preserve">Ms. Grace </w:t>
      </w:r>
      <w:proofErr w:type="spellStart"/>
      <w:r>
        <w:rPr>
          <w:rStyle w:val="notranslate"/>
        </w:rPr>
        <w:t>Abuhamad</w:t>
      </w:r>
      <w:proofErr w:type="spellEnd"/>
    </w:p>
    <w:p w:rsidR="002E05DC" w:rsidRDefault="002E05DC" w:rsidP="00AA1ACE">
      <w:pPr>
        <w:rPr>
          <w:rStyle w:val="notranslate"/>
        </w:rPr>
      </w:pPr>
      <w:r>
        <w:rPr>
          <w:rStyle w:val="notranslate"/>
        </w:rPr>
        <w:t>Public Policy Manager</w:t>
      </w:r>
    </w:p>
    <w:p w:rsidR="002E05DC" w:rsidRDefault="002E05DC" w:rsidP="00AA1ACE">
      <w:pPr>
        <w:rPr>
          <w:rStyle w:val="notranslate"/>
        </w:rPr>
      </w:pPr>
      <w:r>
        <w:rPr>
          <w:rStyle w:val="notranslate"/>
        </w:rPr>
        <w:t>ICANN</w:t>
      </w:r>
    </w:p>
    <w:p w:rsidR="003F2457" w:rsidRDefault="003F2457" w:rsidP="00AA1ACE">
      <w:pPr>
        <w:rPr>
          <w:rStyle w:val="notranslate"/>
        </w:rPr>
      </w:pPr>
      <w:r>
        <w:t>12025 Waterfront Drive, Suite 300</w:t>
      </w:r>
      <w:r>
        <w:br/>
        <w:t>Los Angeles, CA 90094-2536</w:t>
      </w:r>
    </w:p>
    <w:p w:rsidR="004577DE" w:rsidRDefault="004577DE" w:rsidP="00AA1ACE">
      <w:pPr>
        <w:rPr>
          <w:rStyle w:val="notranslate"/>
        </w:rPr>
      </w:pPr>
    </w:p>
    <w:p w:rsidR="002E05DC" w:rsidRDefault="002E05DC" w:rsidP="00AA1ACE">
      <w:pPr>
        <w:rPr>
          <w:rStyle w:val="notranslate"/>
        </w:rPr>
      </w:pPr>
      <w:r>
        <w:rPr>
          <w:rStyle w:val="notranslate"/>
        </w:rPr>
        <w:t xml:space="preserve">Dear Ms. </w:t>
      </w:r>
      <w:proofErr w:type="spellStart"/>
      <w:r>
        <w:rPr>
          <w:rStyle w:val="notranslate"/>
        </w:rPr>
        <w:t>Abuhamad</w:t>
      </w:r>
      <w:proofErr w:type="spellEnd"/>
      <w:r>
        <w:rPr>
          <w:rStyle w:val="notranslate"/>
        </w:rPr>
        <w:t>:</w:t>
      </w:r>
    </w:p>
    <w:p w:rsidR="002E05DC" w:rsidRDefault="002E05DC" w:rsidP="00AA1ACE">
      <w:pPr>
        <w:rPr>
          <w:rStyle w:val="notranslate"/>
        </w:rPr>
      </w:pPr>
    </w:p>
    <w:p w:rsidR="002E05DC" w:rsidRDefault="002E05DC" w:rsidP="00AA1ACE">
      <w:pPr>
        <w:rPr>
          <w:rStyle w:val="notranslate"/>
        </w:rPr>
      </w:pPr>
      <w:r>
        <w:rPr>
          <w:rStyle w:val="notranslate"/>
        </w:rPr>
        <w:t xml:space="preserve">INTA is pleased to submit the attached comments to the </w:t>
      </w:r>
      <w:r w:rsidR="00C576A7">
        <w:t xml:space="preserve">2nd </w:t>
      </w:r>
      <w:r w:rsidR="00C576A7">
        <w:rPr>
          <w:rFonts w:cs="Courier New"/>
        </w:rPr>
        <w:t>Draft Proposal of the Cross Community Working Group (CWG) to Develop an IANA Stewardship Transition Proposal on Naming Related Functions</w:t>
      </w:r>
      <w:r w:rsidR="00C576A7">
        <w:t xml:space="preserve"> </w:t>
      </w:r>
      <w:r w:rsidR="00C576A7">
        <w:rPr>
          <w:rStyle w:val="notranslate"/>
        </w:rPr>
        <w:t xml:space="preserve">and we </w:t>
      </w:r>
      <w:r w:rsidR="003F2457">
        <w:rPr>
          <w:rStyle w:val="notranslate"/>
        </w:rPr>
        <w:t xml:space="preserve">appreciate the </w:t>
      </w:r>
      <w:r w:rsidR="003769A5">
        <w:rPr>
          <w:rStyle w:val="notranslate"/>
        </w:rPr>
        <w:t>courtesy of</w:t>
      </w:r>
      <w:r w:rsidR="003F2457">
        <w:rPr>
          <w:rStyle w:val="notranslate"/>
        </w:rPr>
        <w:t xml:space="preserve"> your</w:t>
      </w:r>
      <w:r w:rsidR="003769A5">
        <w:rPr>
          <w:rStyle w:val="notranslate"/>
        </w:rPr>
        <w:t xml:space="preserve"> accepting our response </w:t>
      </w:r>
      <w:r>
        <w:rPr>
          <w:rStyle w:val="notranslate"/>
        </w:rPr>
        <w:t>past the May 20 due date.</w:t>
      </w:r>
      <w:r w:rsidR="003769A5">
        <w:rPr>
          <w:rStyle w:val="notranslate"/>
        </w:rPr>
        <w:t xml:space="preserve">  We understand that the working group is under a very tight timeframe.</w:t>
      </w:r>
    </w:p>
    <w:p w:rsidR="003769A5" w:rsidRDefault="003769A5" w:rsidP="00AA1ACE">
      <w:pPr>
        <w:rPr>
          <w:rStyle w:val="notranslate"/>
        </w:rPr>
      </w:pPr>
    </w:p>
    <w:p w:rsidR="003769A5" w:rsidRDefault="003769A5" w:rsidP="00AA1ACE">
      <w:pPr>
        <w:rPr>
          <w:rStyle w:val="notranslate"/>
        </w:rPr>
      </w:pPr>
      <w:r>
        <w:rPr>
          <w:rStyle w:val="notranslate"/>
        </w:rPr>
        <w:t>Nonetheless, w</w:t>
      </w:r>
      <w:r w:rsidR="002E05DC">
        <w:rPr>
          <w:rStyle w:val="notranslate"/>
        </w:rPr>
        <w:t>hile we appreciate the working group’s diligence and hard work on th</w:t>
      </w:r>
      <w:r>
        <w:rPr>
          <w:rStyle w:val="notranslate"/>
        </w:rPr>
        <w:t>e critical issues surrounding the IANA transition, we are deeply concerned by the lack of sufficient time to analyze the proposal and the companion proposal prepared by CCWG Accountability.  It is essential that the community has a reasonable amount of time in order to produce a thoughtful and considered response.  Otherwise, the comment period has no real value to the process and to the commu</w:t>
      </w:r>
      <w:r w:rsidR="003F2457">
        <w:rPr>
          <w:rStyle w:val="notranslate"/>
        </w:rPr>
        <w:t>nity that the process serves.  We hope that the working group and staff will take these concerns into consideration so that we may produce the best outcome for the transition – a truly accountable, transparent, reliable and consistent process</w:t>
      </w:r>
      <w:r w:rsidR="00D44BEB">
        <w:rPr>
          <w:rStyle w:val="notranslate"/>
        </w:rPr>
        <w:t xml:space="preserve"> to ensure the security and stability of the Internet.</w:t>
      </w:r>
    </w:p>
    <w:p w:rsidR="003769A5" w:rsidRDefault="003769A5" w:rsidP="00AA1ACE">
      <w:pPr>
        <w:rPr>
          <w:rStyle w:val="notranslate"/>
        </w:rPr>
      </w:pPr>
    </w:p>
    <w:p w:rsidR="004577DE" w:rsidRDefault="004577DE" w:rsidP="00AA1ACE">
      <w:pPr>
        <w:rPr>
          <w:rStyle w:val="notranslate"/>
        </w:rPr>
      </w:pPr>
      <w:r>
        <w:rPr>
          <w:rStyle w:val="notranslate"/>
        </w:rPr>
        <w:t>Sincerely,</w:t>
      </w:r>
    </w:p>
    <w:p w:rsidR="003F2457" w:rsidRDefault="003F2457" w:rsidP="00AA1ACE">
      <w:pPr>
        <w:rPr>
          <w:rStyle w:val="notranslate"/>
        </w:rPr>
      </w:pPr>
    </w:p>
    <w:p w:rsidR="003F2457" w:rsidRDefault="003F2457" w:rsidP="00AA1ACE">
      <w:pPr>
        <w:rPr>
          <w:rStyle w:val="notranslate"/>
        </w:rPr>
      </w:pPr>
      <w:r w:rsidRPr="003F2457">
        <w:rPr>
          <w:rStyle w:val="notranslate"/>
          <w:noProof/>
        </w:rPr>
        <w:drawing>
          <wp:inline distT="0" distB="0" distL="0" distR="0" wp14:anchorId="6A8C8AD3" wp14:editId="2CB69DF1">
            <wp:extent cx="1905000" cy="1485900"/>
            <wp:effectExtent l="0" t="0" r="0" b="0"/>
            <wp:docPr id="6" name="Picture 6" descr="X:\Users\lschulman\AppData\Local\Microsoft\Windows\Temporary Internet Files\Content.Outlook\YW1CEV23\Etienn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Users\lschulman\AppData\Local\Microsoft\Windows\Temporary Internet Files\Content.Outlook\YW1CEV23\EtienneSig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rsidR="003F2457" w:rsidRDefault="003F2457" w:rsidP="00AA1ACE">
      <w:pPr>
        <w:rPr>
          <w:rStyle w:val="notranslate"/>
        </w:rPr>
      </w:pPr>
      <w:r>
        <w:rPr>
          <w:rStyle w:val="notranslate"/>
        </w:rPr>
        <w:t>Etienne Sanz de Acedo</w:t>
      </w:r>
    </w:p>
    <w:p w:rsidR="00390443" w:rsidRDefault="00390443">
      <w:pPr>
        <w:spacing w:after="200" w:line="276" w:lineRule="auto"/>
        <w:rPr>
          <w:rStyle w:val="notranslate"/>
          <w:szCs w:val="20"/>
        </w:rPr>
      </w:pPr>
    </w:p>
    <w:p w:rsidR="00390443" w:rsidRDefault="00390443" w:rsidP="00390443">
      <w:pPr>
        <w:pStyle w:val="Heading1"/>
        <w:numPr>
          <w:ilvl w:val="0"/>
          <w:numId w:val="0"/>
        </w:numPr>
        <w:ind w:left="720" w:hanging="720"/>
        <w:rPr>
          <w:rStyle w:val="notranslate"/>
        </w:rPr>
      </w:pPr>
    </w:p>
    <w:p w:rsidR="00AA1ACE" w:rsidRDefault="00AA1ACE" w:rsidP="00AA1ACE">
      <w:pPr>
        <w:pStyle w:val="Heading1"/>
      </w:pPr>
      <w:r>
        <w:rPr>
          <w:rStyle w:val="notranslate"/>
        </w:rPr>
        <w:t xml:space="preserve">CWG-Stewardship 2nd Draft Proposal Input </w:t>
      </w:r>
    </w:p>
    <w:p w:rsidR="00AA1ACE" w:rsidRDefault="00AA1ACE" w:rsidP="00AA1ACE">
      <w:pPr>
        <w:rPr>
          <w:rFonts w:ascii="Calibri" w:hAnsi="Calibri"/>
        </w:rPr>
      </w:pPr>
    </w:p>
    <w:p w:rsidR="00AA1ACE" w:rsidRDefault="00AA1ACE" w:rsidP="00AA1ACE">
      <w:pPr>
        <w:rPr>
          <w:rFonts w:ascii="Calibri" w:hAnsi="Calibri"/>
        </w:rPr>
      </w:pPr>
      <w:r>
        <w:rPr>
          <w:rFonts w:ascii="Calibri" w:hAnsi="Calibri"/>
        </w:rPr>
        <w:t>The CWG-Stewardship has developed a template to facilitate your input on the 2nd Draft Proposal as well as subsequent review by the CWG-Stewardship. Use of the template is strongly encouraged, but not required. This template provides the opportunity for general input on the proposal as well as specific comments per section. Please note that there is no obligation to complete all of the sections – commenters may respond to as many or as few as they wish. Following your completion of the template, please save the document and submit it as an attachment to the public comment forum (</w:t>
      </w:r>
      <w:hyperlink r:id="rId11" w:history="1">
        <w:r>
          <w:rPr>
            <w:rStyle w:val="Hyperlink"/>
            <w:rFonts w:ascii="Calibri" w:hAnsi="Calibri"/>
          </w:rPr>
          <w:t>comments-cwg-stewardship-draft-proposal-22apr15@icann.org</w:t>
        </w:r>
      </w:hyperlink>
      <w:r>
        <w:rPr>
          <w:rFonts w:ascii="Calibri" w:hAnsi="Calibri"/>
        </w:rPr>
        <w:t>). The CWG-Stewardship looks forward to receiving your feedback.</w:t>
      </w:r>
    </w:p>
    <w:p w:rsidR="00AA1ACE" w:rsidRDefault="00AA1ACE" w:rsidP="00AA1ACE">
      <w:pPr>
        <w:rPr>
          <w:rFonts w:ascii="Calibri" w:hAnsi="Calibri"/>
        </w:rPr>
      </w:pPr>
    </w:p>
    <w:p w:rsidR="00AA1ACE" w:rsidRPr="00484FB4" w:rsidRDefault="00AA1ACE" w:rsidP="00AA1ACE">
      <w:pPr>
        <w:pStyle w:val="ColorfulList-Accent11"/>
        <w:numPr>
          <w:ilvl w:val="0"/>
          <w:numId w:val="2"/>
        </w:numPr>
        <w:rPr>
          <w:rFonts w:ascii="Calibri" w:hAnsi="Calibri"/>
        </w:rPr>
      </w:pPr>
      <w:r w:rsidRPr="00981B38">
        <w:rPr>
          <w:rFonts w:ascii="Calibri" w:eastAsia="Times New Roman" w:hAnsi="Calibri"/>
        </w:rPr>
        <w:t xml:space="preserve">Please provide your name: </w:t>
      </w:r>
      <w:r w:rsidR="00390443">
        <w:rPr>
          <w:rFonts w:ascii="Calibri" w:eastAsia="Times New Roman" w:hAnsi="Calibri"/>
          <w:b/>
        </w:rPr>
        <w:t>Lori Schulman, Senior Director, Internet Policy</w:t>
      </w:r>
    </w:p>
    <w:p w:rsidR="00AA1ACE" w:rsidRPr="00364533" w:rsidRDefault="00AA1ACE" w:rsidP="00AA1ACE">
      <w:pPr>
        <w:pStyle w:val="ColorfulList-Accent11"/>
        <w:ind w:left="360"/>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Please provide your affiliation:</w:t>
      </w:r>
      <w:r>
        <w:t xml:space="preserve"> </w:t>
      </w:r>
      <w:r>
        <w:rPr>
          <w:rFonts w:ascii="Calibri" w:hAnsi="Calibri"/>
          <w:b/>
        </w:rPr>
        <w:t>International Trademark Association (INTA)</w:t>
      </w: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Are you providing input on behalf of another entity (e.g. organization, company, government)? </w:t>
      </w:r>
      <w:r>
        <w:rPr>
          <w:rFonts w:ascii="Calibri" w:eastAsia="Times New Roman" w:hAnsi="Calibri"/>
          <w:b/>
        </w:rPr>
        <w:t>Yes.</w:t>
      </w:r>
    </w:p>
    <w:p w:rsidR="00AA1ACE" w:rsidRDefault="00AA1ACE" w:rsidP="00AA1ACE">
      <w:pPr>
        <w:rPr>
          <w:rFonts w:ascii="Calibri" w:hAnsi="Calibri"/>
        </w:rPr>
      </w:pPr>
    </w:p>
    <w:p w:rsidR="00AA1ACE" w:rsidRPr="00390443" w:rsidRDefault="00AA1ACE" w:rsidP="002E05DC">
      <w:pPr>
        <w:pStyle w:val="ColorfulList-Accent11"/>
        <w:numPr>
          <w:ilvl w:val="0"/>
          <w:numId w:val="2"/>
        </w:numPr>
        <w:rPr>
          <w:rFonts w:ascii="Calibri" w:hAnsi="Calibri"/>
        </w:rPr>
      </w:pPr>
      <w:r w:rsidRPr="00390443">
        <w:rPr>
          <w:rFonts w:ascii="Calibri" w:eastAsia="Times New Roman" w:hAnsi="Calibri"/>
        </w:rPr>
        <w:t xml:space="preserve">If you answered ‘yes’ to the previous question, please list the entity on whose behalf you are submitting these questions: </w:t>
      </w:r>
      <w:r w:rsidRPr="00390443">
        <w:rPr>
          <w:rFonts w:ascii="Calibri" w:eastAsia="Times New Roman" w:hAnsi="Calibri"/>
          <w:b/>
        </w:rPr>
        <w:t xml:space="preserve">INTA.  </w:t>
      </w:r>
    </w:p>
    <w:p w:rsidR="00AA1ACE" w:rsidRDefault="00AA1ACE" w:rsidP="00AA1ACE">
      <w:pPr>
        <w:spacing w:before="100" w:beforeAutospacing="1" w:after="100" w:afterAutospacing="1"/>
        <w:outlineLvl w:val="1"/>
        <w:rPr>
          <w:rFonts w:ascii="Calibri" w:hAnsi="Calibri"/>
          <w:b/>
          <w:bCs/>
        </w:rPr>
      </w:pPr>
      <w:r>
        <w:rPr>
          <w:rFonts w:ascii="Calibri" w:hAnsi="Calibri"/>
          <w:b/>
          <w:bCs/>
          <w:color w:val="000000"/>
        </w:rPr>
        <w:t>General Comments</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If you have any general comments you would like to provide on the CWG-Stewardship Proposal, please provide these here.</w:t>
      </w:r>
    </w:p>
    <w:p w:rsidR="00AA1ACE" w:rsidRDefault="00AA1ACE" w:rsidP="00AA1ACE">
      <w:pPr>
        <w:rPr>
          <w:rFonts w:ascii="Calibri" w:hAnsi="Calibri"/>
        </w:rPr>
      </w:pPr>
    </w:p>
    <w:p w:rsidR="00AA1ACE" w:rsidRDefault="00AA1ACE" w:rsidP="00AA1ACE">
      <w:pPr>
        <w:pStyle w:val="BodyText"/>
        <w:jc w:val="both"/>
        <w:rPr>
          <w:rFonts w:ascii="Calibri" w:hAnsi="Calibri"/>
        </w:rPr>
      </w:pPr>
      <w:r>
        <w:rPr>
          <w:rFonts w:ascii="Calibri" w:hAnsi="Calibri"/>
        </w:rPr>
        <w:t xml:space="preserve">INTA welcomes this opportunity to present comments on the second draft proposal of the Cross Community Working Group responsible for the naming-related portion of the IANA Stewardship Transition Proposal (CWG-Stewardship).  INTA has been actively engaged throughout the IANA transition process and appreciates the significant work done by the CWG-Stewardship team in working towards a final proposal on these importation transition matters.  However, as set forth more fully below, it is INTA’s position that the current comment schedule and the second draft proposal does not provide stakeholders with sufficient time to study and provide meaningful and thorough feedback on the proposal.  As such, INTA urges the CWG-Stewardship to provide another comment period once its proposal, and that of the Cross Community Working Group on Enhancing ICANN Accountability (CCWG-Accountability), have progressed further and are in final form. In its present form, the proposal is incomplete and thus a second comment period is appropriate to allow the community as a whole to consider the complete proposal.  </w:t>
      </w:r>
    </w:p>
    <w:p w:rsidR="00AA1ACE" w:rsidRDefault="00AA1ACE" w:rsidP="00AA1ACE">
      <w:pPr>
        <w:pStyle w:val="BodyText"/>
        <w:rPr>
          <w:rFonts w:ascii="Calibri" w:hAnsi="Calibri"/>
          <w:b/>
          <w:i/>
        </w:rPr>
      </w:pPr>
      <w:r>
        <w:rPr>
          <w:rFonts w:ascii="Calibri" w:hAnsi="Calibri"/>
          <w:b/>
          <w:i/>
        </w:rPr>
        <w:t>The CWG-Stewardship’s 2nd Draft Proposal is Incomplete and Depends Heavily on the Proposal of the CCWG-Accountability.</w:t>
      </w:r>
    </w:p>
    <w:p w:rsidR="00AA1ACE" w:rsidRDefault="00AA1ACE" w:rsidP="00AA1ACE">
      <w:pPr>
        <w:pStyle w:val="BodyText"/>
        <w:jc w:val="both"/>
        <w:rPr>
          <w:rFonts w:ascii="Calibri" w:hAnsi="Calibri"/>
        </w:rPr>
      </w:pPr>
      <w:r>
        <w:rPr>
          <w:rFonts w:ascii="Calibri" w:hAnsi="Calibri"/>
        </w:rPr>
        <w:t xml:space="preserve">Unfortunately, key portions of the proposal remain undrafted and, importantly, the CWG-Stewardship’s proposal is dependent on and expressly conditioned upon the CCWG-Accountability process.  The accountability of ICANN, including with respect to ICANN’s oversight of IANA operations, is of the utmost importance to INTA and other community stakeholders.  </w:t>
      </w:r>
    </w:p>
    <w:p w:rsidR="00AA1ACE" w:rsidRDefault="00AA1ACE" w:rsidP="00AA1ACE">
      <w:pPr>
        <w:pStyle w:val="BodyText"/>
        <w:jc w:val="both"/>
        <w:rPr>
          <w:rFonts w:ascii="Calibri" w:hAnsi="Calibri"/>
        </w:rPr>
      </w:pPr>
      <w:r>
        <w:rPr>
          <w:rFonts w:ascii="Calibri" w:hAnsi="Calibri"/>
        </w:rPr>
        <w:t xml:space="preserve">Notably, the CCWG-Accountability proposal was recently released for public comment on May 4, 2015, leaving stakeholders with only two weeks to review the 140 page CCWG-Accountability proposal in order to meaningfully comment on the portions of the CWG-Stewardship’s draft that rely heavily on measures proposed by CCWG-Accountability.  While INTA intends to prepare a substantive comment by the June 3, 2015 deadline for the CCWG-Accountability’s proposal, the issue is important enough for INTA to formally note the time constraints for the record and offer our suggestion below.  </w:t>
      </w:r>
    </w:p>
    <w:p w:rsidR="00AA1ACE" w:rsidRDefault="00AA1ACE" w:rsidP="00AA1ACE">
      <w:pPr>
        <w:pStyle w:val="BodyText"/>
        <w:jc w:val="both"/>
        <w:rPr>
          <w:rFonts w:ascii="Calibri" w:hAnsi="Calibri"/>
        </w:rPr>
      </w:pPr>
      <w:r>
        <w:rPr>
          <w:rFonts w:ascii="Calibri" w:hAnsi="Calibri"/>
        </w:rPr>
        <w:t xml:space="preserve">INTA has reviewed the questions posed in this template and where INTA thought it could provide meaningful comments at the present time, it has done so below. However, where INTA has indicated that it has “no comments at the present time” it should not be construed as an indication that INTA has no comment on the particular question or issue, rather that INTA is refraining from submitting comments at this time given the time constraints and the limited information available.      </w:t>
      </w:r>
    </w:p>
    <w:p w:rsidR="00AA1ACE" w:rsidRDefault="00AA1ACE" w:rsidP="00AA1ACE">
      <w:pPr>
        <w:pStyle w:val="BodyText"/>
        <w:rPr>
          <w:rFonts w:ascii="Calibri" w:hAnsi="Calibri"/>
          <w:b/>
          <w:i/>
        </w:rPr>
      </w:pPr>
      <w:r>
        <w:rPr>
          <w:rFonts w:ascii="Calibri" w:hAnsi="Calibri"/>
          <w:b/>
          <w:i/>
        </w:rPr>
        <w:t>CWG-Stewardship Should Submit Another Draft of its Proposal for Further Public Comment so That Stakeholders Can Provide Meaningful Input on a Comprehensive Plan.</w:t>
      </w:r>
    </w:p>
    <w:p w:rsidR="00AA1ACE" w:rsidRDefault="00AA1ACE" w:rsidP="00AA1ACE">
      <w:pPr>
        <w:pStyle w:val="BodyText"/>
        <w:jc w:val="both"/>
        <w:rPr>
          <w:rFonts w:ascii="Calibri" w:hAnsi="Calibri"/>
        </w:rPr>
      </w:pPr>
      <w:r>
        <w:rPr>
          <w:rFonts w:ascii="Calibri" w:hAnsi="Calibri"/>
        </w:rPr>
        <w:t>In order to gain the most meaningful comments from the stakeholder community, INTA requests that the CWG-Stewardship submit a more complete draft of its proposal for public comment.  In addition, INTA suggests that the public comment period should run simultaneously with the second 40-day public comment period planned for July for the CCWG-Accountability proposal.  By doing so, stakeholders will be given a meaningful opportunity to actively participate in and comment on the important work being done by both working groups.</w:t>
      </w:r>
    </w:p>
    <w:p w:rsidR="00AA1ACE" w:rsidRDefault="00AA1ACE" w:rsidP="00AA1ACE">
      <w:pPr>
        <w:spacing w:before="100" w:beforeAutospacing="1" w:after="100" w:afterAutospacing="1"/>
        <w:outlineLvl w:val="1"/>
        <w:rPr>
          <w:rFonts w:ascii="Calibri" w:hAnsi="Calibri"/>
          <w:b/>
          <w:bCs/>
        </w:rPr>
      </w:pPr>
      <w:r>
        <w:rPr>
          <w:rFonts w:ascii="Calibri" w:hAnsi="Calibri"/>
          <w:b/>
          <w:bCs/>
          <w:color w:val="000000"/>
        </w:rPr>
        <w:t>Section I - The Community's Use of IANA</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I - The Community's Use of the IANA? Section I lists the specific, distinct IANA services or activities the naming community relies on. </w:t>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 </w:t>
      </w:r>
      <w:r>
        <w:rPr>
          <w:rFonts w:ascii="Calibri" w:eastAsia="Times New Roman" w:hAnsi="Calibri"/>
        </w:rPr>
        <w:b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rPr>
      </w:pPr>
      <w:r>
        <w:rPr>
          <w:rFonts w:ascii="Calibri" w:hAnsi="Calibri"/>
          <w:b/>
          <w:bCs/>
          <w:color w:val="000000"/>
        </w:rPr>
        <w:t>Section II - Existing Pre-Transition Arrangements</w:t>
      </w: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II - Existing Pre-Transition Arrangements? This section describes how existing IANA-related arrangements work, prior to the transition.</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rPr>
      </w:pPr>
      <w:r>
        <w:rPr>
          <w:rFonts w:ascii="Calibri" w:hAnsi="Calibri"/>
          <w:b/>
          <w:bCs/>
          <w:color w:val="000000"/>
        </w:rPr>
        <w:t>Section III - Proposed Post-Transition Oversight and Accountability</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III.A - Elements of this Proposal? This section describes in short the main elements of the proposed post-transition oversight and accountability.</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Yes, INTA supports the structure set forth in Section III.A and reminds ICANN of our comments on this general topic submitted on 22 December 2014.</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w:t>
      </w:r>
      <w:proofErr w:type="spellEnd"/>
      <w:r>
        <w:rPr>
          <w:rFonts w:ascii="Calibri" w:eastAsia="Times New Roman" w:hAnsi="Calibri"/>
        </w:rPr>
        <w:t xml:space="preserve"> - Proposed Post-Transition Structure. This section provides an overview of the different elements of the proposed post-transition structure.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Yes.</w:t>
      </w:r>
      <w:r>
        <w:rPr>
          <w:rFonts w:ascii="Calibri" w:eastAsia="Times New Roman" w:hAnsi="Calibri"/>
        </w:rPr>
        <w:br/>
      </w:r>
      <w:r>
        <w:rPr>
          <w:rFonts w:ascii="Calibri" w:eastAsia="Times New Roman" w:hAnsi="Calibri"/>
        </w:rPr>
        <w:br/>
        <w:t xml:space="preserve">If so, please provide your comments here.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INTA supports the notion of allowing the community to oversee the performance of the IANA Functions and ICANNs accountability related to thereto.  We specifically endorse the creation of a Post-Transition IANA (“PTI”).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III.A.i.a</w:t>
      </w:r>
      <w:proofErr w:type="spellEnd"/>
      <w:r>
        <w:rPr>
          <w:rFonts w:ascii="Calibri" w:eastAsia="Times New Roman" w:hAnsi="Calibri"/>
        </w:rPr>
        <w:t>. - Post-Transition IANA (PTI). This section describes the proposed post-transition IANA.</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Yes.</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Yes, we support the PTI but ask for clarification on the ownership structure of the PTI since it cannot be a “wholly owned subsidiary” of a non-profit corporation if the PTI itself will be a nonprofit organization.  This is because a non-profit cannot have shareholders.   </w:t>
      </w:r>
    </w:p>
    <w:p w:rsidR="00AA1ACE" w:rsidRDefault="00AA1ACE" w:rsidP="00AA1ACE">
      <w:pPr>
        <w:pStyle w:val="ColorfulList-Accent11"/>
        <w:ind w:left="360"/>
        <w:rPr>
          <w:rFonts w:ascii="Calibri" w:eastAsia="Times New Roman" w:hAnsi="Calibri"/>
        </w:rPr>
      </w:pP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III.A.i.b</w:t>
      </w:r>
      <w:proofErr w:type="spellEnd"/>
      <w:r>
        <w:rPr>
          <w:rFonts w:ascii="Calibri" w:eastAsia="Times New Roman" w:hAnsi="Calibri"/>
        </w:rPr>
        <w:t>. - Post-Transition IANA Board. This section describes the proposed Board for the post-transition IANA.</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 </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III.A.i.c</w:t>
      </w:r>
      <w:proofErr w:type="spellEnd"/>
      <w:r>
        <w:rPr>
          <w:rFonts w:ascii="Calibri" w:eastAsia="Times New Roman" w:hAnsi="Calibri"/>
        </w:rPr>
        <w:t>. - IANA Statement of Work. This section describes the proposed IANA Statement of Work, including proposed carryover provisions.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III.A.i.d</w:t>
      </w:r>
      <w:proofErr w:type="spellEnd"/>
      <w:r>
        <w:rPr>
          <w:rFonts w:ascii="Calibri" w:eastAsia="Times New Roman" w:hAnsi="Calibri"/>
        </w:rPr>
        <w:t>. - IANA Function Review. This section describes the proposed periodic as well as special review of the IANA Function.</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III.A.ii.a</w:t>
      </w:r>
      <w:proofErr w:type="spellEnd"/>
      <w:r>
        <w:rPr>
          <w:rFonts w:ascii="Calibri" w:eastAsia="Times New Roman" w:hAnsi="Calibri"/>
        </w:rPr>
        <w:t xml:space="preserve">. - Customer Standing Committee (CSC). This section describes Customer Standing Committee that is expected to oversee performance of the IANA Functions as they relate to naming services. </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r>
        <w:rPr>
          <w:rFonts w:ascii="Calibri" w:hAnsi="Calibri"/>
        </w:rPr>
        <w:br w:type="textWrapping" w:clear="all"/>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III.A.ii.b</w:t>
      </w:r>
      <w:proofErr w:type="spellEnd"/>
      <w:r>
        <w:rPr>
          <w:rFonts w:ascii="Calibri" w:eastAsia="Times New Roman" w:hAnsi="Calibri"/>
        </w:rPr>
        <w:t xml:space="preserve">. - Service Level Expectations. This section describes the proposed service level expectations post-transition.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III.A.ii.c</w:t>
      </w:r>
      <w:proofErr w:type="spellEnd"/>
      <w:r>
        <w:rPr>
          <w:rFonts w:ascii="Calibri" w:eastAsia="Times New Roman" w:hAnsi="Calibri"/>
        </w:rPr>
        <w:t>. - Escalation mechanisms. This section describes the different proposed escalation mechanisms as they relate to the naming services.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br w:type="textWrapping" w:clear="all"/>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III.A.ii.d</w:t>
      </w:r>
      <w:proofErr w:type="spellEnd"/>
      <w:r>
        <w:rPr>
          <w:rFonts w:ascii="Calibri" w:eastAsia="Times New Roman" w:hAnsi="Calibri"/>
        </w:rPr>
        <w:t>. - Separation review. This section describes the separation review that can be triggered by an IANA Function Review if needed</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III.A.ii.e</w:t>
      </w:r>
      <w:proofErr w:type="spellEnd"/>
      <w:r>
        <w:rPr>
          <w:rFonts w:ascii="Calibri" w:eastAsia="Times New Roman" w:hAnsi="Calibri"/>
        </w:rPr>
        <w:t>. - Framework for transition to successor IANA Operator. This section describes the proposed framework for a transition to a successor IANA Operator to ensure continuity of operations.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III.A.iii.a</w:t>
      </w:r>
      <w:proofErr w:type="spellEnd"/>
      <w:r>
        <w:rPr>
          <w:rFonts w:ascii="Calibri" w:eastAsia="Times New Roman" w:hAnsi="Calibri"/>
        </w:rPr>
        <w:t>. - Proposed changes to root zone environment and relationship with root zone maintainer. This section describes the proposed changes to the root zone environment and the relationship with the Root Zone Maintainer.</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Yes.</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INTA is concerned that the elimination of NTIA’s approval and validation function and supports the additional study suggested in III.A.iii.a.1.c.  INTA also supports the notion of a mechanism to appeal decisions relating to the Root Zone as noted in our comment submitted on 22 December 2014.</w:t>
      </w:r>
    </w:p>
    <w:p w:rsidR="00AA1ACE" w:rsidRDefault="00AA1ACE" w:rsidP="00AA1ACE">
      <w:pPr>
        <w:pStyle w:val="ColorfulList-Accent11"/>
        <w:ind w:left="360"/>
        <w:rPr>
          <w:rFonts w:ascii="Calibri" w:eastAsia="Times New Roman" w:hAnsi="Calibri"/>
        </w:rPr>
      </w:pP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III.A.iv.a</w:t>
      </w:r>
      <w:proofErr w:type="spellEnd"/>
      <w:r>
        <w:rPr>
          <w:rFonts w:ascii="Calibri" w:eastAsia="Times New Roman" w:hAnsi="Calibri"/>
        </w:rPr>
        <w:t xml:space="preserve">. - </w:t>
      </w:r>
      <w:proofErr w:type="spellStart"/>
      <w:proofErr w:type="gramStart"/>
      <w:r>
        <w:rPr>
          <w:rFonts w:ascii="Calibri" w:eastAsia="Times New Roman" w:hAnsi="Calibri"/>
        </w:rPr>
        <w:t>ccTLD</w:t>
      </w:r>
      <w:proofErr w:type="spellEnd"/>
      <w:proofErr w:type="gramEnd"/>
      <w:r>
        <w:rPr>
          <w:rFonts w:ascii="Calibri" w:eastAsia="Times New Roman" w:hAnsi="Calibri"/>
        </w:rPr>
        <w:t xml:space="preserve"> Delegation Appeals. This section describes the proposed recommendation in relation to a </w:t>
      </w:r>
      <w:proofErr w:type="spellStart"/>
      <w:r>
        <w:rPr>
          <w:rFonts w:ascii="Calibri" w:eastAsia="Times New Roman" w:hAnsi="Calibri"/>
        </w:rPr>
        <w:t>ccTLD</w:t>
      </w:r>
      <w:proofErr w:type="spellEnd"/>
      <w:r>
        <w:rPr>
          <w:rFonts w:ascii="Calibri" w:eastAsia="Times New Roman" w:hAnsi="Calibri"/>
        </w:rPr>
        <w:t xml:space="preserve"> delegation appeals mechanism.</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III.A.iv.b</w:t>
      </w:r>
      <w:proofErr w:type="spellEnd"/>
      <w:r>
        <w:rPr>
          <w:rFonts w:ascii="Calibri" w:eastAsia="Times New Roman" w:hAnsi="Calibri"/>
        </w:rPr>
        <w:t>. - IANA Budget. This section describes the recommendations in relation to the IANA Budget.</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specifically at this time but INTA requests that any public comment period on the budget be of sufficient length (at least 40 days) to allow for meaningful comment.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w:t>
      </w:r>
      <w:proofErr w:type="spellStart"/>
      <w:r>
        <w:rPr>
          <w:rFonts w:ascii="Calibri" w:eastAsia="Times New Roman" w:hAnsi="Calibri"/>
        </w:rPr>
        <w:t>III.A.iv.c</w:t>
      </w:r>
      <w:proofErr w:type="spellEnd"/>
      <w:r>
        <w:rPr>
          <w:rFonts w:ascii="Calibri" w:eastAsia="Times New Roman" w:hAnsi="Calibri"/>
        </w:rPr>
        <w:t>. - Regulatory and legal obligations. This section describes the regulatory and legal obligations post-transition and how these are expected to be met.</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III.B. - Implications for the interface between the IANA Functions and existing policy arrangements. This section describes the expected implications for the interface between the IANA Functions and existing policy arrangements as a result of the proposed transition arrangements.</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color w:val="000000"/>
        </w:rPr>
      </w:pPr>
      <w:r>
        <w:rPr>
          <w:rFonts w:ascii="Calibri" w:hAnsi="Calibri"/>
          <w:b/>
          <w:bCs/>
          <w:color w:val="000000"/>
        </w:rPr>
        <w:t>Section IV - Transition Implications</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IV. - Transition Implications. This section is expected to describe the CWG-Stewardship views as the implications of the changes it proposed in Section III.</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Yes.</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Section IV is not fully developed and it should be more detailed in order to allow the community to adequately comment on it. This is a very important section and we encourage the CWG to take a deliberative and cautious approach on this.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color w:val="000000"/>
        </w:rPr>
      </w:pPr>
      <w:r>
        <w:rPr>
          <w:rFonts w:ascii="Calibri" w:hAnsi="Calibri"/>
          <w:b/>
          <w:bCs/>
          <w:color w:val="000000"/>
        </w:rPr>
        <w:t>Section V - NTIA Requirements</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V. - NTIA Requirements. This section is expected to describe how the proposal community’s proposal meets these requirements and how it responds to the global interest in the IANA functions.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color w:val="000000"/>
        </w:rPr>
      </w:pPr>
      <w:r>
        <w:rPr>
          <w:rFonts w:ascii="Calibri" w:hAnsi="Calibri"/>
          <w:b/>
          <w:bCs/>
          <w:color w:val="000000"/>
        </w:rPr>
        <w:t>Section VI - Community Process</w:t>
      </w: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VI. - Community Process. This section should describe the process the community used for developing this proposal. </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color w:val="000000"/>
        </w:rPr>
      </w:pPr>
      <w:r>
        <w:rPr>
          <w:rFonts w:ascii="Calibri" w:hAnsi="Calibri"/>
          <w:b/>
          <w:bCs/>
          <w:color w:val="000000"/>
        </w:rPr>
        <w:t>Annexes</w:t>
      </w: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Annex </w:t>
      </w:r>
      <w:proofErr w:type="gramStart"/>
      <w:r>
        <w:rPr>
          <w:rFonts w:ascii="Calibri" w:eastAsia="Times New Roman" w:hAnsi="Calibri"/>
        </w:rPr>
        <w:t>A</w:t>
      </w:r>
      <w:proofErr w:type="gramEnd"/>
      <w:r>
        <w:rPr>
          <w:rFonts w:ascii="Calibri" w:eastAsia="Times New Roman" w:hAnsi="Calibri"/>
        </w:rPr>
        <w:t xml:space="preserve"> - The Community's Use of the IANA - Additional Information.</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B - Oversight mechanisms in the NTIA IANA Functions Contract.</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C - Principles and criteria that should underpin decisions on the transition of NTIA Stewardship for names functions.</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Annex D - </w:t>
      </w:r>
      <w:proofErr w:type="spellStart"/>
      <w:r>
        <w:rPr>
          <w:rFonts w:ascii="Calibri" w:eastAsia="Times New Roman" w:hAnsi="Calibri"/>
        </w:rPr>
        <w:t>Xplane</w:t>
      </w:r>
      <w:proofErr w:type="spellEnd"/>
      <w:r>
        <w:rPr>
          <w:rFonts w:ascii="Calibri" w:eastAsia="Times New Roman" w:hAnsi="Calibri"/>
        </w:rPr>
        <w:t xml:space="preserve"> Diagram.</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E - IANA Contract provisions to be carried over post-transition.</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F - IANA Function Reviews.</w:t>
      </w:r>
    </w:p>
    <w:p w:rsidR="00AA1ACE" w:rsidRDefault="00AA1ACE" w:rsidP="00AA1ACE">
      <w:pPr>
        <w:pStyle w:val="ColorfulList-Accent11"/>
        <w:ind w:left="360"/>
        <w:rPr>
          <w:rFonts w:ascii="Calibri" w:eastAsia="Times New Roman" w:hAnsi="Calibri"/>
        </w:rPr>
      </w:pPr>
    </w:p>
    <w:p w:rsidR="00AA1ACE" w:rsidRDefault="00AA1ACE" w:rsidP="00AA1ACE">
      <w:pPr>
        <w:spacing w:after="240"/>
        <w:ind w:left="720"/>
        <w:rPr>
          <w:color w:val="1F497D"/>
          <w:sz w:val="22"/>
          <w:szCs w:val="22"/>
        </w:rPr>
      </w:pPr>
      <w:r>
        <w:rPr>
          <w:rFonts w:ascii="Calibri" w:hAnsi="Calibri"/>
        </w:rPr>
        <w:t>Yes.</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The proposal regarding the IANA Functional Review calls for representation of all relevant stakeholder groups.   INTA strongly supports a mechanism of review that guarantees a seat at the table for the concerns of intellectual property owners.  The current stakeholder structure identified in the annex could potentially change as the GNSO structure is under current review.  By limiting representation to stakeholder groups and not to constituencies there is a real risk of losing the views of constituencies with diverse points of views and concerns.  This is critical to the extent tha</w:t>
      </w:r>
      <w:r>
        <w:rPr>
          <w:rFonts w:ascii="Calibri" w:hAnsi="Calibri"/>
        </w:rPr>
        <w:t>t intellectual property concerns translate into consumer protection concerns</w:t>
      </w:r>
      <w:r>
        <w:t>.</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G - Proposed charter of the customer standing committee (CSC).</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Yes.</w:t>
      </w:r>
      <w:r>
        <w:rPr>
          <w:rFonts w:ascii="Calibri" w:eastAsia="Times New Roman" w:hAnsi="Calibri"/>
        </w:rPr>
        <w:br/>
        <w:t xml:space="preserve">If so, please provide your comments here. </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Pursuant to our response above, we strongly urge the implementation of review mechanism that comprises constituencies and not stakeholder groups.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Annex H - Service level expectations. </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Not at this time.</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r>
        <w:rPr>
          <w:rFonts w:ascii="Calibri" w:eastAsia="Times New Roman" w:hAnsi="Calibri"/>
        </w:rPr>
        <w:br w:type="textWrapping" w:clear="all"/>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I - IANA Customer Service Complaint Resolution Process for Naming Related Functions.</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J - IANA Problem Resolution Process (for IANA naming services only).</w:t>
      </w:r>
      <w:r>
        <w:rPr>
          <w:rFonts w:ascii="Calibri" w:eastAsia="Times New Roman" w:hAnsi="Calibri"/>
        </w:rPr>
        <w:br/>
      </w:r>
      <w:r>
        <w:rPr>
          <w:rFonts w:ascii="Calibri" w:eastAsia="Times New Roman" w:hAnsi="Calibri"/>
        </w:rPr>
        <w:br/>
        <w:t>Not at this time.</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K - Root Zone Emergency Process.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r>
        <w:rPr>
          <w:rFonts w:ascii="Calibri" w:eastAsia="Times New Roman" w:hAnsi="Calibri"/>
        </w:rPr>
        <w:br w:type="textWrapping" w:clear="all"/>
      </w:r>
    </w:p>
    <w:p w:rsidR="00AA1ACE" w:rsidRDefault="00AA1ACE" w:rsidP="00AA1ACE">
      <w:pPr>
        <w:rPr>
          <w:rFonts w:ascii="Calibri"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L - Separation Review.</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M - Framework for transition to a successor IANA operator.</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N - Proposed changes to root zone environment and relationship with root zone maintainer.</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See our response question 19 but otherwise not response at this time. </w:t>
      </w:r>
      <w:r>
        <w:rPr>
          <w:rFonts w:ascii="Calibri" w:eastAsia="Times New Roman" w:hAnsi="Calibri"/>
        </w:rPr>
        <w:br/>
      </w: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 xml:space="preserve">Do you have any specific comments or input you would like to provide with regards to section Annex O - </w:t>
      </w:r>
      <w:proofErr w:type="spellStart"/>
      <w:r>
        <w:rPr>
          <w:rFonts w:ascii="Calibri" w:eastAsia="Times New Roman" w:hAnsi="Calibri"/>
        </w:rPr>
        <w:t>ccTLD</w:t>
      </w:r>
      <w:proofErr w:type="spellEnd"/>
      <w:r>
        <w:rPr>
          <w:rFonts w:ascii="Calibri" w:eastAsia="Times New Roman" w:hAnsi="Calibri"/>
        </w:rPr>
        <w:t xml:space="preserve"> Appeals Mechanism Background and Supporting Findings. </w:t>
      </w:r>
      <w:r>
        <w:rPr>
          <w:rFonts w:ascii="Calibri" w:eastAsia="Times New Roman" w:hAnsi="Calibri"/>
        </w:rPr>
        <w:br/>
      </w:r>
      <w:r>
        <w:rPr>
          <w:rFonts w:ascii="Calibri" w:eastAsia="Times New Roman" w:hAnsi="Calibri"/>
        </w:rPr>
        <w:br/>
        <w:t>Not at this time.</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pStyle w:val="ColorfulList-Accent11"/>
        <w:ind w:left="360"/>
        <w:rPr>
          <w:rFonts w:ascii="Calibri" w:eastAsia="Times New Roman" w:hAnsi="Calibri"/>
        </w:rPr>
      </w:pPr>
      <w:bookmarkStart w:id="1" w:name="_GoBack"/>
      <w:bookmarkEnd w:id="1"/>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P - IANA Operations Cost Analysis.</w:t>
      </w:r>
      <w:r>
        <w:rPr>
          <w:rFonts w:ascii="Calibri" w:eastAsia="Times New Roman" w:hAnsi="Calibri"/>
        </w:rPr>
        <w:br/>
      </w:r>
    </w:p>
    <w:p w:rsidR="00AA1ACE" w:rsidRDefault="00AA1ACE" w:rsidP="00AA1ACE">
      <w:pPr>
        <w:pStyle w:val="ColorfulList-Accent11"/>
        <w:ind w:left="360"/>
        <w:rPr>
          <w:rFonts w:ascii="Calibri" w:eastAsia="Times New Roman" w:hAnsi="Calibri"/>
        </w:rPr>
      </w:pPr>
      <w:r>
        <w:rPr>
          <w:rFonts w:ascii="Calibri" w:eastAsia="Times New Roman" w:hAnsi="Calibri"/>
        </w:rPr>
        <w:t xml:space="preserve">Not at this time. </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pStyle w:val="ColorfulList-Accent11"/>
        <w:ind w:left="360"/>
        <w:rPr>
          <w:rFonts w:ascii="Calibri" w:eastAsia="Times New Roman" w:hAnsi="Calibri"/>
        </w:rPr>
      </w:pPr>
    </w:p>
    <w:p w:rsidR="00AA1ACE" w:rsidRDefault="00AA1ACE" w:rsidP="00AA1ACE">
      <w:pPr>
        <w:pStyle w:val="ColorfulList-Accent11"/>
        <w:numPr>
          <w:ilvl w:val="0"/>
          <w:numId w:val="2"/>
        </w:numPr>
        <w:rPr>
          <w:rFonts w:ascii="Calibri" w:eastAsia="Times New Roman" w:hAnsi="Calibri"/>
        </w:rPr>
      </w:pPr>
      <w:r>
        <w:rPr>
          <w:rFonts w:ascii="Calibri" w:eastAsia="Times New Roman" w:hAnsi="Calibri"/>
        </w:rPr>
        <w:t>Do you have any specific comments or input you would like to provide with regards to section Annex Q - IANA Budget.</w:t>
      </w:r>
      <w:r>
        <w:rPr>
          <w:rFonts w:ascii="Calibri" w:eastAsia="Times New Roman" w:hAnsi="Calibri"/>
        </w:rPr>
        <w:br/>
        <w:t>See our comments above on the budget.</w:t>
      </w:r>
    </w:p>
    <w:p w:rsidR="00AA1ACE" w:rsidRDefault="00AA1ACE" w:rsidP="00AA1ACE">
      <w:pPr>
        <w:pStyle w:val="ColorfulList-Accent11"/>
        <w:ind w:left="360"/>
        <w:rPr>
          <w:rFonts w:ascii="Calibri" w:eastAsia="Times New Roman" w:hAnsi="Calibri"/>
        </w:rPr>
      </w:pPr>
      <w:r>
        <w:rPr>
          <w:rFonts w:ascii="Calibri" w:eastAsia="Times New Roman" w:hAnsi="Calibri"/>
        </w:rPr>
        <w:br/>
        <w:t xml:space="preserve">If so, please provide your comments here. </w:t>
      </w:r>
      <w:r>
        <w:rPr>
          <w:rFonts w:ascii="Calibri" w:eastAsia="Times New Roman" w:hAnsi="Calibri"/>
        </w:rPr>
        <w:br/>
      </w:r>
      <w:r>
        <w:rPr>
          <w:rFonts w:ascii="Calibri" w:eastAsia="Times New Roman" w:hAnsi="Calibri"/>
        </w:rPr>
        <w:br/>
        <w:t>If applicable, please reference the sub-section your comment relates to.</w:t>
      </w:r>
    </w:p>
    <w:p w:rsidR="00AA1ACE" w:rsidRDefault="00AA1ACE" w:rsidP="00AA1ACE">
      <w:pPr>
        <w:rPr>
          <w:rFonts w:ascii="Calibri" w:hAnsi="Calibri"/>
        </w:rPr>
      </w:pPr>
    </w:p>
    <w:p w:rsidR="00AA1ACE" w:rsidRDefault="00AA1ACE" w:rsidP="00AA1ACE">
      <w:pPr>
        <w:spacing w:before="100" w:beforeAutospacing="1" w:after="100" w:afterAutospacing="1"/>
        <w:outlineLvl w:val="1"/>
        <w:rPr>
          <w:rFonts w:ascii="Calibri" w:hAnsi="Calibri"/>
          <w:b/>
          <w:bCs/>
          <w:color w:val="000000"/>
        </w:rPr>
      </w:pPr>
      <w:r>
        <w:rPr>
          <w:rFonts w:ascii="Calibri" w:hAnsi="Calibri"/>
          <w:b/>
          <w:bCs/>
          <w:color w:val="000000"/>
        </w:rPr>
        <w:t>Other Comments</w:t>
      </w:r>
    </w:p>
    <w:p w:rsidR="0024322B" w:rsidRPr="004745C7" w:rsidRDefault="00AA1ACE" w:rsidP="00B67DD5">
      <w:pPr>
        <w:pStyle w:val="ColorfulList-Accent11"/>
        <w:numPr>
          <w:ilvl w:val="0"/>
          <w:numId w:val="2"/>
        </w:numPr>
        <w:spacing w:after="210" w:line="210" w:lineRule="atLeast"/>
        <w:jc w:val="both"/>
        <w:rPr>
          <w:rFonts w:ascii="Arial" w:hAnsi="Arial"/>
        </w:rPr>
      </w:pPr>
      <w:r w:rsidRPr="004745C7">
        <w:rPr>
          <w:rFonts w:ascii="Calibri" w:eastAsia="Times New Roman" w:hAnsi="Calibri"/>
        </w:rPr>
        <w:t>Are there any other comments or issues you would like to raise for the consideration of the CWG-Stewardship?</w:t>
      </w:r>
      <w:bookmarkStart w:id="2" w:name="bkInsertionPoint"/>
      <w:bookmarkEnd w:id="2"/>
    </w:p>
    <w:sectPr w:rsidR="0024322B" w:rsidRPr="004745C7" w:rsidSect="00C576A7">
      <w:footerReference w:type="even" r:id="rId12"/>
      <w:footerReference w:type="default" r:id="rId13"/>
      <w:headerReference w:type="first" r:id="rId14"/>
      <w:pgSz w:w="12240" w:h="15840"/>
      <w:pgMar w:top="1440" w:right="1440" w:bottom="165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DD5" w:rsidRDefault="00B67DD5" w:rsidP="009B27C8">
      <w:r>
        <w:separator/>
      </w:r>
    </w:p>
  </w:endnote>
  <w:endnote w:type="continuationSeparator" w:id="0">
    <w:p w:rsidR="00B67DD5" w:rsidRDefault="00B67DD5" w:rsidP="009B2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DD5" w:rsidRDefault="00B67DD5" w:rsidP="00AA1AC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B67DD5" w:rsidRDefault="00B67DD5" w:rsidP="00251442">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DD5" w:rsidRDefault="00B67DD5" w:rsidP="00AA1AC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D440D">
      <w:rPr>
        <w:rStyle w:val="PageNumber"/>
        <w:noProof/>
      </w:rPr>
      <w:t>14</w:t>
    </w:r>
    <w:r>
      <w:rPr>
        <w:rStyle w:val="PageNumber"/>
      </w:rPr>
      <w:fldChar w:fldCharType="end"/>
    </w:r>
  </w:p>
  <w:p w:rsidR="00B67DD5" w:rsidRDefault="00B67DD5" w:rsidP="00251442">
    <w:pPr>
      <w:pStyle w:val="Footer"/>
      <w:ind w:firstLine="360"/>
    </w:pPr>
    <w:r>
      <w:rPr>
        <w:noProof/>
      </w:rPr>
      <w:drawing>
        <wp:anchor distT="0" distB="0" distL="114300" distR="114300" simplePos="0" relativeHeight="251669504" behindDoc="0" locked="0" layoutInCell="1" allowOverlap="1" wp14:anchorId="7D212C9B" wp14:editId="7CB920C7">
          <wp:simplePos x="0" y="0"/>
          <wp:positionH relativeFrom="page">
            <wp:posOffset>3657600</wp:posOffset>
          </wp:positionH>
          <wp:positionV relativeFrom="page">
            <wp:posOffset>9182100</wp:posOffset>
          </wp:positionV>
          <wp:extent cx="3211830" cy="487680"/>
          <wp:effectExtent l="0" t="0" r="0" b="0"/>
          <wp:wrapNone/>
          <wp:docPr id="5" name="Picture 2"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3211830" cy="487680"/>
                  </a:xfrm>
                  <a:prstGeom prst="rect">
                    <a:avLst/>
                  </a:prstGeom>
                </pic:spPr>
              </pic:pic>
            </a:graphicData>
          </a:graphic>
        </wp:anchor>
      </w:drawing>
    </w:r>
    <w:r>
      <w:rPr>
        <w:noProof/>
      </w:rPr>
      <w:drawing>
        <wp:anchor distT="0" distB="0" distL="114300" distR="114300" simplePos="0" relativeHeight="251659263" behindDoc="0" locked="0" layoutInCell="1" allowOverlap="1" wp14:anchorId="652B76D7" wp14:editId="4F7AFC62">
          <wp:simplePos x="0" y="0"/>
          <wp:positionH relativeFrom="page">
            <wp:posOffset>3013710</wp:posOffset>
          </wp:positionH>
          <wp:positionV relativeFrom="page">
            <wp:posOffset>8331200</wp:posOffset>
          </wp:positionV>
          <wp:extent cx="3855720" cy="1270000"/>
          <wp:effectExtent l="0" t="0" r="5080" b="0"/>
          <wp:wrapThrough wrapText="bothSides">
            <wp:wrapPolygon edited="0">
              <wp:start x="20206" y="14256"/>
              <wp:lineTo x="10814" y="15120"/>
              <wp:lineTo x="3700" y="17712"/>
              <wp:lineTo x="3700" y="21168"/>
              <wp:lineTo x="21486" y="21168"/>
              <wp:lineTo x="20775" y="14256"/>
              <wp:lineTo x="20206" y="14256"/>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5572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DD5" w:rsidRDefault="00B67DD5" w:rsidP="009B27C8">
      <w:r>
        <w:separator/>
      </w:r>
    </w:p>
  </w:footnote>
  <w:footnote w:type="continuationSeparator" w:id="0">
    <w:p w:rsidR="00B67DD5" w:rsidRDefault="00B67DD5" w:rsidP="009B2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DD5" w:rsidRDefault="00B67DD5">
    <w:pPr>
      <w:pStyle w:val="Header"/>
    </w:pPr>
    <w:bookmarkStart w:id="3" w:name="_MacBuGuideStaticData_1660H"/>
    <w:r>
      <w:rPr>
        <w:noProof/>
      </w:rPr>
      <w:drawing>
        <wp:anchor distT="0" distB="0" distL="114300" distR="114300" simplePos="0" relativeHeight="251665408" behindDoc="0" locked="0" layoutInCell="1" allowOverlap="1" wp14:anchorId="6B50E95F" wp14:editId="1F960118">
          <wp:simplePos x="0" y="0"/>
          <wp:positionH relativeFrom="page">
            <wp:posOffset>1600200</wp:posOffset>
          </wp:positionH>
          <wp:positionV relativeFrom="page">
            <wp:posOffset>1176020</wp:posOffset>
          </wp:positionV>
          <wp:extent cx="3802380" cy="673100"/>
          <wp:effectExtent l="0" t="0" r="0" b="0"/>
          <wp:wrapThrough wrapText="bothSides">
            <wp:wrapPolygon edited="0">
              <wp:start x="289" y="0"/>
              <wp:lineTo x="289" y="6521"/>
              <wp:lineTo x="577" y="8966"/>
              <wp:lineTo x="1299" y="10596"/>
              <wp:lineTo x="6637" y="10596"/>
              <wp:lineTo x="7503" y="2445"/>
              <wp:lineTo x="7214" y="0"/>
              <wp:lineTo x="289"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238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5DB4A0E" wp14:editId="0793174D">
          <wp:simplePos x="0" y="0"/>
          <wp:positionH relativeFrom="page">
            <wp:posOffset>3131820</wp:posOffset>
          </wp:positionH>
          <wp:positionV relativeFrom="page">
            <wp:posOffset>600075</wp:posOffset>
          </wp:positionV>
          <wp:extent cx="3855720" cy="1026160"/>
          <wp:effectExtent l="0" t="0" r="0" b="0"/>
          <wp:wrapThrough wrapText="bothSides">
            <wp:wrapPolygon edited="0">
              <wp:start x="9107" y="0"/>
              <wp:lineTo x="3984" y="535"/>
              <wp:lineTo x="3984" y="2673"/>
              <wp:lineTo x="11526" y="9089"/>
              <wp:lineTo x="12095" y="10693"/>
              <wp:lineTo x="21059" y="10693"/>
              <wp:lineTo x="21202" y="2673"/>
              <wp:lineTo x="20775" y="535"/>
              <wp:lineTo x="19209" y="0"/>
              <wp:lineTo x="9107"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5572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9D5">
      <w:rPr>
        <w:noProof/>
      </w:rPr>
      <w:t xml:space="preserve"> </w:t>
    </w:r>
    <w:r>
      <w:rPr>
        <w:noProof/>
      </w:rPr>
      <w:drawing>
        <wp:anchor distT="0" distB="640080" distL="114300" distR="114300" simplePos="0" relativeHeight="251660288" behindDoc="0" locked="0" layoutInCell="1" allowOverlap="1" wp14:anchorId="2E5AEA10" wp14:editId="0ACD4A74">
          <wp:simplePos x="0" y="0"/>
          <wp:positionH relativeFrom="page">
            <wp:posOffset>914400</wp:posOffset>
          </wp:positionH>
          <wp:positionV relativeFrom="page">
            <wp:posOffset>345440</wp:posOffset>
          </wp:positionV>
          <wp:extent cx="1920875" cy="815340"/>
          <wp:effectExtent l="0" t="0" r="9525" b="0"/>
          <wp:wrapTopAndBottom/>
          <wp:docPr id="1" name="Picture 0" descr="letterhead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header.png"/>
                  <pic:cNvPicPr/>
                </pic:nvPicPr>
                <pic:blipFill rotWithShape="1">
                  <a:blip r:embed="rId3"/>
                  <a:srcRect r="72356"/>
                  <a:stretch/>
                </pic:blipFill>
                <pic:spPr bwMode="auto">
                  <a:xfrm>
                    <a:off x="0" y="0"/>
                    <a:ext cx="1920875" cy="815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p>
  <w:bookmarkEnd w:i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373242"/>
    <w:multiLevelType w:val="multilevel"/>
    <w:tmpl w:val="E91A1F74"/>
    <w:lvl w:ilvl="0">
      <w:start w:val="1"/>
      <w:numFmt w:val="decimal"/>
      <w:pStyle w:val="Heading1"/>
      <w:lvlText w:val="%1."/>
      <w:lvlJc w:val="left"/>
      <w:pPr>
        <w:tabs>
          <w:tab w:val="num" w:pos="720"/>
        </w:tabs>
        <w:ind w:left="720" w:hanging="720"/>
      </w:pPr>
      <w:rPr>
        <w:rFonts w:hint="default"/>
        <w:vanish w:val="0"/>
        <w:u w:val="none"/>
      </w:rPr>
    </w:lvl>
    <w:lvl w:ilvl="1">
      <w:start w:val="1"/>
      <w:numFmt w:val="lowerLetter"/>
      <w:pStyle w:val="Heading2"/>
      <w:lvlText w:val="%2."/>
      <w:lvlJc w:val="left"/>
      <w:pPr>
        <w:tabs>
          <w:tab w:val="num" w:pos="1440"/>
        </w:tabs>
        <w:ind w:left="1440" w:hanging="720"/>
      </w:pPr>
      <w:rPr>
        <w:rFonts w:hint="default"/>
        <w:vanish w:val="0"/>
        <w:u w:val="none"/>
      </w:rPr>
    </w:lvl>
    <w:lvl w:ilvl="2">
      <w:start w:val="1"/>
      <w:numFmt w:val="lowerRoman"/>
      <w:pStyle w:val="Heading3"/>
      <w:lvlText w:val="%3."/>
      <w:lvlJc w:val="left"/>
      <w:pPr>
        <w:tabs>
          <w:tab w:val="num" w:pos="2160"/>
        </w:tabs>
        <w:ind w:left="2160" w:hanging="720"/>
      </w:pPr>
      <w:rPr>
        <w:rFonts w:hint="default"/>
        <w:vanish w:val="0"/>
        <w:u w:val="none"/>
      </w:rPr>
    </w:lvl>
    <w:lvl w:ilvl="3">
      <w:start w:val="1"/>
      <w:numFmt w:val="lowerLetter"/>
      <w:pStyle w:val="Heading4"/>
      <w:lvlText w:val="%4)"/>
      <w:lvlJc w:val="left"/>
      <w:pPr>
        <w:tabs>
          <w:tab w:val="num" w:pos="2880"/>
        </w:tabs>
        <w:ind w:left="2880" w:hanging="720"/>
      </w:pPr>
      <w:rPr>
        <w:rFonts w:hint="default"/>
        <w:vanish w:val="0"/>
        <w:u w:val="none"/>
      </w:rPr>
    </w:lvl>
    <w:lvl w:ilvl="4">
      <w:start w:val="1"/>
      <w:numFmt w:val="lowerRoman"/>
      <w:pStyle w:val="Heading5"/>
      <w:lvlText w:val="%5)"/>
      <w:lvlJc w:val="left"/>
      <w:pPr>
        <w:tabs>
          <w:tab w:val="num" w:pos="3600"/>
        </w:tabs>
        <w:ind w:left="3600" w:hanging="720"/>
      </w:pPr>
      <w:rPr>
        <w:rFonts w:hint="default"/>
        <w:vanish w:val="0"/>
        <w:u w:val="none"/>
      </w:rPr>
    </w:lvl>
    <w:lvl w:ilvl="5">
      <w:start w:val="1"/>
      <w:numFmt w:val="lowerLetter"/>
      <w:lvlRestart w:val="0"/>
      <w:pStyle w:val="Heading6"/>
      <w:lvlText w:val="(%6)"/>
      <w:lvlJc w:val="left"/>
      <w:pPr>
        <w:tabs>
          <w:tab w:val="num" w:pos="4320"/>
        </w:tabs>
        <w:ind w:left="4320" w:hanging="720"/>
      </w:pPr>
      <w:rPr>
        <w:rFonts w:hint="default"/>
        <w:vanish w:val="0"/>
        <w:u w:val="none"/>
      </w:rPr>
    </w:lvl>
    <w:lvl w:ilvl="6">
      <w:start w:val="1"/>
      <w:numFmt w:val="upperRoman"/>
      <w:pStyle w:val="Heading7"/>
      <w:lvlText w:val="%7."/>
      <w:lvlJc w:val="left"/>
      <w:pPr>
        <w:tabs>
          <w:tab w:val="num" w:pos="1440"/>
        </w:tabs>
        <w:ind w:left="1440" w:hanging="720"/>
      </w:pPr>
      <w:rPr>
        <w:rFonts w:hint="default"/>
        <w:vanish w:val="0"/>
        <w:u w:val="none"/>
      </w:rPr>
    </w:lvl>
    <w:lvl w:ilvl="7">
      <w:start w:val="1"/>
      <w:numFmt w:val="upperLetter"/>
      <w:pStyle w:val="Heading8"/>
      <w:lvlText w:val="%8."/>
      <w:lvlJc w:val="left"/>
      <w:pPr>
        <w:tabs>
          <w:tab w:val="num" w:pos="2160"/>
        </w:tabs>
        <w:ind w:left="2160" w:hanging="720"/>
      </w:pPr>
      <w:rPr>
        <w:rFonts w:hint="default"/>
        <w:vanish w:val="0"/>
        <w:u w:val="none"/>
      </w:rPr>
    </w:lvl>
    <w:lvl w:ilvl="8">
      <w:start w:val="1"/>
      <w:numFmt w:val="decimal"/>
      <w:pStyle w:val="Heading9"/>
      <w:lvlText w:val="%9."/>
      <w:lvlJc w:val="left"/>
      <w:pPr>
        <w:tabs>
          <w:tab w:val="num" w:pos="2880"/>
        </w:tabs>
        <w:ind w:left="2880" w:hanging="720"/>
      </w:pPr>
      <w:rPr>
        <w:rFonts w:hint="default"/>
        <w:vanish w:val="0"/>
        <w:u w:val="none"/>
      </w:rPr>
    </w:lvl>
  </w:abstractNum>
  <w:abstractNum w:abstractNumId="1">
    <w:nsid w:val="6D662279"/>
    <w:multiLevelType w:val="hybridMultilevel"/>
    <w:tmpl w:val="9F9242CA"/>
    <w:lvl w:ilvl="0" w:tplc="9AC26F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375"/>
    <w:rsid w:val="00012512"/>
    <w:rsid w:val="0016447C"/>
    <w:rsid w:val="00177F4A"/>
    <w:rsid w:val="001F505C"/>
    <w:rsid w:val="0024322B"/>
    <w:rsid w:val="00251442"/>
    <w:rsid w:val="002E05DC"/>
    <w:rsid w:val="00320CB3"/>
    <w:rsid w:val="003769A5"/>
    <w:rsid w:val="00390443"/>
    <w:rsid w:val="003F2457"/>
    <w:rsid w:val="003F65AB"/>
    <w:rsid w:val="004207AF"/>
    <w:rsid w:val="004577DE"/>
    <w:rsid w:val="004745C7"/>
    <w:rsid w:val="006502E9"/>
    <w:rsid w:val="00716664"/>
    <w:rsid w:val="00880B11"/>
    <w:rsid w:val="00966D11"/>
    <w:rsid w:val="009B27C8"/>
    <w:rsid w:val="00A935CD"/>
    <w:rsid w:val="00AA0244"/>
    <w:rsid w:val="00AA1ACE"/>
    <w:rsid w:val="00B67DD5"/>
    <w:rsid w:val="00BB2C42"/>
    <w:rsid w:val="00C576A7"/>
    <w:rsid w:val="00CD440D"/>
    <w:rsid w:val="00D44BEB"/>
    <w:rsid w:val="00DD2375"/>
    <w:rsid w:val="00DF0473"/>
    <w:rsid w:val="00EA19D5"/>
    <w:rsid w:val="00F25AE9"/>
    <w:rsid w:val="00FA7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5:docId w15:val="{FD102F18-9667-448E-B942-9763C949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ACE"/>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BodyText"/>
    <w:link w:val="Heading1Char"/>
    <w:qFormat/>
    <w:rsid w:val="00AA1ACE"/>
    <w:pPr>
      <w:numPr>
        <w:numId w:val="1"/>
      </w:numPr>
      <w:spacing w:after="240"/>
      <w:outlineLvl w:val="0"/>
    </w:pPr>
    <w:rPr>
      <w:szCs w:val="20"/>
    </w:rPr>
  </w:style>
  <w:style w:type="paragraph" w:styleId="Heading2">
    <w:name w:val="heading 2"/>
    <w:aliases w:val="h2"/>
    <w:basedOn w:val="Normal"/>
    <w:next w:val="BodyText"/>
    <w:link w:val="Heading2Char"/>
    <w:qFormat/>
    <w:rsid w:val="00AA1ACE"/>
    <w:pPr>
      <w:numPr>
        <w:ilvl w:val="1"/>
        <w:numId w:val="1"/>
      </w:numPr>
      <w:spacing w:after="240"/>
      <w:outlineLvl w:val="1"/>
    </w:pPr>
    <w:rPr>
      <w:szCs w:val="20"/>
    </w:rPr>
  </w:style>
  <w:style w:type="paragraph" w:styleId="Heading3">
    <w:name w:val="heading 3"/>
    <w:aliases w:val="h3"/>
    <w:basedOn w:val="Normal"/>
    <w:next w:val="BodyText"/>
    <w:link w:val="Heading3Char"/>
    <w:qFormat/>
    <w:rsid w:val="00AA1ACE"/>
    <w:pPr>
      <w:numPr>
        <w:ilvl w:val="2"/>
        <w:numId w:val="1"/>
      </w:numPr>
      <w:spacing w:after="240"/>
      <w:outlineLvl w:val="2"/>
    </w:pPr>
    <w:rPr>
      <w:szCs w:val="20"/>
    </w:rPr>
  </w:style>
  <w:style w:type="paragraph" w:styleId="Heading4">
    <w:name w:val="heading 4"/>
    <w:aliases w:val="h4"/>
    <w:basedOn w:val="Normal"/>
    <w:next w:val="BodyText"/>
    <w:link w:val="Heading4Char"/>
    <w:qFormat/>
    <w:rsid w:val="00AA1ACE"/>
    <w:pPr>
      <w:numPr>
        <w:ilvl w:val="3"/>
        <w:numId w:val="1"/>
      </w:numPr>
      <w:spacing w:after="240"/>
      <w:outlineLvl w:val="3"/>
    </w:pPr>
    <w:rPr>
      <w:szCs w:val="20"/>
    </w:rPr>
  </w:style>
  <w:style w:type="paragraph" w:styleId="Heading5">
    <w:name w:val="heading 5"/>
    <w:aliases w:val="h5"/>
    <w:basedOn w:val="Normal"/>
    <w:next w:val="BodyText"/>
    <w:link w:val="Heading5Char"/>
    <w:qFormat/>
    <w:rsid w:val="00AA1ACE"/>
    <w:pPr>
      <w:numPr>
        <w:ilvl w:val="4"/>
        <w:numId w:val="1"/>
      </w:numPr>
      <w:spacing w:after="240"/>
      <w:outlineLvl w:val="4"/>
    </w:pPr>
    <w:rPr>
      <w:szCs w:val="20"/>
    </w:rPr>
  </w:style>
  <w:style w:type="paragraph" w:styleId="Heading6">
    <w:name w:val="heading 6"/>
    <w:aliases w:val="h6"/>
    <w:basedOn w:val="Normal"/>
    <w:next w:val="Normal"/>
    <w:link w:val="Heading6Char"/>
    <w:qFormat/>
    <w:rsid w:val="00AA1ACE"/>
    <w:pPr>
      <w:numPr>
        <w:ilvl w:val="5"/>
        <w:numId w:val="1"/>
      </w:numPr>
      <w:spacing w:before="240"/>
      <w:outlineLvl w:val="5"/>
    </w:pPr>
    <w:rPr>
      <w:szCs w:val="20"/>
    </w:rPr>
  </w:style>
  <w:style w:type="paragraph" w:styleId="Heading7">
    <w:name w:val="heading 7"/>
    <w:aliases w:val="h7"/>
    <w:basedOn w:val="Normal"/>
    <w:next w:val="Normal"/>
    <w:link w:val="Heading7Char"/>
    <w:qFormat/>
    <w:rsid w:val="00AA1ACE"/>
    <w:pPr>
      <w:numPr>
        <w:ilvl w:val="6"/>
        <w:numId w:val="1"/>
      </w:numPr>
      <w:spacing w:before="240"/>
      <w:outlineLvl w:val="6"/>
    </w:pPr>
    <w:rPr>
      <w:szCs w:val="20"/>
    </w:rPr>
  </w:style>
  <w:style w:type="paragraph" w:styleId="Heading8">
    <w:name w:val="heading 8"/>
    <w:aliases w:val="h8"/>
    <w:basedOn w:val="Normal"/>
    <w:next w:val="Normal"/>
    <w:link w:val="Heading8Char"/>
    <w:qFormat/>
    <w:rsid w:val="00AA1ACE"/>
    <w:pPr>
      <w:numPr>
        <w:ilvl w:val="7"/>
        <w:numId w:val="1"/>
      </w:numPr>
      <w:spacing w:before="240"/>
      <w:outlineLvl w:val="7"/>
    </w:pPr>
    <w:rPr>
      <w:szCs w:val="20"/>
    </w:rPr>
  </w:style>
  <w:style w:type="paragraph" w:styleId="Heading9">
    <w:name w:val="heading 9"/>
    <w:aliases w:val="h9"/>
    <w:basedOn w:val="Normal"/>
    <w:next w:val="Normal"/>
    <w:link w:val="Heading9Char"/>
    <w:qFormat/>
    <w:rsid w:val="00AA1ACE"/>
    <w:pPr>
      <w:numPr>
        <w:ilvl w:val="8"/>
        <w:numId w:val="1"/>
      </w:numPr>
      <w:spacing w:before="24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7C8"/>
    <w:pPr>
      <w:tabs>
        <w:tab w:val="center" w:pos="4320"/>
        <w:tab w:val="right" w:pos="8640"/>
      </w:tabs>
    </w:pPr>
  </w:style>
  <w:style w:type="character" w:customStyle="1" w:styleId="HeaderChar">
    <w:name w:val="Header Char"/>
    <w:basedOn w:val="DefaultParagraphFont"/>
    <w:link w:val="Header"/>
    <w:uiPriority w:val="99"/>
    <w:rsid w:val="009B27C8"/>
  </w:style>
  <w:style w:type="paragraph" w:styleId="Footer">
    <w:name w:val="footer"/>
    <w:basedOn w:val="Normal"/>
    <w:link w:val="FooterChar"/>
    <w:uiPriority w:val="99"/>
    <w:unhideWhenUsed/>
    <w:rsid w:val="009B27C8"/>
    <w:pPr>
      <w:tabs>
        <w:tab w:val="center" w:pos="4320"/>
        <w:tab w:val="right" w:pos="8640"/>
      </w:tabs>
    </w:pPr>
  </w:style>
  <w:style w:type="character" w:customStyle="1" w:styleId="FooterChar">
    <w:name w:val="Footer Char"/>
    <w:basedOn w:val="DefaultParagraphFont"/>
    <w:link w:val="Footer"/>
    <w:uiPriority w:val="99"/>
    <w:rsid w:val="009B27C8"/>
  </w:style>
  <w:style w:type="character" w:styleId="PageNumber">
    <w:name w:val="page number"/>
    <w:basedOn w:val="DefaultParagraphFont"/>
    <w:uiPriority w:val="99"/>
    <w:semiHidden/>
    <w:unhideWhenUsed/>
    <w:rsid w:val="00251442"/>
  </w:style>
  <w:style w:type="paragraph" w:styleId="NormalWeb">
    <w:name w:val="Normal (Web)"/>
    <w:basedOn w:val="Normal"/>
    <w:uiPriority w:val="99"/>
    <w:semiHidden/>
    <w:unhideWhenUsed/>
    <w:rsid w:val="00716664"/>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EA19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19D5"/>
    <w:rPr>
      <w:rFonts w:ascii="Lucida Grande" w:hAnsi="Lucida Grande" w:cs="Lucida Grande"/>
      <w:sz w:val="18"/>
      <w:szCs w:val="18"/>
    </w:rPr>
  </w:style>
  <w:style w:type="character" w:styleId="Strong">
    <w:name w:val="Strong"/>
    <w:basedOn w:val="DefaultParagraphFont"/>
    <w:uiPriority w:val="22"/>
    <w:qFormat/>
    <w:rsid w:val="00AA0244"/>
    <w:rPr>
      <w:b/>
      <w:bCs/>
    </w:rPr>
  </w:style>
  <w:style w:type="character" w:customStyle="1" w:styleId="apple-converted-space">
    <w:name w:val="apple-converted-space"/>
    <w:basedOn w:val="DefaultParagraphFont"/>
    <w:rsid w:val="00AA0244"/>
  </w:style>
  <w:style w:type="character" w:customStyle="1" w:styleId="Heading1Char">
    <w:name w:val="Heading 1 Char"/>
    <w:aliases w:val="h1 Char"/>
    <w:basedOn w:val="DefaultParagraphFont"/>
    <w:link w:val="Heading1"/>
    <w:rsid w:val="00AA1ACE"/>
    <w:rPr>
      <w:rFonts w:ascii="Times New Roman" w:eastAsia="Times New Roman" w:hAnsi="Times New Roman" w:cs="Times New Roman"/>
      <w:sz w:val="24"/>
      <w:szCs w:val="20"/>
    </w:rPr>
  </w:style>
  <w:style w:type="character" w:customStyle="1" w:styleId="Heading2Char">
    <w:name w:val="Heading 2 Char"/>
    <w:aliases w:val="h2 Char"/>
    <w:basedOn w:val="DefaultParagraphFont"/>
    <w:link w:val="Heading2"/>
    <w:rsid w:val="00AA1ACE"/>
    <w:rPr>
      <w:rFonts w:ascii="Times New Roman" w:eastAsia="Times New Roman" w:hAnsi="Times New Roman" w:cs="Times New Roman"/>
      <w:sz w:val="24"/>
      <w:szCs w:val="20"/>
    </w:rPr>
  </w:style>
  <w:style w:type="character" w:customStyle="1" w:styleId="Heading3Char">
    <w:name w:val="Heading 3 Char"/>
    <w:aliases w:val="h3 Char"/>
    <w:basedOn w:val="DefaultParagraphFont"/>
    <w:link w:val="Heading3"/>
    <w:rsid w:val="00AA1ACE"/>
    <w:rPr>
      <w:rFonts w:ascii="Times New Roman" w:eastAsia="Times New Roman" w:hAnsi="Times New Roman" w:cs="Times New Roman"/>
      <w:sz w:val="24"/>
      <w:szCs w:val="20"/>
    </w:rPr>
  </w:style>
  <w:style w:type="character" w:customStyle="1" w:styleId="Heading4Char">
    <w:name w:val="Heading 4 Char"/>
    <w:aliases w:val="h4 Char"/>
    <w:basedOn w:val="DefaultParagraphFont"/>
    <w:link w:val="Heading4"/>
    <w:rsid w:val="00AA1ACE"/>
    <w:rPr>
      <w:rFonts w:ascii="Times New Roman" w:eastAsia="Times New Roman" w:hAnsi="Times New Roman" w:cs="Times New Roman"/>
      <w:sz w:val="24"/>
      <w:szCs w:val="20"/>
    </w:rPr>
  </w:style>
  <w:style w:type="character" w:customStyle="1" w:styleId="Heading5Char">
    <w:name w:val="Heading 5 Char"/>
    <w:aliases w:val="h5 Char"/>
    <w:basedOn w:val="DefaultParagraphFont"/>
    <w:link w:val="Heading5"/>
    <w:rsid w:val="00AA1ACE"/>
    <w:rPr>
      <w:rFonts w:ascii="Times New Roman" w:eastAsia="Times New Roman" w:hAnsi="Times New Roman" w:cs="Times New Roman"/>
      <w:sz w:val="24"/>
      <w:szCs w:val="20"/>
    </w:rPr>
  </w:style>
  <w:style w:type="character" w:customStyle="1" w:styleId="Heading6Char">
    <w:name w:val="Heading 6 Char"/>
    <w:aliases w:val="h6 Char"/>
    <w:basedOn w:val="DefaultParagraphFont"/>
    <w:link w:val="Heading6"/>
    <w:rsid w:val="00AA1ACE"/>
    <w:rPr>
      <w:rFonts w:ascii="Times New Roman" w:eastAsia="Times New Roman" w:hAnsi="Times New Roman" w:cs="Times New Roman"/>
      <w:sz w:val="24"/>
      <w:szCs w:val="20"/>
    </w:rPr>
  </w:style>
  <w:style w:type="character" w:customStyle="1" w:styleId="Heading7Char">
    <w:name w:val="Heading 7 Char"/>
    <w:aliases w:val="h7 Char"/>
    <w:basedOn w:val="DefaultParagraphFont"/>
    <w:link w:val="Heading7"/>
    <w:rsid w:val="00AA1ACE"/>
    <w:rPr>
      <w:rFonts w:ascii="Times New Roman" w:eastAsia="Times New Roman" w:hAnsi="Times New Roman" w:cs="Times New Roman"/>
      <w:sz w:val="24"/>
      <w:szCs w:val="20"/>
    </w:rPr>
  </w:style>
  <w:style w:type="character" w:customStyle="1" w:styleId="Heading8Char">
    <w:name w:val="Heading 8 Char"/>
    <w:aliases w:val="h8 Char"/>
    <w:basedOn w:val="DefaultParagraphFont"/>
    <w:link w:val="Heading8"/>
    <w:rsid w:val="00AA1ACE"/>
    <w:rPr>
      <w:rFonts w:ascii="Times New Roman" w:eastAsia="Times New Roman" w:hAnsi="Times New Roman" w:cs="Times New Roman"/>
      <w:sz w:val="24"/>
      <w:szCs w:val="20"/>
    </w:rPr>
  </w:style>
  <w:style w:type="character" w:customStyle="1" w:styleId="Heading9Char">
    <w:name w:val="Heading 9 Char"/>
    <w:aliases w:val="h9 Char"/>
    <w:basedOn w:val="DefaultParagraphFont"/>
    <w:link w:val="Heading9"/>
    <w:rsid w:val="00AA1ACE"/>
    <w:rPr>
      <w:rFonts w:ascii="Times New Roman" w:eastAsia="Times New Roman" w:hAnsi="Times New Roman" w:cs="Times New Roman"/>
      <w:sz w:val="24"/>
      <w:szCs w:val="20"/>
    </w:rPr>
  </w:style>
  <w:style w:type="paragraph" w:styleId="BodyText">
    <w:name w:val="Body Text"/>
    <w:aliases w:val="bt"/>
    <w:basedOn w:val="Normal"/>
    <w:link w:val="BodyTextChar"/>
    <w:rsid w:val="00AA1ACE"/>
    <w:pPr>
      <w:spacing w:after="240"/>
    </w:pPr>
    <w:rPr>
      <w:szCs w:val="20"/>
    </w:rPr>
  </w:style>
  <w:style w:type="character" w:customStyle="1" w:styleId="BodyTextChar">
    <w:name w:val="Body Text Char"/>
    <w:aliases w:val="bt Char"/>
    <w:basedOn w:val="DefaultParagraphFont"/>
    <w:link w:val="BodyText"/>
    <w:rsid w:val="00AA1ACE"/>
    <w:rPr>
      <w:rFonts w:ascii="Times New Roman" w:eastAsia="Times New Roman" w:hAnsi="Times New Roman" w:cs="Times New Roman"/>
      <w:sz w:val="24"/>
      <w:szCs w:val="20"/>
    </w:rPr>
  </w:style>
  <w:style w:type="paragraph" w:customStyle="1" w:styleId="ColorfulList-Accent11">
    <w:name w:val="Colorful List - Accent 11"/>
    <w:basedOn w:val="Normal"/>
    <w:link w:val="ColorfulList-Accent1Char"/>
    <w:uiPriority w:val="34"/>
    <w:qFormat/>
    <w:rsid w:val="00AA1ACE"/>
    <w:pPr>
      <w:ind w:left="720"/>
      <w:contextualSpacing/>
    </w:pPr>
    <w:rPr>
      <w:rFonts w:ascii="Cambria" w:eastAsia="MS Mincho" w:hAnsi="Cambria"/>
    </w:rPr>
  </w:style>
  <w:style w:type="character" w:styleId="Hyperlink">
    <w:name w:val="Hyperlink"/>
    <w:uiPriority w:val="99"/>
    <w:unhideWhenUsed/>
    <w:rsid w:val="00AA1ACE"/>
    <w:rPr>
      <w:color w:val="0000FF"/>
      <w:u w:val="single"/>
    </w:rPr>
  </w:style>
  <w:style w:type="character" w:customStyle="1" w:styleId="notranslate">
    <w:name w:val="notranslate"/>
    <w:rsid w:val="00AA1ACE"/>
  </w:style>
  <w:style w:type="character" w:customStyle="1" w:styleId="ColorfulList-Accent1Char">
    <w:name w:val="Colorful List - Accent 1 Char"/>
    <w:basedOn w:val="DefaultParagraphFont"/>
    <w:link w:val="ColorfulList-Accent11"/>
    <w:uiPriority w:val="34"/>
    <w:rsid w:val="00AA1ACE"/>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2005">
      <w:bodyDiv w:val="1"/>
      <w:marLeft w:val="0"/>
      <w:marRight w:val="0"/>
      <w:marTop w:val="0"/>
      <w:marBottom w:val="0"/>
      <w:divBdr>
        <w:top w:val="none" w:sz="0" w:space="0" w:color="auto"/>
        <w:left w:val="none" w:sz="0" w:space="0" w:color="auto"/>
        <w:bottom w:val="none" w:sz="0" w:space="0" w:color="auto"/>
        <w:right w:val="none" w:sz="0" w:space="0" w:color="auto"/>
      </w:divBdr>
    </w:div>
    <w:div w:id="87779286">
      <w:bodyDiv w:val="1"/>
      <w:marLeft w:val="0"/>
      <w:marRight w:val="0"/>
      <w:marTop w:val="0"/>
      <w:marBottom w:val="0"/>
      <w:divBdr>
        <w:top w:val="none" w:sz="0" w:space="0" w:color="auto"/>
        <w:left w:val="none" w:sz="0" w:space="0" w:color="auto"/>
        <w:bottom w:val="none" w:sz="0" w:space="0" w:color="auto"/>
        <w:right w:val="none" w:sz="0" w:space="0" w:color="auto"/>
      </w:divBdr>
    </w:div>
    <w:div w:id="133522850">
      <w:bodyDiv w:val="1"/>
      <w:marLeft w:val="0"/>
      <w:marRight w:val="0"/>
      <w:marTop w:val="0"/>
      <w:marBottom w:val="0"/>
      <w:divBdr>
        <w:top w:val="none" w:sz="0" w:space="0" w:color="auto"/>
        <w:left w:val="none" w:sz="0" w:space="0" w:color="auto"/>
        <w:bottom w:val="none" w:sz="0" w:space="0" w:color="auto"/>
        <w:right w:val="none" w:sz="0" w:space="0" w:color="auto"/>
      </w:divBdr>
    </w:div>
    <w:div w:id="204684624">
      <w:bodyDiv w:val="1"/>
      <w:marLeft w:val="0"/>
      <w:marRight w:val="0"/>
      <w:marTop w:val="0"/>
      <w:marBottom w:val="0"/>
      <w:divBdr>
        <w:top w:val="none" w:sz="0" w:space="0" w:color="auto"/>
        <w:left w:val="none" w:sz="0" w:space="0" w:color="auto"/>
        <w:bottom w:val="none" w:sz="0" w:space="0" w:color="auto"/>
        <w:right w:val="none" w:sz="0" w:space="0" w:color="auto"/>
      </w:divBdr>
    </w:div>
    <w:div w:id="261764937">
      <w:bodyDiv w:val="1"/>
      <w:marLeft w:val="0"/>
      <w:marRight w:val="0"/>
      <w:marTop w:val="0"/>
      <w:marBottom w:val="0"/>
      <w:divBdr>
        <w:top w:val="none" w:sz="0" w:space="0" w:color="auto"/>
        <w:left w:val="none" w:sz="0" w:space="0" w:color="auto"/>
        <w:bottom w:val="none" w:sz="0" w:space="0" w:color="auto"/>
        <w:right w:val="none" w:sz="0" w:space="0" w:color="auto"/>
      </w:divBdr>
    </w:div>
    <w:div w:id="574704352">
      <w:bodyDiv w:val="1"/>
      <w:marLeft w:val="0"/>
      <w:marRight w:val="0"/>
      <w:marTop w:val="0"/>
      <w:marBottom w:val="0"/>
      <w:divBdr>
        <w:top w:val="none" w:sz="0" w:space="0" w:color="auto"/>
        <w:left w:val="none" w:sz="0" w:space="0" w:color="auto"/>
        <w:bottom w:val="none" w:sz="0" w:space="0" w:color="auto"/>
        <w:right w:val="none" w:sz="0" w:space="0" w:color="auto"/>
      </w:divBdr>
    </w:div>
    <w:div w:id="840314650">
      <w:bodyDiv w:val="1"/>
      <w:marLeft w:val="0"/>
      <w:marRight w:val="0"/>
      <w:marTop w:val="0"/>
      <w:marBottom w:val="0"/>
      <w:divBdr>
        <w:top w:val="none" w:sz="0" w:space="0" w:color="auto"/>
        <w:left w:val="none" w:sz="0" w:space="0" w:color="auto"/>
        <w:bottom w:val="none" w:sz="0" w:space="0" w:color="auto"/>
        <w:right w:val="none" w:sz="0" w:space="0" w:color="auto"/>
      </w:divBdr>
    </w:div>
    <w:div w:id="912204577">
      <w:bodyDiv w:val="1"/>
      <w:marLeft w:val="0"/>
      <w:marRight w:val="0"/>
      <w:marTop w:val="0"/>
      <w:marBottom w:val="0"/>
      <w:divBdr>
        <w:top w:val="none" w:sz="0" w:space="0" w:color="auto"/>
        <w:left w:val="none" w:sz="0" w:space="0" w:color="auto"/>
        <w:bottom w:val="none" w:sz="0" w:space="0" w:color="auto"/>
        <w:right w:val="none" w:sz="0" w:space="0" w:color="auto"/>
      </w:divBdr>
    </w:div>
    <w:div w:id="947082659">
      <w:bodyDiv w:val="1"/>
      <w:marLeft w:val="0"/>
      <w:marRight w:val="0"/>
      <w:marTop w:val="0"/>
      <w:marBottom w:val="0"/>
      <w:divBdr>
        <w:top w:val="none" w:sz="0" w:space="0" w:color="auto"/>
        <w:left w:val="none" w:sz="0" w:space="0" w:color="auto"/>
        <w:bottom w:val="none" w:sz="0" w:space="0" w:color="auto"/>
        <w:right w:val="none" w:sz="0" w:space="0" w:color="auto"/>
      </w:divBdr>
    </w:div>
    <w:div w:id="964386086">
      <w:bodyDiv w:val="1"/>
      <w:marLeft w:val="0"/>
      <w:marRight w:val="0"/>
      <w:marTop w:val="0"/>
      <w:marBottom w:val="0"/>
      <w:divBdr>
        <w:top w:val="none" w:sz="0" w:space="0" w:color="auto"/>
        <w:left w:val="none" w:sz="0" w:space="0" w:color="auto"/>
        <w:bottom w:val="none" w:sz="0" w:space="0" w:color="auto"/>
        <w:right w:val="none" w:sz="0" w:space="0" w:color="auto"/>
      </w:divBdr>
      <w:divsChild>
        <w:div w:id="587930998">
          <w:marLeft w:val="0"/>
          <w:marRight w:val="0"/>
          <w:marTop w:val="0"/>
          <w:marBottom w:val="0"/>
          <w:divBdr>
            <w:top w:val="none" w:sz="0" w:space="0" w:color="auto"/>
            <w:left w:val="none" w:sz="0" w:space="0" w:color="auto"/>
            <w:bottom w:val="none" w:sz="0" w:space="0" w:color="auto"/>
            <w:right w:val="none" w:sz="0" w:space="0" w:color="auto"/>
          </w:divBdr>
        </w:div>
        <w:div w:id="1040130288">
          <w:marLeft w:val="0"/>
          <w:marRight w:val="0"/>
          <w:marTop w:val="0"/>
          <w:marBottom w:val="0"/>
          <w:divBdr>
            <w:top w:val="none" w:sz="0" w:space="0" w:color="auto"/>
            <w:left w:val="none" w:sz="0" w:space="0" w:color="auto"/>
            <w:bottom w:val="none" w:sz="0" w:space="0" w:color="auto"/>
            <w:right w:val="none" w:sz="0" w:space="0" w:color="auto"/>
          </w:divBdr>
        </w:div>
        <w:div w:id="1263295062">
          <w:marLeft w:val="0"/>
          <w:marRight w:val="0"/>
          <w:marTop w:val="0"/>
          <w:marBottom w:val="0"/>
          <w:divBdr>
            <w:top w:val="none" w:sz="0" w:space="0" w:color="auto"/>
            <w:left w:val="none" w:sz="0" w:space="0" w:color="auto"/>
            <w:bottom w:val="none" w:sz="0" w:space="0" w:color="auto"/>
            <w:right w:val="none" w:sz="0" w:space="0" w:color="auto"/>
          </w:divBdr>
        </w:div>
        <w:div w:id="1570772625">
          <w:marLeft w:val="0"/>
          <w:marRight w:val="0"/>
          <w:marTop w:val="0"/>
          <w:marBottom w:val="0"/>
          <w:divBdr>
            <w:top w:val="none" w:sz="0" w:space="0" w:color="auto"/>
            <w:left w:val="none" w:sz="0" w:space="0" w:color="auto"/>
            <w:bottom w:val="none" w:sz="0" w:space="0" w:color="auto"/>
            <w:right w:val="none" w:sz="0" w:space="0" w:color="auto"/>
          </w:divBdr>
        </w:div>
      </w:divsChild>
    </w:div>
    <w:div w:id="1277568266">
      <w:bodyDiv w:val="1"/>
      <w:marLeft w:val="0"/>
      <w:marRight w:val="0"/>
      <w:marTop w:val="0"/>
      <w:marBottom w:val="0"/>
      <w:divBdr>
        <w:top w:val="none" w:sz="0" w:space="0" w:color="auto"/>
        <w:left w:val="none" w:sz="0" w:space="0" w:color="auto"/>
        <w:bottom w:val="none" w:sz="0" w:space="0" w:color="auto"/>
        <w:right w:val="none" w:sz="0" w:space="0" w:color="auto"/>
      </w:divBdr>
    </w:div>
    <w:div w:id="1342515337">
      <w:bodyDiv w:val="1"/>
      <w:marLeft w:val="0"/>
      <w:marRight w:val="0"/>
      <w:marTop w:val="0"/>
      <w:marBottom w:val="0"/>
      <w:divBdr>
        <w:top w:val="none" w:sz="0" w:space="0" w:color="auto"/>
        <w:left w:val="none" w:sz="0" w:space="0" w:color="auto"/>
        <w:bottom w:val="none" w:sz="0" w:space="0" w:color="auto"/>
        <w:right w:val="none" w:sz="0" w:space="0" w:color="auto"/>
      </w:divBdr>
    </w:div>
    <w:div w:id="1453744967">
      <w:bodyDiv w:val="1"/>
      <w:marLeft w:val="0"/>
      <w:marRight w:val="0"/>
      <w:marTop w:val="0"/>
      <w:marBottom w:val="0"/>
      <w:divBdr>
        <w:top w:val="none" w:sz="0" w:space="0" w:color="auto"/>
        <w:left w:val="none" w:sz="0" w:space="0" w:color="auto"/>
        <w:bottom w:val="none" w:sz="0" w:space="0" w:color="auto"/>
        <w:right w:val="none" w:sz="0" w:space="0" w:color="auto"/>
      </w:divBdr>
      <w:divsChild>
        <w:div w:id="952132144">
          <w:marLeft w:val="0"/>
          <w:marRight w:val="0"/>
          <w:marTop w:val="0"/>
          <w:marBottom w:val="0"/>
          <w:divBdr>
            <w:top w:val="none" w:sz="0" w:space="0" w:color="auto"/>
            <w:left w:val="none" w:sz="0" w:space="0" w:color="auto"/>
            <w:bottom w:val="none" w:sz="0" w:space="0" w:color="auto"/>
            <w:right w:val="none" w:sz="0" w:space="0" w:color="auto"/>
          </w:divBdr>
        </w:div>
        <w:div w:id="1282224110">
          <w:marLeft w:val="0"/>
          <w:marRight w:val="0"/>
          <w:marTop w:val="0"/>
          <w:marBottom w:val="0"/>
          <w:divBdr>
            <w:top w:val="none" w:sz="0" w:space="0" w:color="auto"/>
            <w:left w:val="none" w:sz="0" w:space="0" w:color="auto"/>
            <w:bottom w:val="none" w:sz="0" w:space="0" w:color="auto"/>
            <w:right w:val="none" w:sz="0" w:space="0" w:color="auto"/>
          </w:divBdr>
        </w:div>
        <w:div w:id="1363284574">
          <w:marLeft w:val="0"/>
          <w:marRight w:val="0"/>
          <w:marTop w:val="0"/>
          <w:marBottom w:val="0"/>
          <w:divBdr>
            <w:top w:val="none" w:sz="0" w:space="0" w:color="auto"/>
            <w:left w:val="none" w:sz="0" w:space="0" w:color="auto"/>
            <w:bottom w:val="none" w:sz="0" w:space="0" w:color="auto"/>
            <w:right w:val="none" w:sz="0" w:space="0" w:color="auto"/>
          </w:divBdr>
        </w:div>
        <w:div w:id="2089379446">
          <w:marLeft w:val="0"/>
          <w:marRight w:val="0"/>
          <w:marTop w:val="0"/>
          <w:marBottom w:val="0"/>
          <w:divBdr>
            <w:top w:val="none" w:sz="0" w:space="0" w:color="auto"/>
            <w:left w:val="none" w:sz="0" w:space="0" w:color="auto"/>
            <w:bottom w:val="none" w:sz="0" w:space="0" w:color="auto"/>
            <w:right w:val="none" w:sz="0" w:space="0" w:color="auto"/>
          </w:divBdr>
        </w:div>
      </w:divsChild>
    </w:div>
    <w:div w:id="1538539855">
      <w:bodyDiv w:val="1"/>
      <w:marLeft w:val="0"/>
      <w:marRight w:val="0"/>
      <w:marTop w:val="0"/>
      <w:marBottom w:val="0"/>
      <w:divBdr>
        <w:top w:val="none" w:sz="0" w:space="0" w:color="auto"/>
        <w:left w:val="none" w:sz="0" w:space="0" w:color="auto"/>
        <w:bottom w:val="none" w:sz="0" w:space="0" w:color="auto"/>
        <w:right w:val="none" w:sz="0" w:space="0" w:color="auto"/>
      </w:divBdr>
    </w:div>
    <w:div w:id="1653870514">
      <w:bodyDiv w:val="1"/>
      <w:marLeft w:val="0"/>
      <w:marRight w:val="0"/>
      <w:marTop w:val="0"/>
      <w:marBottom w:val="0"/>
      <w:divBdr>
        <w:top w:val="none" w:sz="0" w:space="0" w:color="auto"/>
        <w:left w:val="none" w:sz="0" w:space="0" w:color="auto"/>
        <w:bottom w:val="none" w:sz="0" w:space="0" w:color="auto"/>
        <w:right w:val="none" w:sz="0" w:space="0" w:color="auto"/>
      </w:divBdr>
    </w:div>
    <w:div w:id="1674380408">
      <w:bodyDiv w:val="1"/>
      <w:marLeft w:val="0"/>
      <w:marRight w:val="0"/>
      <w:marTop w:val="0"/>
      <w:marBottom w:val="0"/>
      <w:divBdr>
        <w:top w:val="none" w:sz="0" w:space="0" w:color="auto"/>
        <w:left w:val="none" w:sz="0" w:space="0" w:color="auto"/>
        <w:bottom w:val="none" w:sz="0" w:space="0" w:color="auto"/>
        <w:right w:val="none" w:sz="0" w:space="0" w:color="auto"/>
      </w:divBdr>
    </w:div>
    <w:div w:id="1825049210">
      <w:bodyDiv w:val="1"/>
      <w:marLeft w:val="0"/>
      <w:marRight w:val="0"/>
      <w:marTop w:val="0"/>
      <w:marBottom w:val="0"/>
      <w:divBdr>
        <w:top w:val="none" w:sz="0" w:space="0" w:color="auto"/>
        <w:left w:val="none" w:sz="0" w:space="0" w:color="auto"/>
        <w:bottom w:val="none" w:sz="0" w:space="0" w:color="auto"/>
        <w:right w:val="none" w:sz="0" w:space="0" w:color="auto"/>
      </w:divBdr>
      <w:divsChild>
        <w:div w:id="291790350">
          <w:marLeft w:val="0"/>
          <w:marRight w:val="0"/>
          <w:marTop w:val="0"/>
          <w:marBottom w:val="0"/>
          <w:divBdr>
            <w:top w:val="none" w:sz="0" w:space="0" w:color="auto"/>
            <w:left w:val="none" w:sz="0" w:space="0" w:color="auto"/>
            <w:bottom w:val="none" w:sz="0" w:space="0" w:color="auto"/>
            <w:right w:val="none" w:sz="0" w:space="0" w:color="auto"/>
          </w:divBdr>
        </w:div>
        <w:div w:id="967322211">
          <w:marLeft w:val="0"/>
          <w:marRight w:val="0"/>
          <w:marTop w:val="0"/>
          <w:marBottom w:val="0"/>
          <w:divBdr>
            <w:top w:val="none" w:sz="0" w:space="0" w:color="auto"/>
            <w:left w:val="none" w:sz="0" w:space="0" w:color="auto"/>
            <w:bottom w:val="none" w:sz="0" w:space="0" w:color="auto"/>
            <w:right w:val="none" w:sz="0" w:space="0" w:color="auto"/>
          </w:divBdr>
        </w:div>
        <w:div w:id="1060787282">
          <w:marLeft w:val="0"/>
          <w:marRight w:val="0"/>
          <w:marTop w:val="0"/>
          <w:marBottom w:val="0"/>
          <w:divBdr>
            <w:top w:val="none" w:sz="0" w:space="0" w:color="auto"/>
            <w:left w:val="none" w:sz="0" w:space="0" w:color="auto"/>
            <w:bottom w:val="none" w:sz="0" w:space="0" w:color="auto"/>
            <w:right w:val="none" w:sz="0" w:space="0" w:color="auto"/>
          </w:divBdr>
        </w:div>
        <w:div w:id="1375698297">
          <w:marLeft w:val="0"/>
          <w:marRight w:val="0"/>
          <w:marTop w:val="0"/>
          <w:marBottom w:val="0"/>
          <w:divBdr>
            <w:top w:val="none" w:sz="0" w:space="0" w:color="auto"/>
            <w:left w:val="none" w:sz="0" w:space="0" w:color="auto"/>
            <w:bottom w:val="none" w:sz="0" w:space="0" w:color="auto"/>
            <w:right w:val="none" w:sz="0" w:space="0" w:color="auto"/>
          </w:divBdr>
        </w:div>
      </w:divsChild>
    </w:div>
    <w:div w:id="1834835612">
      <w:bodyDiv w:val="1"/>
      <w:marLeft w:val="0"/>
      <w:marRight w:val="0"/>
      <w:marTop w:val="0"/>
      <w:marBottom w:val="0"/>
      <w:divBdr>
        <w:top w:val="none" w:sz="0" w:space="0" w:color="auto"/>
        <w:left w:val="none" w:sz="0" w:space="0" w:color="auto"/>
        <w:bottom w:val="none" w:sz="0" w:space="0" w:color="auto"/>
        <w:right w:val="none" w:sz="0" w:space="0" w:color="auto"/>
      </w:divBdr>
    </w:div>
    <w:div w:id="1945185461">
      <w:bodyDiv w:val="1"/>
      <w:marLeft w:val="0"/>
      <w:marRight w:val="0"/>
      <w:marTop w:val="0"/>
      <w:marBottom w:val="0"/>
      <w:divBdr>
        <w:top w:val="none" w:sz="0" w:space="0" w:color="auto"/>
        <w:left w:val="none" w:sz="0" w:space="0" w:color="auto"/>
        <w:bottom w:val="none" w:sz="0" w:space="0" w:color="auto"/>
        <w:right w:val="none" w:sz="0" w:space="0" w:color="auto"/>
      </w:divBdr>
    </w:div>
    <w:div w:id="1954286920">
      <w:bodyDiv w:val="1"/>
      <w:marLeft w:val="0"/>
      <w:marRight w:val="0"/>
      <w:marTop w:val="0"/>
      <w:marBottom w:val="0"/>
      <w:divBdr>
        <w:top w:val="none" w:sz="0" w:space="0" w:color="auto"/>
        <w:left w:val="none" w:sz="0" w:space="0" w:color="auto"/>
        <w:bottom w:val="none" w:sz="0" w:space="0" w:color="auto"/>
        <w:right w:val="none" w:sz="0" w:space="0" w:color="auto"/>
      </w:divBdr>
    </w:div>
    <w:div w:id="2005736494">
      <w:bodyDiv w:val="1"/>
      <w:marLeft w:val="0"/>
      <w:marRight w:val="0"/>
      <w:marTop w:val="0"/>
      <w:marBottom w:val="0"/>
      <w:divBdr>
        <w:top w:val="none" w:sz="0" w:space="0" w:color="auto"/>
        <w:left w:val="none" w:sz="0" w:space="0" w:color="auto"/>
        <w:bottom w:val="none" w:sz="0" w:space="0" w:color="auto"/>
        <w:right w:val="none" w:sz="0" w:space="0" w:color="auto"/>
      </w:divBdr>
      <w:divsChild>
        <w:div w:id="950555050">
          <w:marLeft w:val="0"/>
          <w:marRight w:val="0"/>
          <w:marTop w:val="0"/>
          <w:marBottom w:val="0"/>
          <w:divBdr>
            <w:top w:val="none" w:sz="0" w:space="0" w:color="auto"/>
            <w:left w:val="none" w:sz="0" w:space="0" w:color="auto"/>
            <w:bottom w:val="none" w:sz="0" w:space="0" w:color="auto"/>
            <w:right w:val="none" w:sz="0" w:space="0" w:color="auto"/>
          </w:divBdr>
        </w:div>
        <w:div w:id="1134324601">
          <w:marLeft w:val="0"/>
          <w:marRight w:val="0"/>
          <w:marTop w:val="0"/>
          <w:marBottom w:val="0"/>
          <w:divBdr>
            <w:top w:val="none" w:sz="0" w:space="0" w:color="auto"/>
            <w:left w:val="none" w:sz="0" w:space="0" w:color="auto"/>
            <w:bottom w:val="none" w:sz="0" w:space="0" w:color="auto"/>
            <w:right w:val="none" w:sz="0" w:space="0" w:color="auto"/>
          </w:divBdr>
        </w:div>
        <w:div w:id="2118717112">
          <w:marLeft w:val="0"/>
          <w:marRight w:val="0"/>
          <w:marTop w:val="0"/>
          <w:marBottom w:val="0"/>
          <w:divBdr>
            <w:top w:val="none" w:sz="0" w:space="0" w:color="auto"/>
            <w:left w:val="none" w:sz="0" w:space="0" w:color="auto"/>
            <w:bottom w:val="none" w:sz="0" w:space="0" w:color="auto"/>
            <w:right w:val="none" w:sz="0" w:space="0" w:color="auto"/>
          </w:divBdr>
        </w:div>
        <w:div w:id="2134514693">
          <w:marLeft w:val="0"/>
          <w:marRight w:val="0"/>
          <w:marTop w:val="0"/>
          <w:marBottom w:val="0"/>
          <w:divBdr>
            <w:top w:val="none" w:sz="0" w:space="0" w:color="auto"/>
            <w:left w:val="none" w:sz="0" w:space="0" w:color="auto"/>
            <w:bottom w:val="none" w:sz="0" w:space="0" w:color="auto"/>
            <w:right w:val="none" w:sz="0" w:space="0" w:color="auto"/>
          </w:divBdr>
        </w:div>
      </w:divsChild>
    </w:div>
    <w:div w:id="21173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ents-cwg-stewardship-draft-proposal-22apr15@icann.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X:\Users\lschulman\AppData\Local\Microsoft\Windows\Temporary%20Internet%20Files\Content.IE5\8LOG3B1M\INTA_Letterhead_Etien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064A24D2898E42B74163B95CC52ECF" ma:contentTypeVersion="12" ma:contentTypeDescription="Create a new document." ma:contentTypeScope="" ma:versionID="8277b5b27deba3d05297800ecdf4802e">
  <xsd:schema xmlns:xsd="http://www.w3.org/2001/XMLSchema" xmlns:xs="http://www.w3.org/2001/XMLSchema" xmlns:p="http://schemas.microsoft.com/office/2006/metadata/properties" xmlns:ns1="http://schemas.microsoft.com/sharepoint/v3" xmlns:ns2="b6826b84-a201-46a4-a7c0-d3b9f27a5c1c" targetNamespace="http://schemas.microsoft.com/office/2006/metadata/properties" ma:root="true" ma:fieldsID="6025f4af4a5918838bf4417a3d1d29c1" ns1:_="" ns2:_="">
    <xsd:import namespace="http://schemas.microsoft.com/sharepoint/v3"/>
    <xsd:import namespace="b6826b84-a201-46a4-a7c0-d3b9f27a5c1c"/>
    <xsd:element name="properties">
      <xsd:complexType>
        <xsd:sequence>
          <xsd:element name="documentManagement">
            <xsd:complexType>
              <xsd:all>
                <xsd:element ref="ns1:PublishingStartDate" minOccurs="0"/>
                <xsd:element ref="ns1:PublishingExpirationDate" minOccurs="0"/>
                <xsd:element ref="ns2:m5b017c00a69405883e19a3424a67d5c" minOccurs="0"/>
                <xsd:element ref="ns2:TaxCatchAll" minOccurs="0"/>
                <xsd:element ref="ns2:adaf2f46c03e46cbad7357d7df64e33c" minOccurs="0"/>
                <xsd:element ref="ns2:ob84a325ce754738a2f72e338df8ab46" minOccurs="0"/>
                <xsd:element ref="ns2:MarketingLibraryView"/>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826b84-a201-46a4-a7c0-d3b9f27a5c1c" elementFormDefault="qualified">
    <xsd:import namespace="http://schemas.microsoft.com/office/2006/documentManagement/types"/>
    <xsd:import namespace="http://schemas.microsoft.com/office/infopath/2007/PartnerControls"/>
    <xsd:element name="m5b017c00a69405883e19a3424a67d5c" ma:index="11" nillable="true" ma:taxonomy="true" ma:internalName="m5b017c00a69405883e19a3424a67d5c" ma:taxonomyFieldName="INTADepartmentTag" ma:displayName="INTADepartmentTag" ma:default="" ma:fieldId="{65b017c0-0a69-4058-83e1-9a3424a67d5c}" ma:taxonomyMulti="true" ma:sspId="7db61c5a-7af7-4fba-a0f7-e0bc6438f692" ma:termSetId="8fe03c90-e672-4229-8112-ed91447d0b48"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4f5a013-0c5a-4734-abb9-babcf337afb8}" ma:internalName="TaxCatchAll" ma:showField="CatchAllData" ma:web="b6826b84-a201-46a4-a7c0-d3b9f27a5c1c">
      <xsd:complexType>
        <xsd:complexContent>
          <xsd:extension base="dms:MultiChoiceLookup">
            <xsd:sequence>
              <xsd:element name="Value" type="dms:Lookup" maxOccurs="unbounded" minOccurs="0" nillable="true"/>
            </xsd:sequence>
          </xsd:extension>
        </xsd:complexContent>
      </xsd:complexType>
    </xsd:element>
    <xsd:element name="adaf2f46c03e46cbad7357d7df64e33c" ma:index="14" nillable="true" ma:taxonomy="true" ma:internalName="adaf2f46c03e46cbad7357d7df64e33c" ma:taxonomyFieldName="INTACategoryTag" ma:displayName="Keywords Tag" ma:readOnly="false" ma:default="" ma:fieldId="{adaf2f46-c03e-46cb-ad73-57d7df64e33c}" ma:taxonomyMulti="true" ma:sspId="7db61c5a-7af7-4fba-a0f7-e0bc6438f692" ma:termSetId="19c7de7e-3914-4ce1-ba62-4f5845b13ae7" ma:anchorId="00000000-0000-0000-0000-000000000000" ma:open="false" ma:isKeyword="false">
      <xsd:complexType>
        <xsd:sequence>
          <xsd:element ref="pc:Terms" minOccurs="0" maxOccurs="1"/>
        </xsd:sequence>
      </xsd:complexType>
    </xsd:element>
    <xsd:element name="ob84a325ce754738a2f72e338df8ab46" ma:index="16" nillable="true" ma:taxonomy="true" ma:internalName="ob84a325ce754738a2f72e338df8ab46" ma:taxonomyFieldName="INTAYearTag" ma:displayName="Year Tag" ma:readOnly="false" ma:default="" ma:fieldId="{8b84a325-ce75-4738-a2f7-2e338df8ab46}" ma:taxonomyMulti="true" ma:sspId="7db61c5a-7af7-4fba-a0f7-e0bc6438f692" ma:termSetId="268a10ba-1f79-41cc-bca5-5f3bd1bc45f7" ma:anchorId="00000000-0000-0000-0000-000000000000" ma:open="false" ma:isKeyword="false">
      <xsd:complexType>
        <xsd:sequence>
          <xsd:element ref="pc:Terms" minOccurs="0" maxOccurs="1"/>
        </xsd:sequence>
      </xsd:complexType>
    </xsd:element>
    <xsd:element name="MarketingLibraryView" ma:index="17" ma:displayName="Appears in View" ma:default="Marketing Plan" ma:format="Dropdown" ma:internalName="MarketingLibraryView">
      <xsd:simpleType>
        <xsd:restriction base="dms:Choice">
          <xsd:enumeration value="Marketing Plan"/>
          <xsd:enumeration value="Templates"/>
          <xsd:enumeration value="Style Guides"/>
          <xsd:enumeration value="Market Research Surveys"/>
          <xsd:enumeration value="Web Statistic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b84a325ce754738a2f72e338df8ab46 xmlns="b6826b84-a201-46a4-a7c0-d3b9f27a5c1c">
      <Terms xmlns="http://schemas.microsoft.com/office/infopath/2007/PartnerControls"/>
    </ob84a325ce754738a2f72e338df8ab46>
    <m5b017c00a69405883e19a3424a67d5c xmlns="b6826b84-a201-46a4-a7c0-d3b9f27a5c1c">
      <Terms xmlns="http://schemas.microsoft.com/office/infopath/2007/PartnerControls"/>
    </m5b017c00a69405883e19a3424a67d5c>
    <MarketingLibraryView xmlns="b6826b84-a201-46a4-a7c0-d3b9f27a5c1c">Templates</MarketingLibraryView>
    <PublishingStartDate xmlns="http://schemas.microsoft.com/sharepoint/v3" xsi:nil="true"/>
    <PublishingExpirationDate xmlns="http://schemas.microsoft.com/sharepoint/v3" xsi:nil="true"/>
    <adaf2f46c03e46cbad7357d7df64e33c xmlns="b6826b84-a201-46a4-a7c0-d3b9f27a5c1c">
      <Terms xmlns="http://schemas.microsoft.com/office/infopath/2007/PartnerControls"/>
    </adaf2f46c03e46cbad7357d7df64e33c>
    <TaxCatchAll xmlns="b6826b84-a201-46a4-a7c0-d3b9f27a5c1c"/>
  </documentManagement>
</p:properties>
</file>

<file path=customXml/itemProps1.xml><?xml version="1.0" encoding="utf-8"?>
<ds:datastoreItem xmlns:ds="http://schemas.openxmlformats.org/officeDocument/2006/customXml" ds:itemID="{60CE391C-7501-4888-8C10-843EF48E807E}">
  <ds:schemaRefs>
    <ds:schemaRef ds:uri="http://schemas.microsoft.com/sharepoint/v3/contenttype/forms"/>
  </ds:schemaRefs>
</ds:datastoreItem>
</file>

<file path=customXml/itemProps2.xml><?xml version="1.0" encoding="utf-8"?>
<ds:datastoreItem xmlns:ds="http://schemas.openxmlformats.org/officeDocument/2006/customXml" ds:itemID="{B9532A28-A851-46E8-AEC2-09A23FC61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826b84-a201-46a4-a7c0-d3b9f27a5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C07D45-DDEC-4552-8EDD-E922A7A5FA7F}">
  <ds:schemaRefs>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sharepoint/v3"/>
    <ds:schemaRef ds:uri="b6826b84-a201-46a4-a7c0-d3b9f27a5c1c"/>
    <ds:schemaRef ds:uri="http://purl.org/dc/dcmitype/"/>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INTA_Letterhead_Etienne</Template>
  <TotalTime>0</TotalTime>
  <Pages>14</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INTA_Letterhead_Etienne</vt:lpstr>
    </vt:vector>
  </TitlesOfParts>
  <Manager/>
  <Company>International Trademark Association</Company>
  <LinksUpToDate>false</LinksUpToDate>
  <CharactersWithSpaces>21667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INTA_Letterhead_Etienne</dc:title>
  <dc:subject/>
  <dc:creator>Lori Schulman</dc:creator>
  <cp:keywords/>
  <dc:description/>
  <cp:lastModifiedBy>Lori Schulman</cp:lastModifiedBy>
  <cp:revision>2</cp:revision>
  <cp:lastPrinted>2015-05-22T16:26:00Z</cp:lastPrinted>
  <dcterms:created xsi:type="dcterms:W3CDTF">2015-06-12T14:43:00Z</dcterms:created>
  <dcterms:modified xsi:type="dcterms:W3CDTF">2015-06-12T14:43:00Z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AYearTag">
    <vt:lpwstr/>
  </property>
  <property fmtid="{D5CDD505-2E9C-101B-9397-08002B2CF9AE}" pid="3" name="INTADepartmentTag">
    <vt:lpwstr/>
  </property>
  <property fmtid="{D5CDD505-2E9C-101B-9397-08002B2CF9AE}" pid="4" name="INTACategoryTag">
    <vt:lpwstr/>
  </property>
  <property fmtid="{D5CDD505-2E9C-101B-9397-08002B2CF9AE}" pid="5" name="ContentTypeId">
    <vt:lpwstr>0x010100BA064A24D2898E42B74163B95CC52ECF</vt:lpwstr>
  </property>
</Properties>
</file>