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14" w:rsidRDefault="00D93814" w:rsidP="00D93814">
      <w:pPr>
        <w:jc w:val="center"/>
        <w:rPr>
          <w:rFonts w:ascii="Times New Roman" w:hAnsi="Times New Roman" w:cs="Times New Roman"/>
          <w:b/>
        </w:rPr>
      </w:pPr>
      <w:r>
        <w:rPr>
          <w:rFonts w:ascii="Times New Roman" w:hAnsi="Times New Roman" w:cs="Times New Roman"/>
          <w:b/>
          <w:noProof/>
          <w:lang w:val="en-GB" w:eastAsia="en-GB"/>
        </w:rPr>
        <w:drawing>
          <wp:inline distT="0" distB="0" distL="0" distR="0">
            <wp:extent cx="1714500" cy="935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G_Logo(&amp;name)_RGB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7873" cy="937468"/>
                    </a:xfrm>
                    <a:prstGeom prst="rect">
                      <a:avLst/>
                    </a:prstGeom>
                  </pic:spPr>
                </pic:pic>
              </a:graphicData>
            </a:graphic>
          </wp:inline>
        </w:drawing>
      </w:r>
    </w:p>
    <w:p w:rsidR="00D93814" w:rsidRDefault="00D93814" w:rsidP="00D93814">
      <w:pPr>
        <w:rPr>
          <w:rFonts w:ascii="Times New Roman" w:hAnsi="Times New Roman" w:cs="Times New Roman"/>
          <w:b/>
        </w:rPr>
      </w:pPr>
    </w:p>
    <w:p w:rsidR="009761EB" w:rsidRPr="00D93814" w:rsidRDefault="009761EB" w:rsidP="00D93814">
      <w:pPr>
        <w:jc w:val="both"/>
        <w:rPr>
          <w:rFonts w:asciiTheme="majorHAnsi" w:hAnsiTheme="majorHAnsi" w:cs="Times New Roman"/>
          <w:b/>
        </w:rPr>
      </w:pPr>
      <w:r w:rsidRPr="00D93814">
        <w:rPr>
          <w:rFonts w:asciiTheme="majorHAnsi" w:hAnsiTheme="majorHAnsi" w:cs="Times New Roman"/>
          <w:b/>
        </w:rPr>
        <w:t>7 July 2015</w:t>
      </w:r>
    </w:p>
    <w:p w:rsidR="009761EB" w:rsidRPr="00D93814" w:rsidRDefault="009761EB" w:rsidP="00D93814">
      <w:pPr>
        <w:jc w:val="both"/>
        <w:rPr>
          <w:rFonts w:asciiTheme="majorHAnsi" w:hAnsiTheme="majorHAnsi" w:cs="Times New Roman"/>
          <w:b/>
        </w:rPr>
      </w:pPr>
    </w:p>
    <w:p w:rsidR="009761EB" w:rsidRPr="00D93814" w:rsidRDefault="0059676A" w:rsidP="00D93814">
      <w:pPr>
        <w:jc w:val="both"/>
        <w:rPr>
          <w:rFonts w:asciiTheme="majorHAnsi" w:hAnsiTheme="majorHAnsi" w:cs="Times New Roman"/>
          <w:b/>
        </w:rPr>
      </w:pPr>
      <w:r>
        <w:rPr>
          <w:rFonts w:asciiTheme="majorHAnsi" w:hAnsiTheme="majorHAnsi" w:cs="Times New Roman"/>
          <w:b/>
        </w:rPr>
        <w:t>Anti-</w:t>
      </w:r>
      <w:bookmarkStart w:id="0" w:name="_GoBack"/>
      <w:bookmarkEnd w:id="0"/>
      <w:r w:rsidR="00B32EDD" w:rsidRPr="00D93814">
        <w:rPr>
          <w:rFonts w:asciiTheme="majorHAnsi" w:hAnsiTheme="majorHAnsi" w:cs="Times New Roman"/>
          <w:b/>
        </w:rPr>
        <w:t>Counterfeiting Group</w:t>
      </w:r>
      <w:r w:rsidR="000B1472" w:rsidRPr="00D93814">
        <w:rPr>
          <w:rFonts w:asciiTheme="majorHAnsi" w:hAnsiTheme="majorHAnsi" w:cs="Times New Roman"/>
          <w:b/>
        </w:rPr>
        <w:t xml:space="preserve"> </w:t>
      </w:r>
      <w:r w:rsidR="00B32EDD" w:rsidRPr="00D93814">
        <w:rPr>
          <w:rFonts w:asciiTheme="majorHAnsi" w:hAnsiTheme="majorHAnsi" w:cs="Times New Roman"/>
          <w:b/>
        </w:rPr>
        <w:t>(ACG) c</w:t>
      </w:r>
      <w:r w:rsidR="009761EB" w:rsidRPr="00D93814">
        <w:rPr>
          <w:rFonts w:asciiTheme="majorHAnsi" w:hAnsiTheme="majorHAnsi" w:cs="Times New Roman"/>
          <w:b/>
        </w:rPr>
        <w:t xml:space="preserve">omments on </w:t>
      </w:r>
      <w:r w:rsidR="00CB3EC8" w:rsidRPr="00D93814">
        <w:rPr>
          <w:rFonts w:asciiTheme="majorHAnsi" w:hAnsiTheme="majorHAnsi" w:cs="Times New Roman"/>
          <w:b/>
        </w:rPr>
        <w:t>t</w:t>
      </w:r>
      <w:r w:rsidR="009761EB" w:rsidRPr="00D93814">
        <w:rPr>
          <w:rFonts w:asciiTheme="majorHAnsi" w:hAnsiTheme="majorHAnsi" w:cs="Times New Roman"/>
          <w:b/>
        </w:rPr>
        <w:t>he Initial Report of the GNSO Policy Development Process Working Group on Privacy &amp; Proxy Services Accreditation Issues</w:t>
      </w:r>
    </w:p>
    <w:p w:rsidR="009761EB" w:rsidRPr="00D93814" w:rsidRDefault="009761EB" w:rsidP="00D93814">
      <w:pPr>
        <w:jc w:val="both"/>
        <w:rPr>
          <w:rFonts w:asciiTheme="majorHAnsi" w:hAnsiTheme="majorHAnsi" w:cs="Times New Roman"/>
          <w:b/>
        </w:rPr>
      </w:pPr>
    </w:p>
    <w:p w:rsidR="009761EB" w:rsidRPr="00D93814" w:rsidRDefault="00B32EDD" w:rsidP="00D93814">
      <w:pPr>
        <w:jc w:val="both"/>
        <w:rPr>
          <w:rFonts w:asciiTheme="majorHAnsi" w:hAnsiTheme="majorHAnsi" w:cs="Times New Roman"/>
        </w:rPr>
      </w:pPr>
      <w:r w:rsidRPr="00D93814">
        <w:rPr>
          <w:rFonts w:asciiTheme="majorHAnsi" w:hAnsiTheme="majorHAnsi" w:cs="Times New Roman"/>
        </w:rPr>
        <w:t>ACG</w:t>
      </w:r>
      <w:r w:rsidR="000B1472" w:rsidRPr="00D93814">
        <w:rPr>
          <w:rFonts w:asciiTheme="majorHAnsi" w:hAnsiTheme="majorHAnsi" w:cs="Times New Roman"/>
        </w:rPr>
        <w:t xml:space="preserve"> </w:t>
      </w:r>
      <w:r w:rsidRPr="00D93814">
        <w:rPr>
          <w:rFonts w:asciiTheme="majorHAnsi" w:hAnsiTheme="majorHAnsi" w:cs="Times New Roman"/>
        </w:rPr>
        <w:t>welcomes t</w:t>
      </w:r>
      <w:r w:rsidR="009761EB" w:rsidRPr="00D93814">
        <w:rPr>
          <w:rFonts w:asciiTheme="majorHAnsi" w:hAnsiTheme="majorHAnsi" w:cs="Times New Roman"/>
        </w:rPr>
        <w:t xml:space="preserve">he Initial Report of the GNSO Policy Development Process Working Group on Privacy &amp; Proxy Services Accreditation Issues. </w:t>
      </w:r>
      <w:r w:rsidR="00CB3EC8" w:rsidRPr="00D93814">
        <w:rPr>
          <w:rFonts w:asciiTheme="majorHAnsi" w:hAnsiTheme="majorHAnsi" w:cs="Times New Roman"/>
        </w:rPr>
        <w:t>A</w:t>
      </w:r>
      <w:r w:rsidRPr="00D93814">
        <w:rPr>
          <w:rFonts w:asciiTheme="majorHAnsi" w:hAnsiTheme="majorHAnsi" w:cs="Times New Roman"/>
        </w:rPr>
        <w:t>CG</w:t>
      </w:r>
      <w:r w:rsidR="000B1472" w:rsidRPr="00D93814">
        <w:rPr>
          <w:rFonts w:asciiTheme="majorHAnsi" w:hAnsiTheme="majorHAnsi" w:cs="Times New Roman"/>
        </w:rPr>
        <w:t xml:space="preserve"> </w:t>
      </w:r>
      <w:r w:rsidR="009761EB" w:rsidRPr="00D93814">
        <w:rPr>
          <w:rFonts w:asciiTheme="majorHAnsi" w:hAnsiTheme="majorHAnsi" w:cs="Times New Roman"/>
        </w:rPr>
        <w:t>also supports the efforts of the GNSO in setting up the Working Group.</w:t>
      </w:r>
    </w:p>
    <w:p w:rsidR="009761EB" w:rsidRPr="00D93814" w:rsidRDefault="009761EB" w:rsidP="00D93814">
      <w:pPr>
        <w:jc w:val="both"/>
        <w:rPr>
          <w:rFonts w:asciiTheme="majorHAnsi" w:hAnsiTheme="majorHAnsi" w:cs="Times New Roman"/>
        </w:rPr>
      </w:pPr>
    </w:p>
    <w:p w:rsidR="00CB3EC8" w:rsidRPr="00D93814" w:rsidRDefault="009761EB" w:rsidP="00D93814">
      <w:pPr>
        <w:pStyle w:val="ListParagraph"/>
        <w:numPr>
          <w:ilvl w:val="0"/>
          <w:numId w:val="8"/>
        </w:numPr>
        <w:ind w:left="426" w:hanging="426"/>
        <w:jc w:val="both"/>
        <w:rPr>
          <w:rFonts w:asciiTheme="majorHAnsi" w:hAnsiTheme="majorHAnsi" w:cs="Times New Roman"/>
          <w:b/>
        </w:rPr>
      </w:pPr>
      <w:r w:rsidRPr="00D93814">
        <w:rPr>
          <w:rFonts w:asciiTheme="majorHAnsi" w:hAnsiTheme="majorHAnsi" w:cs="Times New Roman"/>
          <w:b/>
        </w:rPr>
        <w:t xml:space="preserve">About </w:t>
      </w:r>
      <w:r w:rsidR="00D3212B" w:rsidRPr="00D93814">
        <w:rPr>
          <w:rFonts w:asciiTheme="majorHAnsi" w:hAnsiTheme="majorHAnsi" w:cs="Times New Roman"/>
          <w:b/>
        </w:rPr>
        <w:t>the Anti-Counterfeiting Group (ACG)</w:t>
      </w:r>
    </w:p>
    <w:p w:rsidR="0016664C" w:rsidRPr="00D93814" w:rsidRDefault="0016664C" w:rsidP="00D93814">
      <w:pPr>
        <w:pStyle w:val="ListParagraph"/>
        <w:ind w:left="426"/>
        <w:jc w:val="both"/>
        <w:rPr>
          <w:rFonts w:asciiTheme="majorHAnsi" w:hAnsiTheme="majorHAnsi" w:cs="Times New Roman"/>
          <w:b/>
        </w:rPr>
      </w:pPr>
    </w:p>
    <w:p w:rsidR="009761EB" w:rsidRPr="00D93814" w:rsidRDefault="00D3212B" w:rsidP="00D93814">
      <w:pPr>
        <w:jc w:val="both"/>
        <w:rPr>
          <w:rFonts w:asciiTheme="majorHAnsi" w:hAnsiTheme="majorHAnsi" w:cs="Times New Roman"/>
        </w:rPr>
      </w:pPr>
      <w:r w:rsidRPr="00D93814">
        <w:rPr>
          <w:rFonts w:asciiTheme="majorHAnsi" w:hAnsiTheme="majorHAnsi" w:cs="Times New Roman"/>
        </w:rPr>
        <w:t xml:space="preserve">The </w:t>
      </w:r>
      <w:r w:rsidR="00B32EDD" w:rsidRPr="00D93814">
        <w:rPr>
          <w:rFonts w:asciiTheme="majorHAnsi" w:hAnsiTheme="majorHAnsi" w:cs="Times New Roman"/>
        </w:rPr>
        <w:t xml:space="preserve">Anti-Counterfeiting Group (ACG) is a UK, not for profit trade association, representing international rights holders from a wide spectrum of branded goods sectors (see our website </w:t>
      </w:r>
      <w:hyperlink r:id="rId10" w:history="1">
        <w:r w:rsidR="00B32EDD" w:rsidRPr="00D93814">
          <w:rPr>
            <w:rFonts w:asciiTheme="majorHAnsi" w:hAnsiTheme="majorHAnsi" w:cs="Times New Roman"/>
          </w:rPr>
          <w:t>www.a-cg.org</w:t>
        </w:r>
      </w:hyperlink>
      <w:r w:rsidR="00B32EDD" w:rsidRPr="00D93814">
        <w:rPr>
          <w:rFonts w:asciiTheme="majorHAnsi" w:hAnsiTheme="majorHAnsi" w:cs="Times New Roman"/>
        </w:rPr>
        <w:t xml:space="preserve"> for more information). ACG offers a forum for all stakeholders involved in anti-counterfeiting activities to collaborate and support each other, including, brand owners, specialist service providers and law enforcement agencies.</w:t>
      </w:r>
    </w:p>
    <w:p w:rsidR="009761EB" w:rsidRPr="00D93814" w:rsidRDefault="009761EB" w:rsidP="00D93814">
      <w:pPr>
        <w:pStyle w:val="ListParagraph"/>
        <w:ind w:left="426"/>
        <w:jc w:val="both"/>
        <w:rPr>
          <w:rFonts w:asciiTheme="majorHAnsi" w:hAnsiTheme="majorHAnsi" w:cs="Times New Roman"/>
          <w:b/>
        </w:rPr>
      </w:pPr>
    </w:p>
    <w:p w:rsidR="009761EB" w:rsidRPr="00D93814" w:rsidRDefault="009761EB" w:rsidP="00D93814">
      <w:pPr>
        <w:pStyle w:val="ListParagraph"/>
        <w:numPr>
          <w:ilvl w:val="0"/>
          <w:numId w:val="8"/>
        </w:numPr>
        <w:ind w:left="426" w:hanging="426"/>
        <w:jc w:val="both"/>
        <w:rPr>
          <w:rFonts w:asciiTheme="majorHAnsi" w:hAnsiTheme="majorHAnsi" w:cs="Times New Roman"/>
          <w:b/>
        </w:rPr>
      </w:pPr>
      <w:r w:rsidRPr="00D93814">
        <w:rPr>
          <w:rFonts w:asciiTheme="majorHAnsi" w:hAnsiTheme="majorHAnsi" w:cs="Times New Roman"/>
          <w:b/>
        </w:rPr>
        <w:t>Counterfeiting, the Internet and Enforcement Strategies</w:t>
      </w:r>
    </w:p>
    <w:p w:rsidR="009761EB" w:rsidRPr="00D93814" w:rsidRDefault="009761EB" w:rsidP="00D93814">
      <w:pPr>
        <w:jc w:val="both"/>
        <w:rPr>
          <w:rFonts w:asciiTheme="majorHAnsi" w:hAnsiTheme="majorHAnsi" w:cs="Times New Roman"/>
          <w:b/>
        </w:rPr>
      </w:pPr>
    </w:p>
    <w:p w:rsidR="009761EB" w:rsidRPr="00D93814" w:rsidRDefault="009761EB" w:rsidP="00D93814">
      <w:pPr>
        <w:jc w:val="both"/>
        <w:rPr>
          <w:rFonts w:asciiTheme="majorHAnsi" w:hAnsiTheme="majorHAnsi" w:cs="Times New Roman"/>
        </w:rPr>
      </w:pPr>
      <w:r w:rsidRPr="00D93814">
        <w:rPr>
          <w:rFonts w:asciiTheme="majorHAnsi" w:hAnsiTheme="majorHAnsi" w:cs="Times New Roman"/>
        </w:rPr>
        <w:t xml:space="preserve">Counterfeiting has become a significant issue for brands on the Internet. The sheer volume of infringements means that </w:t>
      </w:r>
      <w:r w:rsidR="00B32EDD" w:rsidRPr="00D93814">
        <w:rPr>
          <w:rFonts w:asciiTheme="majorHAnsi" w:hAnsiTheme="majorHAnsi" w:cs="Times New Roman"/>
        </w:rPr>
        <w:t xml:space="preserve">ACG </w:t>
      </w:r>
      <w:r w:rsidR="000B1472" w:rsidRPr="00D93814">
        <w:rPr>
          <w:rFonts w:asciiTheme="majorHAnsi" w:hAnsiTheme="majorHAnsi" w:cs="Times New Roman"/>
        </w:rPr>
        <w:t>members</w:t>
      </w:r>
      <w:r w:rsidRPr="00D93814">
        <w:rPr>
          <w:rFonts w:asciiTheme="majorHAnsi" w:hAnsiTheme="majorHAnsi" w:cs="Times New Roman"/>
        </w:rPr>
        <w:t xml:space="preserve"> ha</w:t>
      </w:r>
      <w:r w:rsidR="000B1472" w:rsidRPr="00D93814">
        <w:rPr>
          <w:rFonts w:asciiTheme="majorHAnsi" w:hAnsiTheme="majorHAnsi" w:cs="Times New Roman"/>
        </w:rPr>
        <w:t>ve</w:t>
      </w:r>
      <w:r w:rsidRPr="00D93814">
        <w:rPr>
          <w:rFonts w:asciiTheme="majorHAnsi" w:hAnsiTheme="majorHAnsi" w:cs="Times New Roman"/>
        </w:rPr>
        <w:t xml:space="preserve"> had to develop a multi-mechanism enforcement strategy to deal effectively with the threat and damage to its business caused by online counterfeit goods. </w:t>
      </w:r>
    </w:p>
    <w:p w:rsidR="009761EB" w:rsidRPr="00D93814" w:rsidRDefault="009761EB" w:rsidP="00D93814">
      <w:pPr>
        <w:jc w:val="both"/>
        <w:rPr>
          <w:rFonts w:asciiTheme="majorHAnsi" w:hAnsiTheme="majorHAnsi" w:cs="Times New Roman"/>
        </w:rPr>
      </w:pPr>
    </w:p>
    <w:p w:rsidR="009761EB" w:rsidRPr="00D93814" w:rsidRDefault="009761EB" w:rsidP="00D93814">
      <w:pPr>
        <w:jc w:val="both"/>
        <w:rPr>
          <w:rFonts w:asciiTheme="majorHAnsi" w:hAnsiTheme="majorHAnsi" w:cs="Times New Roman"/>
        </w:rPr>
      </w:pPr>
      <w:r w:rsidRPr="00D93814">
        <w:rPr>
          <w:rFonts w:asciiTheme="majorHAnsi" w:hAnsiTheme="majorHAnsi" w:cs="Times New Roman"/>
        </w:rPr>
        <w:t xml:space="preserve">There are a number of barriers to implementing an effective domain name enforcement strategy. Each website identified will present a different threat to </w:t>
      </w:r>
      <w:r w:rsidR="000B1472" w:rsidRPr="00D93814">
        <w:rPr>
          <w:rFonts w:asciiTheme="majorHAnsi" w:hAnsiTheme="majorHAnsi" w:cs="Times New Roman"/>
        </w:rPr>
        <w:t xml:space="preserve">our members’ </w:t>
      </w:r>
      <w:r w:rsidRPr="00D93814">
        <w:rPr>
          <w:rFonts w:asciiTheme="majorHAnsi" w:hAnsiTheme="majorHAnsi" w:cs="Times New Roman"/>
        </w:rPr>
        <w:t>brands and business</w:t>
      </w:r>
      <w:r w:rsidR="000B1472" w:rsidRPr="00D93814">
        <w:rPr>
          <w:rFonts w:asciiTheme="majorHAnsi" w:hAnsiTheme="majorHAnsi" w:cs="Times New Roman"/>
        </w:rPr>
        <w:t>es</w:t>
      </w:r>
      <w:r w:rsidRPr="00D93814">
        <w:rPr>
          <w:rFonts w:asciiTheme="majorHAnsi" w:hAnsiTheme="majorHAnsi" w:cs="Times New Roman"/>
        </w:rPr>
        <w:t xml:space="preserve">.  The type and extent of the threat posed will turn on factors such as the scale of the operation; whether the website is part of a ‘cluster’ (that is to say a group of inter-related infringing websites); whether the website is deliberately deceptive and particularly misleading to consumers; and whether the relevant </w:t>
      </w:r>
      <w:r w:rsidR="000B1472" w:rsidRPr="00D93814">
        <w:rPr>
          <w:rFonts w:asciiTheme="majorHAnsi" w:hAnsiTheme="majorHAnsi" w:cs="Times New Roman"/>
        </w:rPr>
        <w:t>member</w:t>
      </w:r>
      <w:r w:rsidRPr="00D93814">
        <w:rPr>
          <w:rFonts w:asciiTheme="majorHAnsi" w:hAnsiTheme="majorHAnsi" w:cs="Times New Roman"/>
        </w:rPr>
        <w:t xml:space="preserve"> has any desire to own the relevant domain itself. Each infringing website will also present distinct challenges when it comes to enforcement action, due to the complicated web of intermediaries whose services are used by the infringers to display the infringing content. This calls for a considered and bespoke approach to enforcement.  There is, quite simply, no ‘one size fits all’ solution.  </w:t>
      </w:r>
    </w:p>
    <w:p w:rsidR="009761EB" w:rsidRDefault="009761EB" w:rsidP="00D93814">
      <w:pPr>
        <w:jc w:val="both"/>
        <w:rPr>
          <w:rFonts w:asciiTheme="majorHAnsi" w:hAnsiTheme="majorHAnsi" w:cs="Times New Roman"/>
        </w:rPr>
      </w:pPr>
    </w:p>
    <w:p w:rsidR="000D468F" w:rsidRDefault="000D468F" w:rsidP="00D93814">
      <w:pPr>
        <w:jc w:val="both"/>
        <w:rPr>
          <w:rFonts w:asciiTheme="majorHAnsi" w:hAnsiTheme="majorHAnsi" w:cs="Times New Roman"/>
        </w:rPr>
      </w:pPr>
    </w:p>
    <w:p w:rsidR="000D468F" w:rsidRDefault="000D468F" w:rsidP="00D93814">
      <w:pPr>
        <w:jc w:val="both"/>
        <w:rPr>
          <w:rFonts w:asciiTheme="majorHAnsi" w:hAnsiTheme="majorHAnsi" w:cs="Times New Roman"/>
        </w:rPr>
      </w:pPr>
    </w:p>
    <w:p w:rsidR="000D468F" w:rsidRPr="00D93814" w:rsidRDefault="000D468F" w:rsidP="00D93814">
      <w:pPr>
        <w:jc w:val="both"/>
        <w:rPr>
          <w:rFonts w:asciiTheme="majorHAnsi" w:hAnsiTheme="majorHAnsi" w:cs="Times New Roman"/>
        </w:rPr>
      </w:pPr>
    </w:p>
    <w:p w:rsidR="009761EB" w:rsidRPr="00D93814" w:rsidRDefault="009761EB" w:rsidP="00D93814">
      <w:pPr>
        <w:pStyle w:val="ListParagraph"/>
        <w:numPr>
          <w:ilvl w:val="0"/>
          <w:numId w:val="8"/>
        </w:numPr>
        <w:ind w:left="426" w:hanging="426"/>
        <w:jc w:val="both"/>
        <w:rPr>
          <w:rFonts w:asciiTheme="majorHAnsi" w:hAnsiTheme="majorHAnsi" w:cs="Times New Roman"/>
          <w:b/>
        </w:rPr>
      </w:pPr>
      <w:r w:rsidRPr="00D93814">
        <w:rPr>
          <w:rFonts w:asciiTheme="majorHAnsi" w:hAnsiTheme="majorHAnsi" w:cs="Times New Roman"/>
          <w:b/>
        </w:rPr>
        <w:lastRenderedPageBreak/>
        <w:t>Privacy &amp; Proxy Issues</w:t>
      </w:r>
    </w:p>
    <w:p w:rsidR="009761EB" w:rsidRPr="00D93814" w:rsidRDefault="009761EB" w:rsidP="00D93814">
      <w:pPr>
        <w:jc w:val="both"/>
        <w:rPr>
          <w:rFonts w:asciiTheme="majorHAnsi" w:hAnsiTheme="majorHAnsi" w:cs="Times New Roman"/>
        </w:rPr>
      </w:pPr>
    </w:p>
    <w:p w:rsidR="009761EB" w:rsidRPr="00D93814" w:rsidRDefault="000B1472" w:rsidP="00D93814">
      <w:pPr>
        <w:jc w:val="both"/>
        <w:rPr>
          <w:rFonts w:asciiTheme="majorHAnsi" w:hAnsiTheme="majorHAnsi" w:cs="Times New Roman"/>
        </w:rPr>
      </w:pPr>
      <w:r w:rsidRPr="00D93814">
        <w:rPr>
          <w:rFonts w:asciiTheme="majorHAnsi" w:hAnsiTheme="majorHAnsi" w:cs="Times New Roman"/>
        </w:rPr>
        <w:t>Members have</w:t>
      </w:r>
      <w:r w:rsidR="009761EB" w:rsidRPr="00D93814">
        <w:rPr>
          <w:rFonts w:asciiTheme="majorHAnsi" w:hAnsiTheme="majorHAnsi" w:cs="Times New Roman"/>
        </w:rPr>
        <w:t xml:space="preserve"> found that the use of Privacy &amp; Proxy Services by counterfeiters severely impedes the implementation of an efficient enforcement strategy to remove counterfeit websites, and that there is an extremely inconsistent approach to releasing accurate WHOIS information by Privacy &amp; Proxy service providers and/or registrars. This significantly slows down any enforcement action.</w:t>
      </w:r>
    </w:p>
    <w:p w:rsidR="009761EB" w:rsidRPr="00D93814" w:rsidRDefault="009761EB" w:rsidP="00D93814">
      <w:pPr>
        <w:jc w:val="both"/>
        <w:rPr>
          <w:rFonts w:asciiTheme="majorHAnsi" w:hAnsiTheme="majorHAnsi" w:cs="Times New Roman"/>
        </w:rPr>
      </w:pPr>
    </w:p>
    <w:p w:rsidR="009761EB" w:rsidRPr="00D93814" w:rsidRDefault="00B32EDD" w:rsidP="00D93814">
      <w:pPr>
        <w:jc w:val="both"/>
        <w:rPr>
          <w:rFonts w:asciiTheme="majorHAnsi" w:hAnsiTheme="majorHAnsi" w:cs="Times New Roman"/>
        </w:rPr>
      </w:pPr>
      <w:r w:rsidRPr="00D93814">
        <w:rPr>
          <w:rFonts w:asciiTheme="majorHAnsi" w:hAnsiTheme="majorHAnsi" w:cs="Times New Roman"/>
        </w:rPr>
        <w:t>ACG</w:t>
      </w:r>
      <w:r w:rsidR="000B1472" w:rsidRPr="00D93814">
        <w:rPr>
          <w:rFonts w:asciiTheme="majorHAnsi" w:hAnsiTheme="majorHAnsi" w:cs="Times New Roman"/>
        </w:rPr>
        <w:t xml:space="preserve"> </w:t>
      </w:r>
      <w:r w:rsidR="009761EB" w:rsidRPr="00D93814">
        <w:rPr>
          <w:rFonts w:asciiTheme="majorHAnsi" w:hAnsiTheme="majorHAnsi" w:cs="Times New Roman"/>
        </w:rPr>
        <w:t>is therefore of the view that where websites are clearly offering counterfeit good</w:t>
      </w:r>
      <w:r w:rsidR="000B1472" w:rsidRPr="00D93814">
        <w:rPr>
          <w:rFonts w:asciiTheme="majorHAnsi" w:hAnsiTheme="majorHAnsi" w:cs="Times New Roman"/>
        </w:rPr>
        <w:t>s</w:t>
      </w:r>
      <w:r w:rsidR="009761EB" w:rsidRPr="00D93814">
        <w:rPr>
          <w:rFonts w:asciiTheme="majorHAnsi" w:hAnsiTheme="majorHAnsi" w:cs="Times New Roman"/>
        </w:rPr>
        <w:t xml:space="preserve"> for sale, they should not be able to benefit from Privacy &amp; Proxy Services, on the basis of long-standing European and other international laws.</w:t>
      </w:r>
    </w:p>
    <w:p w:rsidR="009761EB" w:rsidRPr="00D93814" w:rsidRDefault="009761EB" w:rsidP="00D93814">
      <w:pPr>
        <w:jc w:val="both"/>
        <w:rPr>
          <w:rFonts w:asciiTheme="majorHAnsi" w:hAnsiTheme="majorHAnsi" w:cs="Times New Roman"/>
        </w:rPr>
      </w:pPr>
    </w:p>
    <w:p w:rsidR="009761EB" w:rsidRPr="00D93814" w:rsidRDefault="009761EB" w:rsidP="00D93814">
      <w:pPr>
        <w:pStyle w:val="ListParagraph"/>
        <w:keepNext/>
        <w:numPr>
          <w:ilvl w:val="0"/>
          <w:numId w:val="8"/>
        </w:numPr>
        <w:ind w:left="426" w:hanging="426"/>
        <w:jc w:val="both"/>
        <w:rPr>
          <w:rFonts w:asciiTheme="majorHAnsi" w:hAnsiTheme="majorHAnsi" w:cs="Times New Roman"/>
          <w:b/>
        </w:rPr>
      </w:pPr>
      <w:r w:rsidRPr="00D93814">
        <w:rPr>
          <w:rFonts w:asciiTheme="majorHAnsi" w:hAnsiTheme="majorHAnsi" w:cs="Times New Roman"/>
          <w:b/>
        </w:rPr>
        <w:t>The Legality of Privacy &amp; Proxy Services Under European Law</w:t>
      </w:r>
    </w:p>
    <w:p w:rsidR="009761EB" w:rsidRPr="00D93814" w:rsidRDefault="009761EB" w:rsidP="00D93814">
      <w:pPr>
        <w:keepNext/>
        <w:jc w:val="both"/>
        <w:rPr>
          <w:rFonts w:asciiTheme="majorHAnsi" w:hAnsiTheme="majorHAnsi" w:cs="Times New Roman"/>
        </w:rPr>
      </w:pPr>
    </w:p>
    <w:p w:rsidR="009761EB" w:rsidRPr="00D93814" w:rsidRDefault="009761EB" w:rsidP="00D93814">
      <w:pPr>
        <w:keepNext/>
        <w:jc w:val="both"/>
        <w:rPr>
          <w:rFonts w:asciiTheme="majorHAnsi" w:hAnsiTheme="majorHAnsi" w:cs="Times New Roman"/>
        </w:rPr>
      </w:pPr>
      <w:r w:rsidRPr="00D93814">
        <w:rPr>
          <w:rFonts w:asciiTheme="majorHAnsi" w:hAnsiTheme="majorHAnsi" w:cs="Times New Roman"/>
        </w:rPr>
        <w:t>The European E-Commerce Directive</w:t>
      </w:r>
      <w:r w:rsidRPr="00D93814">
        <w:rPr>
          <w:rStyle w:val="FootnoteReference"/>
          <w:rFonts w:asciiTheme="majorHAnsi" w:hAnsiTheme="majorHAnsi" w:cs="Times New Roman"/>
        </w:rPr>
        <w:footnoteReference w:id="1"/>
      </w:r>
      <w:r w:rsidRPr="00D93814">
        <w:rPr>
          <w:rFonts w:asciiTheme="majorHAnsi" w:hAnsiTheme="majorHAnsi" w:cs="Times New Roman"/>
        </w:rPr>
        <w:t xml:space="preserve"> requires that any provider of “information society services” must render easily, directly and permanently accessible to the recipients of the service and competent authorities</w:t>
      </w:r>
      <w:r w:rsidRPr="00D93814">
        <w:rPr>
          <w:rStyle w:val="FootnoteReference"/>
          <w:rFonts w:asciiTheme="majorHAnsi" w:hAnsiTheme="majorHAnsi" w:cs="Times New Roman"/>
        </w:rPr>
        <w:footnoteReference w:id="2"/>
      </w:r>
      <w:r w:rsidRPr="00D93814">
        <w:rPr>
          <w:rFonts w:asciiTheme="majorHAnsi" w:hAnsiTheme="majorHAnsi" w:cs="Times New Roman"/>
        </w:rPr>
        <w:t>:</w:t>
      </w:r>
    </w:p>
    <w:p w:rsidR="009761EB" w:rsidRPr="00D93814" w:rsidRDefault="009761EB" w:rsidP="00D93814">
      <w:pPr>
        <w:keepNext/>
        <w:jc w:val="both"/>
        <w:rPr>
          <w:rFonts w:asciiTheme="majorHAnsi" w:hAnsiTheme="majorHAnsi" w:cs="Times New Roman"/>
        </w:rPr>
      </w:pPr>
    </w:p>
    <w:p w:rsidR="009761EB" w:rsidRPr="00D93814" w:rsidRDefault="009761EB" w:rsidP="00D93814">
      <w:pPr>
        <w:pStyle w:val="ListParagraph"/>
        <w:numPr>
          <w:ilvl w:val="0"/>
          <w:numId w:val="9"/>
        </w:numPr>
        <w:ind w:hanging="720"/>
        <w:jc w:val="both"/>
        <w:rPr>
          <w:rFonts w:asciiTheme="majorHAnsi" w:hAnsiTheme="majorHAnsi" w:cs="Times New Roman"/>
        </w:rPr>
      </w:pPr>
      <w:r w:rsidRPr="00D93814">
        <w:rPr>
          <w:rFonts w:asciiTheme="majorHAnsi" w:hAnsiTheme="majorHAnsi" w:cs="Times New Roman"/>
        </w:rPr>
        <w:t>the name of the service provider;</w:t>
      </w:r>
    </w:p>
    <w:p w:rsidR="009761EB" w:rsidRPr="00D93814" w:rsidRDefault="009761EB" w:rsidP="00D93814">
      <w:pPr>
        <w:ind w:hanging="720"/>
        <w:jc w:val="both"/>
        <w:rPr>
          <w:rFonts w:asciiTheme="majorHAnsi" w:hAnsiTheme="majorHAnsi" w:cs="Times New Roman"/>
        </w:rPr>
      </w:pPr>
    </w:p>
    <w:p w:rsidR="009761EB" w:rsidRPr="00D93814" w:rsidRDefault="009761EB" w:rsidP="00D93814">
      <w:pPr>
        <w:pStyle w:val="ListParagraph"/>
        <w:numPr>
          <w:ilvl w:val="0"/>
          <w:numId w:val="9"/>
        </w:numPr>
        <w:ind w:hanging="720"/>
        <w:jc w:val="both"/>
        <w:rPr>
          <w:rFonts w:asciiTheme="majorHAnsi" w:hAnsiTheme="majorHAnsi" w:cs="Times New Roman"/>
        </w:rPr>
      </w:pPr>
      <w:r w:rsidRPr="00D93814">
        <w:rPr>
          <w:rFonts w:asciiTheme="majorHAnsi" w:hAnsiTheme="majorHAnsi" w:cs="Times New Roman"/>
        </w:rPr>
        <w:t>the geographic address at which the service provider is established; and</w:t>
      </w:r>
    </w:p>
    <w:p w:rsidR="009761EB" w:rsidRPr="00D93814" w:rsidRDefault="009761EB" w:rsidP="00D93814">
      <w:pPr>
        <w:ind w:hanging="720"/>
        <w:jc w:val="both"/>
        <w:rPr>
          <w:rFonts w:asciiTheme="majorHAnsi" w:hAnsiTheme="majorHAnsi" w:cs="Times New Roman"/>
        </w:rPr>
      </w:pPr>
    </w:p>
    <w:p w:rsidR="009761EB" w:rsidRPr="00D93814" w:rsidRDefault="009761EB" w:rsidP="00D93814">
      <w:pPr>
        <w:pStyle w:val="ListParagraph"/>
        <w:numPr>
          <w:ilvl w:val="0"/>
          <w:numId w:val="9"/>
        </w:numPr>
        <w:ind w:hanging="720"/>
        <w:jc w:val="both"/>
        <w:rPr>
          <w:rFonts w:asciiTheme="majorHAnsi" w:hAnsiTheme="majorHAnsi" w:cs="Times New Roman"/>
        </w:rPr>
      </w:pPr>
      <w:proofErr w:type="gramStart"/>
      <w:r w:rsidRPr="00D93814">
        <w:rPr>
          <w:rFonts w:asciiTheme="majorHAnsi" w:hAnsiTheme="majorHAnsi" w:cs="Times New Roman"/>
        </w:rPr>
        <w:t>the</w:t>
      </w:r>
      <w:proofErr w:type="gramEnd"/>
      <w:r w:rsidRPr="00D93814">
        <w:rPr>
          <w:rFonts w:asciiTheme="majorHAnsi" w:hAnsiTheme="majorHAnsi" w:cs="Times New Roman"/>
        </w:rPr>
        <w:t xml:space="preserve"> details of the service provider, including his electronic mail address, which allow him to be contacted rapidly and communicated with in a direct and effective manner.</w:t>
      </w:r>
    </w:p>
    <w:p w:rsidR="009761EB" w:rsidRPr="00D93814" w:rsidRDefault="009761EB" w:rsidP="00D93814">
      <w:pPr>
        <w:jc w:val="both"/>
        <w:rPr>
          <w:rFonts w:asciiTheme="majorHAnsi" w:hAnsiTheme="majorHAnsi" w:cs="Times New Roman"/>
        </w:rPr>
      </w:pPr>
    </w:p>
    <w:p w:rsidR="009761EB" w:rsidRPr="00D93814" w:rsidRDefault="009761EB" w:rsidP="00D93814">
      <w:pPr>
        <w:jc w:val="both"/>
        <w:rPr>
          <w:rFonts w:asciiTheme="majorHAnsi" w:hAnsiTheme="majorHAnsi" w:cs="Times New Roman"/>
        </w:rPr>
      </w:pPr>
      <w:r w:rsidRPr="00D93814">
        <w:rPr>
          <w:rFonts w:asciiTheme="majorHAnsi" w:hAnsiTheme="majorHAnsi" w:cs="Times New Roman"/>
        </w:rPr>
        <w:t>The definition of “information society services”</w:t>
      </w:r>
      <w:r w:rsidRPr="00D93814">
        <w:rPr>
          <w:rFonts w:asciiTheme="majorHAnsi" w:hAnsiTheme="majorHAnsi"/>
        </w:rPr>
        <w:t xml:space="preserve"> </w:t>
      </w:r>
      <w:r w:rsidRPr="00D93814">
        <w:rPr>
          <w:rFonts w:asciiTheme="majorHAnsi" w:hAnsiTheme="majorHAnsi" w:cs="Times New Roman"/>
        </w:rPr>
        <w:t>spans a wide range of economic activities which take place on-line, and include, in particular, the selling goods on-line</w:t>
      </w:r>
      <w:r w:rsidRPr="00D93814">
        <w:rPr>
          <w:rStyle w:val="FootnoteReference"/>
          <w:rFonts w:asciiTheme="majorHAnsi" w:hAnsiTheme="majorHAnsi" w:cs="Times New Roman"/>
        </w:rPr>
        <w:footnoteReference w:id="3"/>
      </w:r>
      <w:r w:rsidRPr="00D93814">
        <w:rPr>
          <w:rFonts w:asciiTheme="majorHAnsi" w:hAnsiTheme="majorHAnsi" w:cs="Times New Roman"/>
        </w:rPr>
        <w:t>.</w:t>
      </w:r>
      <w:r w:rsidR="000B1472" w:rsidRPr="00D93814">
        <w:rPr>
          <w:rFonts w:asciiTheme="majorHAnsi" w:hAnsiTheme="majorHAnsi" w:cs="Times New Roman"/>
        </w:rPr>
        <w:t xml:space="preserve"> It also encompasses advertising-funded services and furthermore Article 6 of that directive requires similar information disclosure for those advertising goods and services.</w:t>
      </w:r>
    </w:p>
    <w:p w:rsidR="009761EB" w:rsidRPr="00D93814" w:rsidRDefault="009761EB" w:rsidP="00D93814">
      <w:pPr>
        <w:jc w:val="both"/>
        <w:rPr>
          <w:rFonts w:asciiTheme="majorHAnsi" w:hAnsiTheme="majorHAnsi" w:cs="Times New Roman"/>
        </w:rPr>
      </w:pPr>
    </w:p>
    <w:p w:rsidR="009761EB" w:rsidRPr="00D93814" w:rsidRDefault="009761EB" w:rsidP="00D93814">
      <w:pPr>
        <w:jc w:val="both"/>
        <w:rPr>
          <w:rFonts w:asciiTheme="majorHAnsi" w:hAnsiTheme="majorHAnsi" w:cs="Times New Roman"/>
        </w:rPr>
      </w:pPr>
      <w:r w:rsidRPr="00D93814">
        <w:rPr>
          <w:rFonts w:asciiTheme="majorHAnsi" w:hAnsiTheme="majorHAnsi" w:cs="Times New Roman"/>
        </w:rPr>
        <w:t xml:space="preserve">Therefore, on the basis of the above clearly established law, the use of Privacy &amp; Proxy services is in direct conflict with the requirement to provide contact information in an easy, direct and permanently accessible manner. </w:t>
      </w:r>
      <w:r w:rsidR="00CB3EC8" w:rsidRPr="00D93814">
        <w:rPr>
          <w:rFonts w:asciiTheme="majorHAnsi" w:hAnsiTheme="majorHAnsi" w:cs="Times New Roman"/>
        </w:rPr>
        <w:t>A</w:t>
      </w:r>
      <w:r w:rsidR="00E05188" w:rsidRPr="00D93814">
        <w:rPr>
          <w:rFonts w:asciiTheme="majorHAnsi" w:hAnsiTheme="majorHAnsi" w:cs="Times New Roman"/>
        </w:rPr>
        <w:t>CG</w:t>
      </w:r>
      <w:r w:rsidR="000B1472" w:rsidRPr="00D93814">
        <w:rPr>
          <w:rFonts w:asciiTheme="majorHAnsi" w:hAnsiTheme="majorHAnsi" w:cs="Times New Roman"/>
        </w:rPr>
        <w:t xml:space="preserve"> </w:t>
      </w:r>
      <w:r w:rsidRPr="00D93814">
        <w:rPr>
          <w:rFonts w:asciiTheme="majorHAnsi" w:hAnsiTheme="majorHAnsi" w:cs="Times New Roman"/>
        </w:rPr>
        <w:t>is therefore of the view that Privacy &amp; Proxy services are being used to facilitate breaches of European law.</w:t>
      </w:r>
    </w:p>
    <w:p w:rsidR="009761EB" w:rsidRPr="00D93814" w:rsidRDefault="009761EB" w:rsidP="00D93814">
      <w:pPr>
        <w:jc w:val="both"/>
        <w:rPr>
          <w:rFonts w:asciiTheme="majorHAnsi" w:hAnsiTheme="majorHAnsi" w:cs="Times New Roman"/>
        </w:rPr>
      </w:pPr>
    </w:p>
    <w:p w:rsidR="009761EB" w:rsidRPr="00D93814" w:rsidRDefault="009761EB" w:rsidP="00D93814">
      <w:pPr>
        <w:pStyle w:val="ListParagraph"/>
        <w:keepNext/>
        <w:numPr>
          <w:ilvl w:val="0"/>
          <w:numId w:val="8"/>
        </w:numPr>
        <w:ind w:left="426" w:hanging="426"/>
        <w:jc w:val="both"/>
        <w:rPr>
          <w:rFonts w:asciiTheme="majorHAnsi" w:hAnsiTheme="majorHAnsi" w:cs="Times New Roman"/>
          <w:b/>
        </w:rPr>
      </w:pPr>
      <w:r w:rsidRPr="00D93814">
        <w:rPr>
          <w:rFonts w:asciiTheme="majorHAnsi" w:hAnsiTheme="majorHAnsi" w:cs="Times New Roman"/>
          <w:b/>
        </w:rPr>
        <w:t>The Right to Privacy Under European Law</w:t>
      </w:r>
    </w:p>
    <w:p w:rsidR="009761EB" w:rsidRPr="00D93814" w:rsidRDefault="009761EB" w:rsidP="00D93814">
      <w:pPr>
        <w:jc w:val="both"/>
        <w:rPr>
          <w:rFonts w:asciiTheme="majorHAnsi" w:hAnsiTheme="majorHAnsi" w:cs="Times New Roman"/>
        </w:rPr>
      </w:pPr>
    </w:p>
    <w:p w:rsidR="009761EB" w:rsidRPr="00D93814" w:rsidRDefault="009761EB" w:rsidP="00D93814">
      <w:pPr>
        <w:jc w:val="both"/>
        <w:rPr>
          <w:rFonts w:asciiTheme="majorHAnsi" w:hAnsiTheme="majorHAnsi" w:cs="Times New Roman"/>
        </w:rPr>
      </w:pPr>
      <w:r w:rsidRPr="00D93814">
        <w:rPr>
          <w:rFonts w:asciiTheme="majorHAnsi" w:hAnsiTheme="majorHAnsi" w:cs="Times New Roman"/>
        </w:rPr>
        <w:t xml:space="preserve">There has been much debate about the right to privacy under European law as a justification for using Privacy &amp; Proxy services. </w:t>
      </w:r>
    </w:p>
    <w:p w:rsidR="009761EB" w:rsidRPr="00D93814" w:rsidRDefault="009761EB" w:rsidP="00D93814">
      <w:pPr>
        <w:jc w:val="both"/>
        <w:rPr>
          <w:rFonts w:asciiTheme="majorHAnsi" w:hAnsiTheme="majorHAnsi" w:cs="Times New Roman"/>
        </w:rPr>
      </w:pPr>
    </w:p>
    <w:p w:rsidR="009761EB" w:rsidRPr="00D93814" w:rsidRDefault="009761EB" w:rsidP="00D93814">
      <w:pPr>
        <w:jc w:val="both"/>
        <w:rPr>
          <w:rFonts w:asciiTheme="majorHAnsi" w:hAnsiTheme="majorHAnsi" w:cs="Times New Roman"/>
        </w:rPr>
      </w:pPr>
      <w:r w:rsidRPr="00D93814">
        <w:rPr>
          <w:rFonts w:asciiTheme="majorHAnsi" w:hAnsiTheme="majorHAnsi" w:cs="Times New Roman"/>
        </w:rPr>
        <w:lastRenderedPageBreak/>
        <w:t>Under European Union data protection laws</w:t>
      </w:r>
      <w:r w:rsidRPr="00D93814">
        <w:rPr>
          <w:rStyle w:val="FootnoteReference"/>
          <w:rFonts w:asciiTheme="majorHAnsi" w:hAnsiTheme="majorHAnsi" w:cs="Times New Roman"/>
        </w:rPr>
        <w:footnoteReference w:id="4"/>
      </w:r>
      <w:r w:rsidRPr="00D93814">
        <w:rPr>
          <w:rFonts w:asciiTheme="majorHAnsi" w:hAnsiTheme="majorHAnsi" w:cs="Times New Roman"/>
        </w:rPr>
        <w:t>, personal data can only be processed lawfully and for legitimate purposes. Persons or organisations that process personal data must protect it from misuse and must respect certain rights of the data subjects. This is often quoted as a reason for allowing Privacy &amp; Proxy services.</w:t>
      </w:r>
    </w:p>
    <w:p w:rsidR="009761EB" w:rsidRPr="00D93814" w:rsidRDefault="009761EB" w:rsidP="00D93814">
      <w:pPr>
        <w:jc w:val="both"/>
        <w:rPr>
          <w:rFonts w:asciiTheme="majorHAnsi" w:hAnsiTheme="majorHAnsi" w:cs="Times New Roman"/>
        </w:rPr>
      </w:pPr>
    </w:p>
    <w:p w:rsidR="009761EB" w:rsidRPr="00D93814" w:rsidRDefault="009761EB" w:rsidP="00D93814">
      <w:pPr>
        <w:jc w:val="both"/>
        <w:rPr>
          <w:rFonts w:asciiTheme="majorHAnsi" w:hAnsiTheme="majorHAnsi" w:cs="Times New Roman"/>
        </w:rPr>
      </w:pPr>
      <w:r w:rsidRPr="00D93814">
        <w:rPr>
          <w:rFonts w:asciiTheme="majorHAnsi" w:hAnsiTheme="majorHAnsi" w:cs="Times New Roman"/>
        </w:rPr>
        <w:t>However, in the context of service providers pursuing an economic activity, the obligation to provide relevant information relating to name, geographic address and contact details can be fairly balanced against the right to the protection of personal data. In L’Oreal vs eBay</w:t>
      </w:r>
      <w:r w:rsidRPr="00D93814">
        <w:rPr>
          <w:rStyle w:val="FootnoteReference"/>
          <w:rFonts w:asciiTheme="majorHAnsi" w:hAnsiTheme="majorHAnsi" w:cs="Times New Roman"/>
        </w:rPr>
        <w:footnoteReference w:id="5"/>
      </w:r>
      <w:r w:rsidRPr="00D93814">
        <w:rPr>
          <w:rFonts w:asciiTheme="majorHAnsi" w:hAnsiTheme="majorHAnsi" w:cs="Times New Roman"/>
        </w:rPr>
        <w:t>, the European Court of Justice addressed this balancing of rights, and specifically stated that: “</w:t>
      </w:r>
      <w:r w:rsidRPr="00D93814">
        <w:rPr>
          <w:rFonts w:asciiTheme="majorHAnsi" w:hAnsiTheme="majorHAnsi" w:cs="Times New Roman"/>
          <w:b/>
          <w:i/>
        </w:rPr>
        <w:t>although it is certainly necessary to respect the protection of personal data, the fact remains that when the infringer is operating in the course of trade and not in a private matter, that person must be clearly identifiable</w:t>
      </w:r>
      <w:r w:rsidRPr="00D93814">
        <w:rPr>
          <w:rFonts w:asciiTheme="majorHAnsi" w:hAnsiTheme="majorHAnsi" w:cs="Times New Roman"/>
        </w:rPr>
        <w:t>”.</w:t>
      </w:r>
    </w:p>
    <w:p w:rsidR="009761EB" w:rsidRPr="00D93814" w:rsidRDefault="009761EB" w:rsidP="00D93814">
      <w:pPr>
        <w:jc w:val="both"/>
        <w:rPr>
          <w:rFonts w:asciiTheme="majorHAnsi" w:hAnsiTheme="majorHAnsi" w:cs="Times New Roman"/>
        </w:rPr>
      </w:pPr>
    </w:p>
    <w:p w:rsidR="000B1472" w:rsidRPr="00D93814" w:rsidRDefault="000B1472" w:rsidP="00D93814">
      <w:pPr>
        <w:pStyle w:val="ListParagraph"/>
        <w:keepNext/>
        <w:numPr>
          <w:ilvl w:val="0"/>
          <w:numId w:val="8"/>
        </w:numPr>
        <w:ind w:left="426" w:hanging="426"/>
        <w:jc w:val="both"/>
        <w:rPr>
          <w:rFonts w:asciiTheme="majorHAnsi" w:hAnsiTheme="majorHAnsi" w:cs="Times New Roman"/>
          <w:b/>
        </w:rPr>
      </w:pPr>
      <w:r w:rsidRPr="00D93814">
        <w:rPr>
          <w:rFonts w:asciiTheme="majorHAnsi" w:hAnsiTheme="majorHAnsi" w:cs="Times New Roman"/>
          <w:b/>
        </w:rPr>
        <w:t>Freedom of Expression in Europe</w:t>
      </w:r>
    </w:p>
    <w:p w:rsidR="000B1472" w:rsidRPr="00D93814" w:rsidRDefault="000B1472" w:rsidP="00D93814">
      <w:pPr>
        <w:keepNext/>
        <w:jc w:val="both"/>
        <w:rPr>
          <w:rFonts w:asciiTheme="majorHAnsi" w:hAnsiTheme="majorHAnsi" w:cs="Times New Roman"/>
          <w:b/>
        </w:rPr>
      </w:pPr>
    </w:p>
    <w:p w:rsidR="000B1472" w:rsidRPr="00D93814" w:rsidRDefault="000B1472" w:rsidP="00D93814">
      <w:pPr>
        <w:jc w:val="both"/>
        <w:rPr>
          <w:rFonts w:asciiTheme="majorHAnsi" w:hAnsiTheme="majorHAnsi" w:cs="Times New Roman"/>
        </w:rPr>
      </w:pPr>
      <w:r w:rsidRPr="00D93814">
        <w:rPr>
          <w:rFonts w:asciiTheme="majorHAnsi" w:hAnsiTheme="majorHAnsi" w:cs="Times New Roman"/>
        </w:rPr>
        <w:t xml:space="preserve">There has been much debate about the potential impact on Freedom of Expression as a justification for using Privacy &amp; Proxy services. </w:t>
      </w:r>
    </w:p>
    <w:p w:rsidR="000B1472" w:rsidRPr="00D93814" w:rsidRDefault="000B1472" w:rsidP="00D93814">
      <w:pPr>
        <w:jc w:val="both"/>
        <w:rPr>
          <w:rFonts w:asciiTheme="majorHAnsi" w:hAnsiTheme="majorHAnsi" w:cs="Times New Roman"/>
        </w:rPr>
      </w:pPr>
    </w:p>
    <w:p w:rsidR="000B1472" w:rsidRPr="00D93814" w:rsidRDefault="000B1472" w:rsidP="00D93814">
      <w:pPr>
        <w:jc w:val="both"/>
        <w:rPr>
          <w:rFonts w:asciiTheme="majorHAnsi" w:hAnsiTheme="majorHAnsi" w:cs="Times New Roman"/>
        </w:rPr>
      </w:pPr>
      <w:r w:rsidRPr="00D93814">
        <w:rPr>
          <w:rFonts w:asciiTheme="majorHAnsi" w:hAnsiTheme="majorHAnsi" w:cs="Times New Roman"/>
        </w:rPr>
        <w:t>In Europe, the European Convention on Human Rights provides protection for Freedom of Expression under Article 10, including the right to impart and receive information freely. As in the US, the courts distinguish between political speech, which is given a high level of protection, and commercial forms of speech where there is a much wider “margin of appreciation” in balancing this protection with other rights and limitations.</w:t>
      </w:r>
    </w:p>
    <w:p w:rsidR="000B1472" w:rsidRPr="00D93814" w:rsidRDefault="000B1472" w:rsidP="00D93814">
      <w:pPr>
        <w:jc w:val="both"/>
        <w:rPr>
          <w:rFonts w:asciiTheme="majorHAnsi" w:hAnsiTheme="majorHAnsi" w:cs="Times New Roman"/>
        </w:rPr>
      </w:pPr>
    </w:p>
    <w:p w:rsidR="000B1472" w:rsidRPr="00D93814" w:rsidRDefault="000B1472" w:rsidP="00D93814">
      <w:pPr>
        <w:jc w:val="both"/>
        <w:rPr>
          <w:rFonts w:asciiTheme="majorHAnsi" w:hAnsiTheme="majorHAnsi" w:cs="Times New Roman"/>
        </w:rPr>
      </w:pPr>
      <w:r w:rsidRPr="00D93814">
        <w:rPr>
          <w:rFonts w:asciiTheme="majorHAnsi" w:eastAsia="Times New Roman" w:hAnsiTheme="majorHAnsi" w:cs="Times New Roman"/>
          <w:lang w:eastAsia="en-GB"/>
        </w:rPr>
        <w:t>A case that prov</w:t>
      </w:r>
      <w:r w:rsidR="00472371" w:rsidRPr="00D93814">
        <w:rPr>
          <w:rFonts w:asciiTheme="majorHAnsi" w:eastAsia="Times New Roman" w:hAnsiTheme="majorHAnsi" w:cs="Times New Roman"/>
          <w:lang w:eastAsia="en-GB"/>
        </w:rPr>
        <w:t xml:space="preserve">ides a helpful sense of this relates to the upholding of the criminal convictions of the operators of the </w:t>
      </w:r>
      <w:proofErr w:type="spellStart"/>
      <w:r w:rsidR="00472371" w:rsidRPr="00D93814">
        <w:rPr>
          <w:rFonts w:asciiTheme="majorHAnsi" w:eastAsia="Times New Roman" w:hAnsiTheme="majorHAnsi" w:cs="Times New Roman"/>
          <w:lang w:eastAsia="en-GB"/>
        </w:rPr>
        <w:t>piratebay</w:t>
      </w:r>
      <w:proofErr w:type="spellEnd"/>
      <w:r w:rsidR="00472371" w:rsidRPr="00D93814">
        <w:rPr>
          <w:rFonts w:asciiTheme="majorHAnsi" w:eastAsia="Times New Roman" w:hAnsiTheme="majorHAnsi" w:cs="Times New Roman"/>
          <w:lang w:eastAsia="en-GB"/>
        </w:rPr>
        <w:t xml:space="preserve"> website</w:t>
      </w:r>
      <w:r w:rsidR="00472371" w:rsidRPr="00D93814">
        <w:rPr>
          <w:rStyle w:val="FootnoteReference"/>
          <w:rFonts w:asciiTheme="majorHAnsi" w:eastAsia="Times New Roman" w:hAnsiTheme="majorHAnsi" w:cs="Times New Roman"/>
          <w:lang w:eastAsia="en-GB"/>
        </w:rPr>
        <w:footnoteReference w:id="6"/>
      </w:r>
      <w:r w:rsidR="00472371" w:rsidRPr="00D93814">
        <w:rPr>
          <w:rFonts w:asciiTheme="majorHAnsi" w:eastAsia="Times New Roman" w:hAnsiTheme="majorHAnsi" w:cs="Times New Roman"/>
          <w:lang w:eastAsia="en-GB"/>
        </w:rPr>
        <w:t xml:space="preserve">, </w:t>
      </w:r>
      <w:r w:rsidRPr="00D93814">
        <w:rPr>
          <w:rFonts w:asciiTheme="majorHAnsi" w:eastAsia="Times New Roman" w:hAnsiTheme="majorHAnsi" w:cs="Times New Roman"/>
          <w:lang w:eastAsia="en-GB"/>
        </w:rPr>
        <w:t xml:space="preserve">where the </w:t>
      </w:r>
      <w:r w:rsidR="00472371" w:rsidRPr="00D93814">
        <w:rPr>
          <w:rFonts w:asciiTheme="majorHAnsi" w:eastAsia="Times New Roman" w:hAnsiTheme="majorHAnsi" w:cs="Times New Roman"/>
          <w:lang w:eastAsia="en-GB"/>
        </w:rPr>
        <w:t>European Court of Human Rights</w:t>
      </w:r>
      <w:r w:rsidRPr="00D93814">
        <w:rPr>
          <w:rFonts w:asciiTheme="majorHAnsi" w:eastAsia="Times New Roman" w:hAnsiTheme="majorHAnsi" w:cs="Times New Roman"/>
          <w:lang w:eastAsia="en-GB"/>
        </w:rPr>
        <w:t xml:space="preserve"> found </w:t>
      </w:r>
      <w:r w:rsidR="00472371" w:rsidRPr="00D93814">
        <w:rPr>
          <w:rFonts w:asciiTheme="majorHAnsi" w:eastAsia="Times New Roman" w:hAnsiTheme="majorHAnsi" w:cs="Times New Roman"/>
          <w:lang w:eastAsia="en-GB"/>
        </w:rPr>
        <w:t xml:space="preserve">that: </w:t>
      </w:r>
      <w:r w:rsidR="00472371" w:rsidRPr="00D93814">
        <w:rPr>
          <w:rFonts w:asciiTheme="majorHAnsi" w:hAnsiTheme="majorHAnsi" w:cs="Times New Roman"/>
          <w:b/>
          <w:i/>
        </w:rPr>
        <w:t>“</w:t>
      </w:r>
      <w:r w:rsidRPr="00D93814">
        <w:rPr>
          <w:rFonts w:asciiTheme="majorHAnsi" w:hAnsiTheme="majorHAnsi" w:cs="Times New Roman"/>
          <w:b/>
          <w:i/>
        </w:rPr>
        <w:t>the safeguards afforded to the distributed material in respect of which the applicants were convicted cannot reach the same level as that afforded to political expression and debate</w:t>
      </w:r>
      <w:r w:rsidR="00472371" w:rsidRPr="00D93814">
        <w:rPr>
          <w:rFonts w:asciiTheme="majorHAnsi" w:hAnsiTheme="majorHAnsi" w:cs="Times New Roman"/>
          <w:b/>
          <w:i/>
        </w:rPr>
        <w:t>”</w:t>
      </w:r>
      <w:r w:rsidRPr="00D93814">
        <w:rPr>
          <w:rFonts w:asciiTheme="majorHAnsi" w:hAnsiTheme="majorHAnsi" w:cs="Times New Roman"/>
        </w:rPr>
        <w:t xml:space="preserve"> and that </w:t>
      </w:r>
      <w:r w:rsidR="00472371" w:rsidRPr="00D93814">
        <w:rPr>
          <w:rFonts w:asciiTheme="majorHAnsi" w:hAnsiTheme="majorHAnsi" w:cs="Times New Roman"/>
          <w:b/>
          <w:i/>
        </w:rPr>
        <w:t>“</w:t>
      </w:r>
      <w:r w:rsidRPr="00D93814">
        <w:rPr>
          <w:rFonts w:asciiTheme="majorHAnsi" w:hAnsiTheme="majorHAnsi" w:cs="Times New Roman"/>
          <w:b/>
          <w:i/>
        </w:rPr>
        <w:t xml:space="preserve">there were </w:t>
      </w:r>
      <w:r w:rsidR="00472371" w:rsidRPr="00D93814">
        <w:rPr>
          <w:rFonts w:asciiTheme="majorHAnsi" w:hAnsiTheme="majorHAnsi" w:cs="Times New Roman"/>
          <w:b/>
          <w:i/>
        </w:rPr>
        <w:t>that there were weighty reasons for the restriction of the applicants’ freedom of expression”</w:t>
      </w:r>
      <w:r w:rsidR="00472371" w:rsidRPr="00D93814">
        <w:rPr>
          <w:rFonts w:asciiTheme="majorHAnsi" w:hAnsiTheme="majorHAnsi" w:cs="Times New Roman"/>
        </w:rPr>
        <w:t xml:space="preserve"> the commercially run website.</w:t>
      </w:r>
    </w:p>
    <w:p w:rsidR="000B1472" w:rsidRPr="00D93814" w:rsidRDefault="000B1472" w:rsidP="00D93814">
      <w:pPr>
        <w:jc w:val="both"/>
        <w:rPr>
          <w:rStyle w:val="sb8d990e2"/>
          <w:rFonts w:asciiTheme="majorHAnsi" w:hAnsiTheme="majorHAnsi"/>
        </w:rPr>
      </w:pPr>
    </w:p>
    <w:p w:rsidR="000B1472" w:rsidRPr="00D93814" w:rsidRDefault="000B1472" w:rsidP="00D93814">
      <w:pPr>
        <w:jc w:val="both"/>
        <w:rPr>
          <w:rFonts w:asciiTheme="majorHAnsi" w:eastAsia="Times New Roman" w:hAnsiTheme="majorHAnsi" w:cs="Times New Roman"/>
          <w:lang w:eastAsia="en-GB"/>
        </w:rPr>
      </w:pPr>
    </w:p>
    <w:p w:rsidR="009761EB" w:rsidRPr="00D93814" w:rsidRDefault="009761EB" w:rsidP="00D93814">
      <w:pPr>
        <w:pStyle w:val="ListParagraph"/>
        <w:keepNext/>
        <w:numPr>
          <w:ilvl w:val="0"/>
          <w:numId w:val="8"/>
        </w:numPr>
        <w:ind w:left="426" w:hanging="426"/>
        <w:jc w:val="both"/>
        <w:rPr>
          <w:rFonts w:asciiTheme="majorHAnsi" w:hAnsiTheme="majorHAnsi" w:cs="Times New Roman"/>
          <w:b/>
        </w:rPr>
      </w:pPr>
      <w:r w:rsidRPr="00D93814">
        <w:rPr>
          <w:rFonts w:asciiTheme="majorHAnsi" w:hAnsiTheme="majorHAnsi" w:cs="Times New Roman"/>
          <w:b/>
        </w:rPr>
        <w:t>Conclusion</w:t>
      </w:r>
    </w:p>
    <w:p w:rsidR="009761EB" w:rsidRPr="00D93814" w:rsidRDefault="009761EB" w:rsidP="00D93814">
      <w:pPr>
        <w:keepNext/>
        <w:jc w:val="both"/>
        <w:rPr>
          <w:rFonts w:asciiTheme="majorHAnsi" w:hAnsiTheme="majorHAnsi" w:cs="Times New Roman"/>
          <w:b/>
        </w:rPr>
      </w:pPr>
    </w:p>
    <w:p w:rsidR="007D3CCA" w:rsidRPr="00D93814" w:rsidRDefault="00CB3EC8" w:rsidP="00D93814">
      <w:pPr>
        <w:jc w:val="both"/>
        <w:rPr>
          <w:rFonts w:asciiTheme="majorHAnsi" w:hAnsiTheme="majorHAnsi"/>
        </w:rPr>
      </w:pPr>
      <w:r w:rsidRPr="00D93814">
        <w:rPr>
          <w:rFonts w:asciiTheme="majorHAnsi" w:hAnsiTheme="majorHAnsi" w:cs="Times New Roman"/>
        </w:rPr>
        <w:t>A</w:t>
      </w:r>
      <w:r w:rsidR="00E05188" w:rsidRPr="00D93814">
        <w:rPr>
          <w:rFonts w:asciiTheme="majorHAnsi" w:hAnsiTheme="majorHAnsi" w:cs="Times New Roman"/>
        </w:rPr>
        <w:t>CG</w:t>
      </w:r>
      <w:r w:rsidR="00472371" w:rsidRPr="00D93814">
        <w:rPr>
          <w:rFonts w:asciiTheme="majorHAnsi" w:hAnsiTheme="majorHAnsi" w:cs="Times New Roman"/>
        </w:rPr>
        <w:t xml:space="preserve"> </w:t>
      </w:r>
      <w:r w:rsidR="009761EB" w:rsidRPr="00D93814">
        <w:rPr>
          <w:rFonts w:asciiTheme="majorHAnsi" w:hAnsiTheme="majorHAnsi" w:cs="Times New Roman"/>
        </w:rPr>
        <w:t>respectfully argues that Privacy &amp; Proxy services should not be available to registrants where the domain name is to be used in the pursuit of an economic activity, in particular for the sale of counterfeit goods. This use of Privacy &amp; Proxy services conflicts with fundamental principles established under European law that require service providers to display their contact details to allow rapid communication in a direct and effective manner.</w:t>
      </w:r>
    </w:p>
    <w:sectPr w:rsidR="007D3CCA" w:rsidRPr="00D93814" w:rsidSect="005265EC">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7B3" w:rsidRDefault="00DF67B3" w:rsidP="003C16F5">
      <w:r>
        <w:separator/>
      </w:r>
    </w:p>
  </w:endnote>
  <w:endnote w:type="continuationSeparator" w:id="0">
    <w:p w:rsidR="00DF67B3" w:rsidRDefault="00DF67B3" w:rsidP="003C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65" w:rsidRDefault="00335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65" w:rsidRDefault="00335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65" w:rsidRDefault="00335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7B3" w:rsidRDefault="00DF67B3" w:rsidP="003C16F5">
      <w:r>
        <w:separator/>
      </w:r>
    </w:p>
  </w:footnote>
  <w:footnote w:type="continuationSeparator" w:id="0">
    <w:p w:rsidR="00DF67B3" w:rsidRDefault="00DF67B3" w:rsidP="003C16F5">
      <w:r>
        <w:continuationSeparator/>
      </w:r>
    </w:p>
  </w:footnote>
  <w:footnote w:id="1">
    <w:p w:rsidR="009761EB" w:rsidRDefault="009761EB" w:rsidP="009761EB">
      <w:pPr>
        <w:pStyle w:val="FootnoteText"/>
        <w:rPr>
          <w:lang w:val="en-GB"/>
        </w:rPr>
      </w:pPr>
      <w:r>
        <w:rPr>
          <w:rStyle w:val="FootnoteReference"/>
        </w:rPr>
        <w:footnoteRef/>
      </w:r>
      <w:r>
        <w:t xml:space="preserve"> </w:t>
      </w:r>
      <w:r>
        <w:rPr>
          <w:rFonts w:ascii="Times New Roman" w:hAnsi="Times New Roman" w:cs="Times New Roman"/>
          <w:sz w:val="16"/>
        </w:rPr>
        <w:t>Directive 2000/31/EC of the European Parliament and of the Council of 8 June 2000 on certain legal aspects of information society services, in particular electronic commerce, in the Internal Market (Directive on electronic commerce)</w:t>
      </w:r>
    </w:p>
  </w:footnote>
  <w:footnote w:id="2">
    <w:p w:rsidR="009761EB" w:rsidRDefault="009761EB" w:rsidP="009761EB">
      <w:pPr>
        <w:pStyle w:val="FootnoteText"/>
        <w:rPr>
          <w:lang w:val="en-GB"/>
        </w:rPr>
      </w:pPr>
      <w:r>
        <w:rPr>
          <w:rStyle w:val="FootnoteReference"/>
        </w:rPr>
        <w:footnoteRef/>
      </w:r>
      <w:r>
        <w:t xml:space="preserve"> </w:t>
      </w:r>
      <w:r>
        <w:rPr>
          <w:rFonts w:ascii="Times New Roman" w:hAnsi="Times New Roman" w:cs="Times New Roman"/>
          <w:sz w:val="16"/>
          <w:szCs w:val="16"/>
        </w:rPr>
        <w:t>Article 5 of Directive 2000/31/EC</w:t>
      </w:r>
    </w:p>
  </w:footnote>
  <w:footnote w:id="3">
    <w:p w:rsidR="009761EB" w:rsidRDefault="009761EB" w:rsidP="009761EB">
      <w:pPr>
        <w:pStyle w:val="FootnoteText"/>
        <w:rPr>
          <w:lang w:val="en-GB"/>
        </w:rPr>
      </w:pPr>
      <w:r>
        <w:rPr>
          <w:rStyle w:val="FootnoteReference"/>
        </w:rPr>
        <w:footnoteRef/>
      </w:r>
      <w:r>
        <w:t xml:space="preserve"> </w:t>
      </w:r>
      <w:r>
        <w:rPr>
          <w:rFonts w:ascii="Times New Roman" w:hAnsi="Times New Roman" w:cs="Times New Roman"/>
          <w:sz w:val="16"/>
          <w:szCs w:val="16"/>
          <w:lang w:val="en-GB"/>
        </w:rPr>
        <w:t xml:space="preserve">See further Recital 18 of </w:t>
      </w:r>
      <w:r>
        <w:rPr>
          <w:rFonts w:ascii="Times New Roman" w:hAnsi="Times New Roman" w:cs="Times New Roman"/>
          <w:sz w:val="16"/>
          <w:szCs w:val="16"/>
        </w:rPr>
        <w:t>Directive 2000/31/EC</w:t>
      </w:r>
    </w:p>
  </w:footnote>
  <w:footnote w:id="4">
    <w:p w:rsidR="009761EB" w:rsidRDefault="009761EB" w:rsidP="009761EB">
      <w:pPr>
        <w:pStyle w:val="FootnoteText"/>
        <w:rPr>
          <w:lang w:val="en-GB"/>
        </w:rPr>
      </w:pPr>
      <w:r>
        <w:rPr>
          <w:rStyle w:val="FootnoteReference"/>
        </w:rPr>
        <w:footnoteRef/>
      </w:r>
      <w:r>
        <w:t xml:space="preserve"> </w:t>
      </w:r>
      <w:r>
        <w:rPr>
          <w:rFonts w:ascii="Times New Roman" w:hAnsi="Times New Roman" w:cs="Times New Roman"/>
          <w:sz w:val="16"/>
        </w:rPr>
        <w:t>Directive 95/46/EC of the European Parliament and of the Council of 24 October 1995 on the protection of individuals with regard to the processing of personal data and on the free movement of such data</w:t>
      </w:r>
    </w:p>
  </w:footnote>
  <w:footnote w:id="5">
    <w:p w:rsidR="009761EB" w:rsidRDefault="009761EB" w:rsidP="009761EB">
      <w:pPr>
        <w:pStyle w:val="FootnoteText"/>
        <w:rPr>
          <w:lang w:val="en-GB"/>
        </w:rPr>
      </w:pPr>
      <w:r>
        <w:rPr>
          <w:rStyle w:val="FootnoteReference"/>
        </w:rPr>
        <w:footnoteRef/>
      </w:r>
      <w:r>
        <w:t xml:space="preserve"> </w:t>
      </w:r>
      <w:r>
        <w:rPr>
          <w:rFonts w:ascii="Times New Roman" w:hAnsi="Times New Roman" w:cs="Times New Roman"/>
          <w:sz w:val="16"/>
          <w:szCs w:val="16"/>
        </w:rPr>
        <w:t>C-324/09 - L'Oréal and Others vs eBay Judgment of the Court (Grand Chamber) of 12 July 2011</w:t>
      </w:r>
    </w:p>
  </w:footnote>
  <w:footnote w:id="6">
    <w:p w:rsidR="00472371" w:rsidRPr="00335965" w:rsidRDefault="00472371">
      <w:pPr>
        <w:pStyle w:val="FootnoteText"/>
        <w:rPr>
          <w:lang w:val="en-GB"/>
        </w:rPr>
      </w:pPr>
      <w:r>
        <w:rPr>
          <w:rStyle w:val="FootnoteReference"/>
        </w:rPr>
        <w:footnoteRef/>
      </w:r>
      <w:r>
        <w:t xml:space="preserve"> </w:t>
      </w:r>
      <w:r w:rsidRPr="006B4BB4">
        <w:rPr>
          <w:rFonts w:ascii="Times New Roman" w:eastAsia="Times New Roman" w:hAnsi="Times New Roman" w:cs="Times New Roman"/>
          <w:lang w:eastAsia="en-GB"/>
        </w:rPr>
        <w:t>NEIJ AND SUNDE KOLMISOPPI v. SWEDEN 40397/12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65" w:rsidRDefault="00335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65" w:rsidRDefault="00335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65" w:rsidRDefault="00335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0EA"/>
    <w:multiLevelType w:val="hybridMultilevel"/>
    <w:tmpl w:val="25F0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37FFC"/>
    <w:multiLevelType w:val="hybridMultilevel"/>
    <w:tmpl w:val="6334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81E9D"/>
    <w:multiLevelType w:val="hybridMultilevel"/>
    <w:tmpl w:val="BEA451DA"/>
    <w:lvl w:ilvl="0" w:tplc="D89802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064109"/>
    <w:multiLevelType w:val="hybridMultilevel"/>
    <w:tmpl w:val="74901CEE"/>
    <w:lvl w:ilvl="0" w:tplc="D89802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CD2BB8"/>
    <w:multiLevelType w:val="hybridMultilevel"/>
    <w:tmpl w:val="BA96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266BF"/>
    <w:multiLevelType w:val="hybridMultilevel"/>
    <w:tmpl w:val="F3FE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666FF"/>
    <w:multiLevelType w:val="hybridMultilevel"/>
    <w:tmpl w:val="0234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EC"/>
    <w:rsid w:val="0002439C"/>
    <w:rsid w:val="000B1472"/>
    <w:rsid w:val="000D468F"/>
    <w:rsid w:val="00146D50"/>
    <w:rsid w:val="0016664C"/>
    <w:rsid w:val="001748A4"/>
    <w:rsid w:val="001F6DCF"/>
    <w:rsid w:val="002614CE"/>
    <w:rsid w:val="00310714"/>
    <w:rsid w:val="00335965"/>
    <w:rsid w:val="00344D2D"/>
    <w:rsid w:val="00385F28"/>
    <w:rsid w:val="003B7146"/>
    <w:rsid w:val="003C16F5"/>
    <w:rsid w:val="00411A2B"/>
    <w:rsid w:val="00472371"/>
    <w:rsid w:val="00490FBE"/>
    <w:rsid w:val="00491DEA"/>
    <w:rsid w:val="004B1AE7"/>
    <w:rsid w:val="005265EC"/>
    <w:rsid w:val="005628DB"/>
    <w:rsid w:val="00582F54"/>
    <w:rsid w:val="0059676A"/>
    <w:rsid w:val="005C6F9C"/>
    <w:rsid w:val="005D7655"/>
    <w:rsid w:val="005E58EE"/>
    <w:rsid w:val="006071B1"/>
    <w:rsid w:val="0061329A"/>
    <w:rsid w:val="00622816"/>
    <w:rsid w:val="00627749"/>
    <w:rsid w:val="0064011A"/>
    <w:rsid w:val="0069648D"/>
    <w:rsid w:val="0073478F"/>
    <w:rsid w:val="007431ED"/>
    <w:rsid w:val="00746EFA"/>
    <w:rsid w:val="00793D27"/>
    <w:rsid w:val="007D3CCA"/>
    <w:rsid w:val="00814762"/>
    <w:rsid w:val="008346EE"/>
    <w:rsid w:val="00885474"/>
    <w:rsid w:val="00892689"/>
    <w:rsid w:val="008B5975"/>
    <w:rsid w:val="008E4B3A"/>
    <w:rsid w:val="00963497"/>
    <w:rsid w:val="009761EB"/>
    <w:rsid w:val="009A0F2C"/>
    <w:rsid w:val="009D3190"/>
    <w:rsid w:val="009F6575"/>
    <w:rsid w:val="00A15272"/>
    <w:rsid w:val="00AB4C00"/>
    <w:rsid w:val="00AC458F"/>
    <w:rsid w:val="00B14A83"/>
    <w:rsid w:val="00B32EDD"/>
    <w:rsid w:val="00B36DB2"/>
    <w:rsid w:val="00B55B6B"/>
    <w:rsid w:val="00B74DB6"/>
    <w:rsid w:val="00B842AD"/>
    <w:rsid w:val="00B84A2C"/>
    <w:rsid w:val="00C10EED"/>
    <w:rsid w:val="00C11DF6"/>
    <w:rsid w:val="00CB3EC8"/>
    <w:rsid w:val="00CC64EA"/>
    <w:rsid w:val="00D127E6"/>
    <w:rsid w:val="00D23D9D"/>
    <w:rsid w:val="00D3212B"/>
    <w:rsid w:val="00D80483"/>
    <w:rsid w:val="00D93814"/>
    <w:rsid w:val="00DE7FA4"/>
    <w:rsid w:val="00DF67B3"/>
    <w:rsid w:val="00E05188"/>
    <w:rsid w:val="00E61480"/>
    <w:rsid w:val="00F85EF1"/>
    <w:rsid w:val="00FB6373"/>
    <w:rsid w:val="00FE65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5EC"/>
    <w:pPr>
      <w:ind w:left="720"/>
      <w:contextualSpacing/>
    </w:pPr>
  </w:style>
  <w:style w:type="paragraph" w:styleId="FootnoteText">
    <w:name w:val="footnote text"/>
    <w:basedOn w:val="Normal"/>
    <w:link w:val="FootnoteTextChar"/>
    <w:uiPriority w:val="99"/>
    <w:semiHidden/>
    <w:unhideWhenUsed/>
    <w:rsid w:val="003C16F5"/>
    <w:rPr>
      <w:sz w:val="20"/>
      <w:szCs w:val="20"/>
    </w:rPr>
  </w:style>
  <w:style w:type="character" w:customStyle="1" w:styleId="FootnoteTextChar">
    <w:name w:val="Footnote Text Char"/>
    <w:basedOn w:val="DefaultParagraphFont"/>
    <w:link w:val="FootnoteText"/>
    <w:uiPriority w:val="99"/>
    <w:semiHidden/>
    <w:rsid w:val="003C16F5"/>
    <w:rPr>
      <w:sz w:val="20"/>
      <w:szCs w:val="20"/>
    </w:rPr>
  </w:style>
  <w:style w:type="character" w:styleId="FootnoteReference">
    <w:name w:val="footnote reference"/>
    <w:basedOn w:val="DefaultParagraphFont"/>
    <w:uiPriority w:val="99"/>
    <w:semiHidden/>
    <w:unhideWhenUsed/>
    <w:rsid w:val="003C16F5"/>
    <w:rPr>
      <w:vertAlign w:val="superscript"/>
    </w:rPr>
  </w:style>
  <w:style w:type="character" w:customStyle="1" w:styleId="sb8d990e2">
    <w:name w:val="sb8d990e2"/>
    <w:basedOn w:val="DefaultParagraphFont"/>
    <w:rsid w:val="000B1472"/>
  </w:style>
  <w:style w:type="paragraph" w:styleId="Header">
    <w:name w:val="header"/>
    <w:basedOn w:val="Normal"/>
    <w:link w:val="HeaderChar"/>
    <w:uiPriority w:val="99"/>
    <w:unhideWhenUsed/>
    <w:rsid w:val="00335965"/>
    <w:pPr>
      <w:tabs>
        <w:tab w:val="center" w:pos="4513"/>
        <w:tab w:val="right" w:pos="9026"/>
      </w:tabs>
    </w:pPr>
  </w:style>
  <w:style w:type="character" w:customStyle="1" w:styleId="HeaderChar">
    <w:name w:val="Header Char"/>
    <w:basedOn w:val="DefaultParagraphFont"/>
    <w:link w:val="Header"/>
    <w:uiPriority w:val="99"/>
    <w:rsid w:val="00335965"/>
  </w:style>
  <w:style w:type="paragraph" w:styleId="Footer">
    <w:name w:val="footer"/>
    <w:basedOn w:val="Normal"/>
    <w:link w:val="FooterChar"/>
    <w:uiPriority w:val="99"/>
    <w:unhideWhenUsed/>
    <w:rsid w:val="00335965"/>
    <w:pPr>
      <w:tabs>
        <w:tab w:val="center" w:pos="4513"/>
        <w:tab w:val="right" w:pos="9026"/>
      </w:tabs>
    </w:pPr>
  </w:style>
  <w:style w:type="character" w:customStyle="1" w:styleId="FooterChar">
    <w:name w:val="Footer Char"/>
    <w:basedOn w:val="DefaultParagraphFont"/>
    <w:link w:val="Footer"/>
    <w:uiPriority w:val="99"/>
    <w:rsid w:val="00335965"/>
  </w:style>
  <w:style w:type="paragraph" w:styleId="NormalWeb">
    <w:name w:val="Normal (Web)"/>
    <w:basedOn w:val="Normal"/>
    <w:uiPriority w:val="99"/>
    <w:unhideWhenUsed/>
    <w:rsid w:val="00B32EDD"/>
    <w:pPr>
      <w:spacing w:after="135"/>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D93814"/>
    <w:rPr>
      <w:rFonts w:ascii="Tahoma" w:hAnsi="Tahoma" w:cs="Tahoma"/>
      <w:sz w:val="16"/>
      <w:szCs w:val="16"/>
    </w:rPr>
  </w:style>
  <w:style w:type="character" w:customStyle="1" w:styleId="BalloonTextChar">
    <w:name w:val="Balloon Text Char"/>
    <w:basedOn w:val="DefaultParagraphFont"/>
    <w:link w:val="BalloonText"/>
    <w:uiPriority w:val="99"/>
    <w:semiHidden/>
    <w:rsid w:val="00D93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65EC"/>
    <w:pPr>
      <w:ind w:left="720"/>
      <w:contextualSpacing/>
    </w:pPr>
  </w:style>
  <w:style w:type="paragraph" w:styleId="FootnoteText">
    <w:name w:val="footnote text"/>
    <w:basedOn w:val="Normal"/>
    <w:link w:val="FootnoteTextChar"/>
    <w:uiPriority w:val="99"/>
    <w:semiHidden/>
    <w:unhideWhenUsed/>
    <w:rsid w:val="003C16F5"/>
    <w:rPr>
      <w:sz w:val="20"/>
      <w:szCs w:val="20"/>
    </w:rPr>
  </w:style>
  <w:style w:type="character" w:customStyle="1" w:styleId="FootnoteTextChar">
    <w:name w:val="Footnote Text Char"/>
    <w:basedOn w:val="DefaultParagraphFont"/>
    <w:link w:val="FootnoteText"/>
    <w:uiPriority w:val="99"/>
    <w:semiHidden/>
    <w:rsid w:val="003C16F5"/>
    <w:rPr>
      <w:sz w:val="20"/>
      <w:szCs w:val="20"/>
    </w:rPr>
  </w:style>
  <w:style w:type="character" w:styleId="FootnoteReference">
    <w:name w:val="footnote reference"/>
    <w:basedOn w:val="DefaultParagraphFont"/>
    <w:uiPriority w:val="99"/>
    <w:semiHidden/>
    <w:unhideWhenUsed/>
    <w:rsid w:val="003C16F5"/>
    <w:rPr>
      <w:vertAlign w:val="superscript"/>
    </w:rPr>
  </w:style>
  <w:style w:type="character" w:customStyle="1" w:styleId="sb8d990e2">
    <w:name w:val="sb8d990e2"/>
    <w:basedOn w:val="DefaultParagraphFont"/>
    <w:rsid w:val="000B1472"/>
  </w:style>
  <w:style w:type="paragraph" w:styleId="Header">
    <w:name w:val="header"/>
    <w:basedOn w:val="Normal"/>
    <w:link w:val="HeaderChar"/>
    <w:uiPriority w:val="99"/>
    <w:unhideWhenUsed/>
    <w:rsid w:val="00335965"/>
    <w:pPr>
      <w:tabs>
        <w:tab w:val="center" w:pos="4513"/>
        <w:tab w:val="right" w:pos="9026"/>
      </w:tabs>
    </w:pPr>
  </w:style>
  <w:style w:type="character" w:customStyle="1" w:styleId="HeaderChar">
    <w:name w:val="Header Char"/>
    <w:basedOn w:val="DefaultParagraphFont"/>
    <w:link w:val="Header"/>
    <w:uiPriority w:val="99"/>
    <w:rsid w:val="00335965"/>
  </w:style>
  <w:style w:type="paragraph" w:styleId="Footer">
    <w:name w:val="footer"/>
    <w:basedOn w:val="Normal"/>
    <w:link w:val="FooterChar"/>
    <w:uiPriority w:val="99"/>
    <w:unhideWhenUsed/>
    <w:rsid w:val="00335965"/>
    <w:pPr>
      <w:tabs>
        <w:tab w:val="center" w:pos="4513"/>
        <w:tab w:val="right" w:pos="9026"/>
      </w:tabs>
    </w:pPr>
  </w:style>
  <w:style w:type="character" w:customStyle="1" w:styleId="FooterChar">
    <w:name w:val="Footer Char"/>
    <w:basedOn w:val="DefaultParagraphFont"/>
    <w:link w:val="Footer"/>
    <w:uiPriority w:val="99"/>
    <w:rsid w:val="00335965"/>
  </w:style>
  <w:style w:type="paragraph" w:styleId="NormalWeb">
    <w:name w:val="Normal (Web)"/>
    <w:basedOn w:val="Normal"/>
    <w:uiPriority w:val="99"/>
    <w:unhideWhenUsed/>
    <w:rsid w:val="00B32EDD"/>
    <w:pPr>
      <w:spacing w:after="135"/>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D93814"/>
    <w:rPr>
      <w:rFonts w:ascii="Tahoma" w:hAnsi="Tahoma" w:cs="Tahoma"/>
      <w:sz w:val="16"/>
      <w:szCs w:val="16"/>
    </w:rPr>
  </w:style>
  <w:style w:type="character" w:customStyle="1" w:styleId="BalloonTextChar">
    <w:name w:val="Balloon Text Char"/>
    <w:basedOn w:val="DefaultParagraphFont"/>
    <w:link w:val="BalloonText"/>
    <w:uiPriority w:val="99"/>
    <w:semiHidden/>
    <w:rsid w:val="00D93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1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cg.org/guests/about-ac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D4C9-F342-44D5-B096-910F008E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2015-07-07T14:24:00Z</dcterms:created>
  <dcterms:modified xsi:type="dcterms:W3CDTF">2015-07-07T15:54:00Z</dcterms:modified>
</cp:coreProperties>
</file>