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7F010FED" w:rsidR="003B3E2A" w:rsidRDefault="007C26A9" w:rsidP="00D00805">
      <w:pPr>
        <w:widowControl w:val="0"/>
        <w:autoSpaceDE w:val="0"/>
        <w:autoSpaceDN w:val="0"/>
        <w:adjustRightInd w:val="0"/>
        <w:rPr>
          <w:rFonts w:ascii="Calibri" w:hAnsi="Calibri" w:cs="Calibri"/>
          <w:sz w:val="22"/>
          <w:szCs w:val="22"/>
        </w:rPr>
      </w:pPr>
      <w:bookmarkStart w:id="0" w:name="_GoBack"/>
      <w:bookmarkEnd w:id="0"/>
      <w:r>
        <w:rPr>
          <w:rFonts w:ascii="Calibri" w:hAnsi="Calibri" w:cs="Calibri"/>
          <w:sz w:val="22"/>
          <w:szCs w:val="22"/>
        </w:rPr>
        <w:t xml:space="preserve">PROPOSED FINAL </w:t>
      </w:r>
      <w:r w:rsidR="007A1220">
        <w:rPr>
          <w:rFonts w:ascii="Calibri" w:hAnsi="Calibri" w:cs="Calibri"/>
          <w:sz w:val="22"/>
          <w:szCs w:val="22"/>
        </w:rPr>
        <w:t>DRAFT</w:t>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Pr>
          <w:rFonts w:ascii="Calibri" w:hAnsi="Calibri" w:cs="Calibri"/>
          <w:sz w:val="22"/>
          <w:szCs w:val="22"/>
        </w:rPr>
        <w:t>XX</w:t>
      </w:r>
      <w:r w:rsidR="00D76D2B">
        <w:rPr>
          <w:rFonts w:ascii="Calibri" w:hAnsi="Calibri" w:cs="Calibri"/>
          <w:sz w:val="22"/>
          <w:szCs w:val="22"/>
        </w:rPr>
        <w:t>-</w:t>
      </w:r>
      <w:r w:rsidR="00DB361A">
        <w:rPr>
          <w:rFonts w:ascii="Calibri" w:hAnsi="Calibri" w:cs="Calibri"/>
          <w:sz w:val="22"/>
          <w:szCs w:val="22"/>
        </w:rPr>
        <w:t>AUGUST</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0441342C"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66CCECF5"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CC88F0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069DCC0A"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34C92200"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5BE45F3D" w14:textId="77777777"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74C1D0A4" w14:textId="77777777" w:rsidR="007C26A9" w:rsidRDefault="007C26A9" w:rsidP="00806303">
      <w:pPr>
        <w:widowControl w:val="0"/>
        <w:autoSpaceDE w:val="0"/>
        <w:autoSpaceDN w:val="0"/>
        <w:adjustRightInd w:val="0"/>
        <w:rPr>
          <w:rFonts w:ascii="Calibri" w:hAnsi="Calibri" w:cs="Calibri"/>
          <w:sz w:val="22"/>
          <w:szCs w:val="22"/>
        </w:rPr>
      </w:pPr>
    </w:p>
    <w:p w14:paraId="1A99F92F" w14:textId="14220594"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but is only an attempt at identifying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does not convey new legal accountability or responsibility on ICANN or Contracted Parties.</w:t>
      </w:r>
      <w:r w:rsidR="00806303">
        <w:rPr>
          <w:rFonts w:ascii="Calibri" w:hAnsi="Calibri" w:cs="Calibri"/>
          <w:sz w:val="22"/>
          <w:szCs w:val="22"/>
        </w:rPr>
        <w:t xml:space="preserve">  </w:t>
      </w:r>
    </w:p>
    <w:p w14:paraId="1B8FBFE7" w14:textId="77777777" w:rsidR="007C26A9" w:rsidRDefault="007C26A9" w:rsidP="00806303">
      <w:pPr>
        <w:widowControl w:val="0"/>
        <w:autoSpaceDE w:val="0"/>
        <w:autoSpaceDN w:val="0"/>
        <w:adjustRightInd w:val="0"/>
        <w:rPr>
          <w:rFonts w:ascii="Calibri" w:hAnsi="Calibri" w:cs="Calibri"/>
          <w:sz w:val="22"/>
          <w:szCs w:val="22"/>
        </w:rPr>
      </w:pPr>
    </w:p>
    <w:p w14:paraId="18464C28" w14:textId="318994D4"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10176933"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asures and publish baseline data as soon as the 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rFonts w:ascii="Calibri" w:hAnsi="Calibri" w:cs="Calibri"/>
          <w:sz w:val="22"/>
          <w:szCs w:val="22"/>
        </w:rPr>
      </w:pPr>
    </w:p>
    <w:p w14:paraId="5DA6094D" w14:textId="6E61380F"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15478EC9"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13293DFC"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343FD0">
        <w:rPr>
          <w:rFonts w:ascii="Calibri" w:hAnsi="Calibri" w:cs="Calibri"/>
          <w:sz w:val="22"/>
          <w:szCs w:val="22"/>
        </w:rPr>
        <w:t xml:space="preserve">charter adopted </w:t>
      </w:r>
      <w:r>
        <w:rPr>
          <w:rFonts w:ascii="Calibri" w:hAnsi="Calibri" w:cs="Calibri"/>
          <w:sz w:val="22"/>
          <w:szCs w:val="22"/>
        </w:rPr>
        <w:t>a limite</w:t>
      </w:r>
      <w:r w:rsidR="00343FD0">
        <w:rPr>
          <w:rFonts w:ascii="Calibri" w:hAnsi="Calibri" w:cs="Calibri"/>
          <w:sz w:val="22"/>
          <w:szCs w:val="22"/>
        </w:rPr>
        <w:t xml:space="preserve">d scope for this advice, citing the 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753D74EE"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51BBCC57"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14:paraId="677CBF7A" w14:textId="77777777" w:rsidR="00F10292" w:rsidRDefault="00F10292" w:rsidP="001A66B0">
      <w:pPr>
        <w:widowControl w:val="0"/>
        <w:autoSpaceDE w:val="0"/>
        <w:autoSpaceDN w:val="0"/>
        <w:adjustRightInd w:val="0"/>
        <w:rPr>
          <w:rFonts w:ascii="Calibri" w:hAnsi="Calibri" w:cs="Calibri"/>
          <w:sz w:val="22"/>
          <w:szCs w:val="22"/>
        </w:rPr>
      </w:pPr>
    </w:p>
    <w:p w14:paraId="37CA9139" w14:textId="5D55114C"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The Governmental Advisory Committee (GAC) has previously stated its view that the benefits of any gTLD expansion should exceed its costs.   In comments on draft Advice, the US Government reiterated this position, suggesting that the WG develop metrics sufficient to measure the actual benefits and costs of the expansion program.  The WG notes that neither the board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522C7FBD"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102D5EA3"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3794590D"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board solicited advice.   The Charter was approved by the GNSO on </w:t>
      </w:r>
      <w:r w:rsidR="007E2787">
        <w:rPr>
          <w:rFonts w:ascii="Calibri" w:hAnsi="Calibri" w:cs="Calibri"/>
          <w:sz w:val="22"/>
          <w:szCs w:val="22"/>
        </w:rPr>
        <w:t xml:space="preserve">7 September </w:t>
      </w:r>
      <w:proofErr w:type="gramStart"/>
      <w:r w:rsidR="007E2787">
        <w:rPr>
          <w:rFonts w:ascii="Calibri" w:hAnsi="Calibri" w:cs="Calibri"/>
          <w:sz w:val="22"/>
          <w:szCs w:val="22"/>
        </w:rPr>
        <w:t>2011</w:t>
      </w:r>
      <w:r w:rsidR="007E2787" w:rsidDel="007E2787">
        <w:rPr>
          <w:rFonts w:ascii="Calibri" w:hAnsi="Calibri" w:cs="Calibri"/>
          <w:sz w:val="22"/>
          <w:szCs w:val="22"/>
        </w:rPr>
        <w:t xml:space="preserve"> </w:t>
      </w:r>
      <w:r>
        <w:rPr>
          <w:rFonts w:ascii="Calibri" w:hAnsi="Calibri" w:cs="Calibri"/>
          <w:sz w:val="22"/>
          <w:szCs w:val="22"/>
        </w:rPr>
        <w:t xml:space="preserve"> and</w:t>
      </w:r>
      <w:proofErr w:type="gramEnd"/>
      <w:r>
        <w:rPr>
          <w:rFonts w:ascii="Calibri" w:hAnsi="Calibri" w:cs="Calibri"/>
          <w:sz w:val="22"/>
          <w:szCs w:val="22"/>
        </w:rPr>
        <w:t xml:space="preserve">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5"/>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51DB30AA"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GNSO Council.  At the Prague meeting, the WG gave a briefing to the GAC at its open session.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4E46069B"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23858AF8" w14:textId="39E9E20D"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w:t>
      </w:r>
      <w:r w:rsidRPr="00217937">
        <w:rPr>
          <w:rFonts w:ascii="Calibri" w:hAnsi="Calibri" w:cs="Calibri"/>
          <w:sz w:val="22"/>
          <w:szCs w:val="22"/>
        </w:rPr>
        <w:lastRenderedPageBreak/>
        <w:t>function.</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5C91F279"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C9D42E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56F9E2DF" w:rsidR="00161CA7" w:rsidRDefault="00161CA7"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and the 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286E4FA6" w14:textId="77777777" w:rsidR="00161CA7" w:rsidRDefault="00161CA7" w:rsidP="00161CA7">
      <w:pPr>
        <w:widowControl w:val="0"/>
        <w:autoSpaceDE w:val="0"/>
        <w:autoSpaceDN w:val="0"/>
        <w:adjustRightInd w:val="0"/>
        <w:ind w:left="720"/>
        <w:rPr>
          <w:rFonts w:ascii="Calibri" w:hAnsi="Calibri" w:cs="Calibri"/>
          <w:i/>
          <w:iCs/>
          <w:sz w:val="22"/>
          <w:szCs w:val="22"/>
        </w:rPr>
      </w:pPr>
    </w:p>
    <w:p w14:paraId="59BB02D6" w14:textId="0EC6A88E"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w:t>
      </w:r>
      <w:r>
        <w:rPr>
          <w:rFonts w:ascii="Calibri" w:hAnsi="Calibri" w:cs="Calibri"/>
          <w:i/>
          <w:iCs/>
          <w:sz w:val="22"/>
          <w:szCs w:val="22"/>
        </w:rPr>
        <w:t>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D976EF">
      <w:pPr>
        <w:widowControl w:val="0"/>
        <w:autoSpaceDE w:val="0"/>
        <w:autoSpaceDN w:val="0"/>
        <w:adjustRightInd w:val="0"/>
        <w:ind w:left="1440"/>
        <w:rPr>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14:paraId="4D1B20DA" w14:textId="77777777"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39360267" w14:textId="77777777" w:rsidTr="00217937">
        <w:trPr>
          <w:tblHeader/>
        </w:trPr>
        <w:tc>
          <w:tcPr>
            <w:tcW w:w="1620" w:type="dxa"/>
            <w:shd w:val="clear" w:color="auto" w:fill="D9D9D9" w:themeFill="background1" w:themeFillShade="D9"/>
          </w:tcPr>
          <w:p w14:paraId="628C4AC7" w14:textId="77777777"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14:paraId="3018DB39" w14:textId="3B1D99F9"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14:paraId="1217ABC0"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449EEC47" w14:textId="31248EF0"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14:paraId="2EB42F8F"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1FDB4014" w14:textId="51913E2A"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7A19C202" w14:textId="77777777" w:rsidTr="00217937">
        <w:tc>
          <w:tcPr>
            <w:tcW w:w="1620" w:type="dxa"/>
            <w:vMerge w:val="restart"/>
            <w:vAlign w:val="center"/>
          </w:tcPr>
          <w:p w14:paraId="6806F9AA" w14:textId="6253E6B9"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14:paraId="6EA4DD33" w14:textId="60BCDDFF"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14:paraId="45C6E3B0"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7F18DDB7" w14:textId="77777777" w:rsidTr="00217937">
        <w:trPr>
          <w:trHeight w:val="1034"/>
        </w:trPr>
        <w:tc>
          <w:tcPr>
            <w:tcW w:w="1620" w:type="dxa"/>
            <w:vMerge/>
          </w:tcPr>
          <w:p w14:paraId="4934B638"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63F66FA"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14:paraId="3E4F3108" w14:textId="7BE055F5"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302FCD07" w14:textId="77777777" w:rsidTr="00217937">
        <w:tc>
          <w:tcPr>
            <w:tcW w:w="1620" w:type="dxa"/>
            <w:vMerge/>
          </w:tcPr>
          <w:p w14:paraId="77FE9F34"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7E2E731E"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ICANN, Registry operators and </w:t>
            </w:r>
            <w:r w:rsidRPr="00217937">
              <w:rPr>
                <w:rFonts w:asciiTheme="majorHAnsi" w:eastAsia="Times New Roman" w:hAnsiTheme="majorHAnsi" w:cstheme="majorHAnsi"/>
                <w:color w:val="000000" w:themeColor="text1"/>
                <w:sz w:val="20"/>
                <w:szCs w:val="20"/>
              </w:rPr>
              <w:lastRenderedPageBreak/>
              <w:t>Registrars</w:t>
            </w:r>
          </w:p>
        </w:tc>
        <w:tc>
          <w:tcPr>
            <w:tcW w:w="3060" w:type="dxa"/>
          </w:tcPr>
          <w:p w14:paraId="57032F06" w14:textId="08A9EBE3"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lastRenderedPageBreak/>
              <w:t>E</w:t>
            </w:r>
            <w:r w:rsidR="00E9562E" w:rsidRPr="00217937">
              <w:rPr>
                <w:rFonts w:asciiTheme="majorHAnsi" w:eastAsia="Times New Roman" w:hAnsiTheme="majorHAnsi" w:cstheme="majorHAnsi"/>
                <w:color w:val="000000" w:themeColor="text1"/>
                <w:sz w:val="20"/>
                <w:szCs w:val="20"/>
              </w:rPr>
              <w:t xml:space="preserve">fforts to curtail   susceptibility to </w:t>
            </w:r>
            <w:r w:rsidR="00E9562E" w:rsidRPr="00217937">
              <w:rPr>
                <w:rFonts w:asciiTheme="majorHAnsi" w:eastAsia="Times New Roman" w:hAnsiTheme="majorHAnsi" w:cstheme="majorHAnsi"/>
                <w:color w:val="000000" w:themeColor="text1"/>
                <w:sz w:val="20"/>
                <w:szCs w:val="20"/>
              </w:rPr>
              <w:lastRenderedPageBreak/>
              <w:t>abuse of the domain name system</w:t>
            </w:r>
          </w:p>
        </w:tc>
      </w:tr>
      <w:tr w:rsidR="007C26A9" w14:paraId="7E234B42" w14:textId="77777777" w:rsidTr="00217937">
        <w:tc>
          <w:tcPr>
            <w:tcW w:w="1620" w:type="dxa"/>
            <w:vMerge/>
          </w:tcPr>
          <w:p w14:paraId="34D942D6"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DE5D58D"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14:paraId="453E327A" w14:textId="1A244215"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24C837FE" w14:textId="7A18FED7" w:rsidR="00E9562E" w:rsidRPr="00D976EF" w:rsidRDefault="00E9562E" w:rsidP="00D976EF">
      <w:pPr>
        <w:widowControl w:val="0"/>
        <w:autoSpaceDE w:val="0"/>
        <w:autoSpaceDN w:val="0"/>
        <w:adjustRightInd w:val="0"/>
        <w:ind w:left="1440"/>
        <w:rPr>
          <w:rFonts w:ascii="Calibri" w:hAnsi="Calibri"/>
          <w:i/>
          <w:sz w:val="22"/>
        </w:rPr>
      </w:pPr>
    </w:p>
    <w:p w14:paraId="64352059" w14:textId="77777777" w:rsidR="007C7314" w:rsidRPr="00D976EF" w:rsidRDefault="007C7314" w:rsidP="00D976EF">
      <w:pPr>
        <w:widowControl w:val="0"/>
        <w:autoSpaceDE w:val="0"/>
        <w:autoSpaceDN w:val="0"/>
        <w:adjustRightInd w:val="0"/>
        <w:ind w:left="720"/>
        <w:rPr>
          <w:rFonts w:ascii="Calibri" w:hAnsi="Calibri"/>
          <w:i/>
          <w:sz w:val="22"/>
        </w:rPr>
      </w:pPr>
    </w:p>
    <w:p w14:paraId="3C94C81F" w14:textId="3698AA55" w:rsidR="00C9281B" w:rsidRPr="002E7E35" w:rsidRDefault="00C9281B" w:rsidP="00C9281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Pr="002E7E35">
        <w:rPr>
          <w:rFonts w:ascii="Calibri" w:hAnsi="Calibri" w:cs="Calibri"/>
          <w:i/>
          <w:sz w:val="22"/>
          <w:szCs w:val="22"/>
        </w:rPr>
        <w:t>.</w:t>
      </w:r>
      <w:proofErr w:type="gramEnd"/>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32CE21B5"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28EFEB6E"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727AA2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67B7C082"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0F611E5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1BD66ED0"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0C65EEAB" w14:textId="77777777" w:rsidR="00C9281B" w:rsidRDefault="00C9281B" w:rsidP="00E2329E">
      <w:pPr>
        <w:widowControl w:val="0"/>
        <w:autoSpaceDE w:val="0"/>
        <w:autoSpaceDN w:val="0"/>
        <w:adjustRightInd w:val="0"/>
        <w:ind w:left="720"/>
        <w:rPr>
          <w:rFonts w:ascii="Calibri" w:hAnsi="Calibri" w:cs="Calibri"/>
          <w:i/>
          <w:iCs/>
          <w:sz w:val="22"/>
          <w:szCs w:val="22"/>
        </w:rPr>
      </w:pPr>
    </w:p>
    <w:p w14:paraId="57588CB7" w14:textId="20DD3947" w:rsidR="00F10292" w:rsidRDefault="00E2329E" w:rsidP="00B668CB">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w:t>
      </w:r>
      <w:proofErr w:type="gramEnd"/>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 xml:space="preserve">s for a registrant is having the option of choosing among TLDs that are relevant to the registrant’s </w:t>
      </w:r>
      <w:r w:rsidR="009B0F22">
        <w:rPr>
          <w:rFonts w:ascii="Calibri" w:hAnsi="Calibri" w:cs="Calibri"/>
          <w:i/>
          <w:iCs/>
          <w:sz w:val="22"/>
          <w:szCs w:val="22"/>
        </w:rPr>
        <w:t xml:space="preserve">desired </w:t>
      </w:r>
      <w:r w:rsidR="00F50A46">
        <w:rPr>
          <w:rFonts w:ascii="Calibri" w:hAnsi="Calibri" w:cs="Calibri"/>
          <w:i/>
          <w:iCs/>
          <w:sz w:val="22"/>
          <w:szCs w:val="22"/>
        </w:rPr>
        <w:t xml:space="preserve">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1A9AA564" w14:textId="77777777" w:rsidR="00E2329E" w:rsidRDefault="00E2329E" w:rsidP="00ED0485">
      <w:pPr>
        <w:widowControl w:val="0"/>
        <w:autoSpaceDE w:val="0"/>
        <w:autoSpaceDN w:val="0"/>
        <w:adjustRightInd w:val="0"/>
        <w:ind w:left="720"/>
        <w:rPr>
          <w:rFonts w:ascii="Calibri" w:hAnsi="Calibri" w:cs="Calibri"/>
          <w:i/>
          <w:iCs/>
          <w:sz w:val="22"/>
          <w:szCs w:val="22"/>
        </w:rPr>
      </w:pPr>
    </w:p>
    <w:p w14:paraId="30C61ECA" w14:textId="0E11F819" w:rsidR="00166DCD" w:rsidRDefault="002E7E35" w:rsidP="00ED0485">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5CEE0D2B" w14:textId="77777777" w:rsidR="00D966AB" w:rsidRDefault="00D966AB" w:rsidP="00ED0485">
      <w:pPr>
        <w:widowControl w:val="0"/>
        <w:autoSpaceDE w:val="0"/>
        <w:autoSpaceDN w:val="0"/>
        <w:adjustRightInd w:val="0"/>
        <w:ind w:left="720"/>
        <w:rPr>
          <w:rFonts w:ascii="Calibri" w:hAnsi="Calibri" w:cs="Calibri"/>
          <w:i/>
          <w:sz w:val="22"/>
          <w:szCs w:val="22"/>
        </w:rPr>
      </w:pPr>
    </w:p>
    <w:p w14:paraId="231A5D57" w14:textId="11194B3E" w:rsidR="00D966AB" w:rsidRDefault="00D966AB"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 xml:space="preserve">competitors to gTLDs, particularly where the </w:t>
      </w:r>
      <w:proofErr w:type="spellStart"/>
      <w:r>
        <w:rPr>
          <w:rFonts w:ascii="Calibri" w:hAnsi="Calibri" w:cs="Calibri"/>
          <w:i/>
          <w:sz w:val="22"/>
          <w:szCs w:val="22"/>
        </w:rPr>
        <w:t>ccTLD</w:t>
      </w:r>
      <w:proofErr w:type="spellEnd"/>
      <w:r>
        <w:rPr>
          <w:rFonts w:ascii="Calibri" w:hAnsi="Calibri" w:cs="Calibri"/>
          <w:i/>
          <w:sz w:val="22"/>
          <w:szCs w:val="22"/>
        </w:rPr>
        <w:t xml:space="preserve"> is marketed to registrants around the world (e.g. .me and .</w:t>
      </w:r>
      <w:proofErr w:type="gramStart"/>
      <w:r>
        <w:rPr>
          <w:rFonts w:ascii="Calibri" w:hAnsi="Calibri" w:cs="Calibri"/>
          <w:i/>
          <w:sz w:val="22"/>
          <w:szCs w:val="22"/>
        </w:rPr>
        <w:t>co )</w:t>
      </w:r>
      <w:proofErr w:type="gramEnd"/>
      <w:r>
        <w:rPr>
          <w:rFonts w:ascii="Calibri" w:hAnsi="Calibri" w:cs="Calibri"/>
          <w:i/>
          <w:sz w:val="22"/>
          <w:szCs w:val="22"/>
        </w:rPr>
        <w:t>.</w:t>
      </w:r>
    </w:p>
    <w:p w14:paraId="31DA3BAA" w14:textId="77777777" w:rsidR="00250457" w:rsidRPr="00D976EF" w:rsidRDefault="00250457" w:rsidP="00D976EF">
      <w:pPr>
        <w:widowControl w:val="0"/>
        <w:autoSpaceDE w:val="0"/>
        <w:autoSpaceDN w:val="0"/>
        <w:adjustRightInd w:val="0"/>
        <w:ind w:left="720"/>
        <w:rPr>
          <w:rFonts w:ascii="Calibri" w:hAnsi="Calibri"/>
          <w:i/>
          <w:sz w:val="22"/>
        </w:rPr>
      </w:pPr>
    </w:p>
    <w:p w14:paraId="1C2FBA35" w14:textId="2BF56895" w:rsidR="00250457" w:rsidRDefault="00250457"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7</w:t>
      </w:r>
      <w:r w:rsidRPr="00250457">
        <w:rPr>
          <w:rFonts w:ascii="Calibri" w:hAnsi="Calibri" w:cs="Calibri"/>
          <w:i/>
          <w:sz w:val="22"/>
          <w:szCs w:val="22"/>
        </w:rPr>
        <w:t>.</w:t>
      </w:r>
      <w:proofErr w:type="gramEnd"/>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14:paraId="48B176A4" w14:textId="77777777" w:rsidR="00E9562E" w:rsidRDefault="00E9562E" w:rsidP="00ED0485">
      <w:pPr>
        <w:widowControl w:val="0"/>
        <w:autoSpaceDE w:val="0"/>
        <w:autoSpaceDN w:val="0"/>
        <w:adjustRightInd w:val="0"/>
        <w:ind w:left="720"/>
        <w:rPr>
          <w:rFonts w:ascii="Calibri" w:hAnsi="Calibri" w:cs="Calibri"/>
          <w:i/>
          <w:sz w:val="22"/>
          <w:szCs w:val="22"/>
        </w:rPr>
      </w:pPr>
    </w:p>
    <w:p w14:paraId="5B216078" w14:textId="786B2E91" w:rsidR="00E9562E" w:rsidRDefault="00E9562E" w:rsidP="00ED0485">
      <w:pPr>
        <w:widowControl w:val="0"/>
        <w:autoSpaceDE w:val="0"/>
        <w:autoSpaceDN w:val="0"/>
        <w:adjustRightInd w:val="0"/>
        <w:ind w:left="720"/>
        <w:rPr>
          <w:rFonts w:ascii="Calibri" w:hAnsi="Calibri" w:cs="Calibri"/>
          <w:i/>
          <w:sz w:val="22"/>
          <w:szCs w:val="22"/>
        </w:rPr>
      </w:pPr>
      <w:proofErr w:type="gramStart"/>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w:t>
      </w:r>
      <w:proofErr w:type="gramEnd"/>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14:paraId="26C7E556" w14:textId="77777777" w:rsidR="00343FD0" w:rsidRDefault="00343FD0" w:rsidP="00343FD0">
      <w:pPr>
        <w:rPr>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12684CD0" w:rsidR="00E55ECE" w:rsidRDefault="00E55ECE">
      <w:pPr>
        <w:rPr>
          <w:rFonts w:ascii="Calibri" w:hAnsi="Calibri" w:cs="Calibri"/>
          <w:b/>
          <w:sz w:val="22"/>
          <w:szCs w:val="22"/>
        </w:rPr>
      </w:pP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60048DFE"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r w:rsidR="006C2E08">
        <w:rPr>
          <w:rFonts w:ascii="Calibri" w:hAnsi="Calibri" w:cs="Calibri"/>
          <w:sz w:val="22"/>
          <w:szCs w:val="22"/>
        </w:rPr>
        <w:t xml:space="preserve">  The </w:t>
      </w:r>
      <w:proofErr w:type="gramStart"/>
      <w:r w:rsidR="006C2E08">
        <w:rPr>
          <w:rFonts w:ascii="Calibri" w:hAnsi="Calibri" w:cs="Calibri"/>
          <w:sz w:val="22"/>
          <w:szCs w:val="22"/>
        </w:rPr>
        <w:t>scope of the metrics are</w:t>
      </w:r>
      <w:proofErr w:type="gramEnd"/>
      <w:r w:rsidR="006C2E08">
        <w:rPr>
          <w:rFonts w:ascii="Calibri" w:hAnsi="Calibri" w:cs="Calibri"/>
          <w:sz w:val="22"/>
          <w:szCs w:val="22"/>
        </w:rPr>
        <w:t xml:space="preserve"> only at the first and second level registrations.  Third and higher level registrations of domains are consider out of scope with exception to use of geographic names as outlined in the Applicant Guide Book.</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00B9D3F4"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7404F77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14:paraId="25416F53" w14:textId="77777777" w:rsidTr="00D976EF">
        <w:tc>
          <w:tcPr>
            <w:tcW w:w="2700" w:type="dxa"/>
            <w:shd w:val="clear" w:color="auto" w:fill="D9D9D9" w:themeFill="background1" w:themeFillShade="D9"/>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shd w:val="clear" w:color="auto" w:fill="D9D9D9" w:themeFill="background1" w:themeFillShade="D9"/>
          </w:tcPr>
          <w:p w14:paraId="70E53C26" w14:textId="19323911"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 xml:space="preserve">Example of </w:t>
            </w:r>
            <w:r w:rsidR="00B668CB">
              <w:rPr>
                <w:rFonts w:ascii="Calibri" w:hAnsi="Calibri" w:cs="Calibri"/>
                <w:sz w:val="20"/>
                <w:szCs w:val="22"/>
              </w:rPr>
              <w:t xml:space="preserve">a </w:t>
            </w:r>
            <w:r w:rsidRPr="00A36343">
              <w:rPr>
                <w:rFonts w:ascii="Calibri" w:hAnsi="Calibri" w:cs="Calibri"/>
                <w:sz w:val="20"/>
                <w:szCs w:val="22"/>
              </w:rPr>
              <w:t>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240A98DB"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lastRenderedPageBreak/>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27CF2D5C" w:rsidR="007F4A74"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a</w:t>
      </w:r>
      <w:r w:rsidR="004B4383">
        <w:rPr>
          <w:rFonts w:ascii="Calibri" w:hAnsi="Calibri" w:cs="Calibri"/>
          <w:sz w:val="22"/>
          <w:szCs w:val="22"/>
        </w:rPr>
        <w:t>pplicable</w:t>
      </w:r>
      <w:r w:rsidR="007516A3">
        <w:rPr>
          <w:rFonts w:ascii="Calibri" w:hAnsi="Calibri" w:cs="Calibri"/>
          <w:sz w:val="22"/>
          <w:szCs w:val="22"/>
        </w:rPr>
        <w:t xml:space="preserve"> 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0D3BB1E4" w14:textId="77E9152C" w:rsidR="000F0800"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“Legacy gTLDs” refers to gTLDs that were in operation before the present expansion. (i.e., before Jan-2012)</w:t>
      </w:r>
    </w:p>
    <w:p w14:paraId="7A675EAA" w14:textId="38B0F492" w:rsidR="000F0800"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“Registry Operator” refers to the entity holding the contract with ICANN to operate a gTLD.</w:t>
      </w:r>
    </w:p>
    <w:p w14:paraId="7018FE56" w14:textId="0E83906F" w:rsidR="000F0800"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77777777" w:rsidR="000F0800"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 “Obtaining” refers the availability and level of effort to gather raw data needed for each measure in the table.</w:t>
      </w:r>
    </w:p>
    <w:p w14:paraId="7730E034" w14:textId="3D54D2A6" w:rsidR="004B4383" w:rsidRDefault="000F0800" w:rsidP="00D976EF">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 </w:t>
      </w:r>
      <w:r w:rsidR="006100B5">
        <w:rPr>
          <w:rFonts w:ascii="Calibri" w:hAnsi="Calibri" w:cs="Calibri"/>
          <w:sz w:val="22"/>
          <w:szCs w:val="22"/>
        </w:rPr>
        <w:t>“</w:t>
      </w:r>
      <w:r w:rsidR="00347843">
        <w:rPr>
          <w:rFonts w:ascii="Calibri" w:hAnsi="Calibri" w:cs="Calibri"/>
          <w:sz w:val="22"/>
          <w:szCs w:val="22"/>
        </w:rPr>
        <w:t>Reporting</w:t>
      </w:r>
      <w:r w:rsidR="006100B5">
        <w:rPr>
          <w:rFonts w:ascii="Calibri" w:hAnsi="Calibri" w:cs="Calibri"/>
          <w:sz w:val="22"/>
          <w:szCs w:val="22"/>
        </w:rPr>
        <w:t>”</w:t>
      </w:r>
      <w:r w:rsidR="006100B5" w:rsidRPr="006100B5">
        <w:rPr>
          <w:rFonts w:ascii="Calibri" w:hAnsi="Calibri" w:cs="Calibri"/>
          <w:sz w:val="22"/>
          <w:szCs w:val="22"/>
        </w:rPr>
        <w:t xml:space="preserve"> </w:t>
      </w:r>
      <w:r w:rsidR="00347843">
        <w:rPr>
          <w:rFonts w:ascii="Calibri" w:hAnsi="Calibri" w:cs="Calibri"/>
          <w:sz w:val="22"/>
          <w:szCs w:val="22"/>
        </w:rPr>
        <w:t xml:space="preserve">refers to </w:t>
      </w:r>
      <w:r w:rsidR="006100B5">
        <w:rPr>
          <w:rFonts w:ascii="Calibri" w:hAnsi="Calibri" w:cs="Calibri"/>
          <w:sz w:val="22"/>
          <w:szCs w:val="22"/>
        </w:rPr>
        <w:t>any challenges in compiling and publicly disclosing each measure in the table.</w:t>
      </w:r>
    </w:p>
    <w:p w14:paraId="49031067" w14:textId="77777777" w:rsidR="00B668CB" w:rsidRDefault="00B668CB" w:rsidP="004746FE">
      <w:pPr>
        <w:widowControl w:val="0"/>
        <w:autoSpaceDE w:val="0"/>
        <w:autoSpaceDN w:val="0"/>
        <w:adjustRightInd w:val="0"/>
        <w:spacing w:before="120"/>
        <w:rPr>
          <w:rFonts w:ascii="Calibri" w:hAnsi="Calibri" w:cs="Calibri"/>
          <w:sz w:val="22"/>
          <w:szCs w:val="22"/>
        </w:rPr>
      </w:pP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769F2978"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D976EF">
        <w:tc>
          <w:tcPr>
            <w:tcW w:w="9185" w:type="dxa"/>
            <w:gridSpan w:val="4"/>
            <w:shd w:val="clear" w:color="auto" w:fill="D9D9D9" w:themeFill="background1" w:themeFillShade="D9"/>
            <w:noWrap/>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1D3DB425"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5228244B"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5A88B2F1" w:rsidR="000F60A7" w:rsidRPr="000812DC" w:rsidRDefault="00F77260" w:rsidP="00F77260">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lastRenderedPageBreak/>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0F60A7" w:rsidRPr="008571FE">
              <w:rPr>
                <w:rFonts w:ascii="Calibri" w:eastAsia="Times New Roman" w:hAnsi="Calibri" w:cs="Times New Roman"/>
                <w:bCs/>
                <w:color w:val="000000"/>
                <w:sz w:val="20"/>
                <w:szCs w:val="22"/>
              </w:rPr>
              <w:t>Extensible Provisioning Protocol</w:t>
            </w:r>
            <w:r w:rsidR="000F60A7">
              <w:rPr>
                <w:rFonts w:ascii="Calibri" w:eastAsia="Times New Roman" w:hAnsi="Calibri" w:cs="Times New Roman"/>
                <w:bCs/>
                <w:color w:val="000000"/>
                <w:sz w:val="20"/>
                <w:szCs w:val="22"/>
              </w:rPr>
              <w:t xml:space="preserve"> (EPP).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039C9301" w:rsidR="000F60A7" w:rsidRPr="00AD5C36" w:rsidRDefault="00F77260" w:rsidP="002920A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Registrant and Internet User’s experience with regard to cybersquatting.</w:t>
            </w:r>
            <w:r w:rsidR="002920A3">
              <w:rPr>
                <w:rFonts w:ascii="Calibri" w:eastAsia="Times New Roman" w:hAnsi="Calibri" w:cs="Times New Roman"/>
                <w:color w:val="000000"/>
                <w:sz w:val="20"/>
                <w:szCs w:val="22"/>
              </w:rPr>
              <w:t xml:space="preserve">  Survey to be conducted at least annually.</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2B2A1939"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D976EF">
        <w:tc>
          <w:tcPr>
            <w:tcW w:w="9185" w:type="dxa"/>
            <w:gridSpan w:val="4"/>
            <w:shd w:val="clear" w:color="auto" w:fill="D9D9D9" w:themeFill="background1" w:themeFillShade="D9"/>
            <w:noWrap/>
          </w:tcPr>
          <w:p w14:paraId="1BA2243A" w14:textId="50DB68EB"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that TLD operators are fulfilling </w:t>
            </w:r>
            <w:r w:rsidR="00DE3990">
              <w:rPr>
                <w:rFonts w:ascii="Calibri" w:eastAsia="Times New Roman" w:hAnsi="Calibri" w:cs="Times New Roman"/>
                <w:i/>
                <w:color w:val="000000"/>
                <w:sz w:val="20"/>
                <w:szCs w:val="22"/>
              </w:rPr>
              <w:t xml:space="preserve">their stated </w:t>
            </w:r>
            <w:r>
              <w:rPr>
                <w:rFonts w:ascii="Calibri" w:eastAsia="Times New Roman" w:hAnsi="Calibri" w:cs="Times New Roman"/>
                <w:i/>
                <w:color w:val="000000"/>
                <w:sz w:val="20"/>
                <w:szCs w:val="22"/>
              </w:rPr>
              <w:t>promises and complying with ICANN policies 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2359CC72" w:rsidR="000F60A7" w:rsidRPr="00AD5C36" w:rsidRDefault="00F7726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[1.6] </w:t>
            </w:r>
            <w:r w:rsidR="000F60A7">
              <w:rPr>
                <w:rFonts w:ascii="Calibri" w:eastAsia="Times New Roman" w:hAnsi="Calibri" w:cs="Times New Roman"/>
                <w:color w:val="000000"/>
                <w:sz w:val="20"/>
                <w:szCs w:val="22"/>
              </w:rPr>
              <w:t>Relative incidence of</w:t>
            </w:r>
            <w:r w:rsidR="000F60A7" w:rsidRPr="00AD5C36">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 xml:space="preserve">breach </w:t>
            </w:r>
            <w:r w:rsidR="000F60A7" w:rsidRPr="00AD5C36">
              <w:rPr>
                <w:rFonts w:ascii="Calibri" w:eastAsia="Times New Roman" w:hAnsi="Calibri" w:cs="Times New Roman"/>
                <w:color w:val="000000"/>
                <w:sz w:val="20"/>
                <w:szCs w:val="22"/>
              </w:rPr>
              <w:t>notices</w:t>
            </w:r>
            <w:r w:rsidR="000F60A7">
              <w:rPr>
                <w:rFonts w:ascii="Calibri" w:eastAsia="Times New Roman" w:hAnsi="Calibri" w:cs="Times New Roman"/>
                <w:color w:val="000000"/>
                <w:sz w:val="20"/>
                <w:szCs w:val="22"/>
              </w:rPr>
              <w:t xml:space="preserve"> issued to</w:t>
            </w:r>
            <w:r w:rsidR="000F60A7" w:rsidRPr="00AD5C36">
              <w:rPr>
                <w:rFonts w:ascii="Calibri" w:eastAsia="Times New Roman" w:hAnsi="Calibri" w:cs="Times New Roman"/>
                <w:color w:val="000000"/>
                <w:sz w:val="20"/>
                <w:szCs w:val="22"/>
              </w:rPr>
              <w:t xml:space="preserve"> Registry </w:t>
            </w:r>
            <w:r w:rsidR="000F60A7">
              <w:rPr>
                <w:rFonts w:ascii="Calibri" w:eastAsia="Times New Roman" w:hAnsi="Calibri" w:cs="Times New Roman"/>
                <w:color w:val="000000"/>
                <w:sz w:val="20"/>
                <w:szCs w:val="22"/>
              </w:rPr>
              <w:t>operators for contract or policy compliance matters</w:t>
            </w:r>
            <w:r w:rsidR="00AA3DC4">
              <w:rPr>
                <w:rFonts w:ascii="Calibri" w:eastAsia="Times New Roman" w:hAnsi="Calibri" w:cs="Times New Roman"/>
                <w:color w:val="000000"/>
                <w:sz w:val="20"/>
                <w:szCs w:val="22"/>
              </w:rPr>
              <w:t xml:space="preserve">.  All breach-related notifications should be included in </w:t>
            </w:r>
            <w:proofErr w:type="spellStart"/>
            <w:r w:rsidR="00AA3DC4">
              <w:rPr>
                <w:rFonts w:ascii="Calibri" w:eastAsia="Times New Roman" w:hAnsi="Calibri" w:cs="Times New Roman"/>
                <w:color w:val="000000"/>
                <w:sz w:val="20"/>
                <w:szCs w:val="22"/>
              </w:rPr>
              <w:t>thes</w:t>
            </w:r>
            <w:proofErr w:type="spellEnd"/>
            <w:r w:rsidR="00AA3DC4">
              <w:rPr>
                <w:rFonts w:ascii="Calibri" w:eastAsia="Times New Roman" w:hAnsi="Calibri" w:cs="Times New Roman"/>
                <w:color w:val="000000"/>
                <w:sz w:val="20"/>
                <w:szCs w:val="22"/>
              </w:rPr>
              <w:t xml:space="preserve"> measure. </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28CC6D45" w:rsidR="000F60A7" w:rsidRPr="00AD5C36" w:rsidRDefault="0066499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w:t>
            </w:r>
            <w:r w:rsidR="00EB2B68">
              <w:rPr>
                <w:rFonts w:ascii="Calibri" w:eastAsia="Times New Roman" w:hAnsi="Calibri" w:cs="Times New Roman"/>
                <w:color w:val="000000"/>
                <w:sz w:val="20"/>
                <w:szCs w:val="22"/>
              </w:rPr>
              <w:t xml:space="preserve">relative </w:t>
            </w:r>
            <w:r w:rsidR="000F60A7">
              <w:rPr>
                <w:rFonts w:ascii="Calibri" w:eastAsia="Times New Roman" w:hAnsi="Calibri" w:cs="Times New Roman"/>
                <w:color w:val="000000"/>
                <w:sz w:val="20"/>
                <w:szCs w:val="22"/>
              </w:rPr>
              <w:t>incidence in legacy gTLDs</w:t>
            </w:r>
          </w:p>
        </w:tc>
      </w:tr>
      <w:tr w:rsidR="000F60A7" w:rsidRPr="00AD5C36" w14:paraId="34E91D01" w14:textId="77777777" w:rsidTr="000F60A7">
        <w:trPr>
          <w:trHeight w:val="690"/>
        </w:trPr>
        <w:tc>
          <w:tcPr>
            <w:tcW w:w="3785" w:type="dxa"/>
            <w:shd w:val="clear" w:color="auto" w:fill="auto"/>
            <w:noWrap/>
            <w:vAlign w:val="center"/>
            <w:hideMark/>
          </w:tcPr>
          <w:p w14:paraId="22F127F0" w14:textId="1F2D2016"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w:t>
            </w:r>
            <w:r w:rsidR="000F60A7">
              <w:rPr>
                <w:rFonts w:ascii="Calibri" w:eastAsia="Times New Roman" w:hAnsi="Calibri" w:cs="Times New Roman"/>
                <w:color w:val="000000"/>
                <w:sz w:val="20"/>
                <w:szCs w:val="22"/>
              </w:rPr>
              <w:t xml:space="preserve">Relative incidence of </w:t>
            </w:r>
            <w:r w:rsidR="000F60A7" w:rsidRPr="00AD5C36">
              <w:rPr>
                <w:rFonts w:ascii="Calibri" w:eastAsia="Times New Roman" w:hAnsi="Calibri" w:cs="Times New Roman"/>
                <w:color w:val="000000"/>
                <w:sz w:val="20"/>
                <w:szCs w:val="22"/>
              </w:rPr>
              <w:t>bre</w:t>
            </w:r>
            <w:r w:rsidR="000F60A7">
              <w:rPr>
                <w:rFonts w:ascii="Calibri" w:eastAsia="Times New Roman" w:hAnsi="Calibri" w:cs="Times New Roman"/>
                <w:color w:val="000000"/>
                <w:sz w:val="20"/>
                <w:szCs w:val="22"/>
              </w:rPr>
              <w:t xml:space="preserve">ach notices issued to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4588BE71" w:rsidR="000F60A7" w:rsidRPr="00AD5C36" w:rsidRDefault="0066499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w:t>
            </w:r>
            <w:r w:rsidR="00EB2B68">
              <w:rPr>
                <w:rFonts w:ascii="Calibri" w:eastAsia="Times New Roman" w:hAnsi="Calibri" w:cs="Times New Roman"/>
                <w:color w:val="000000"/>
                <w:sz w:val="20"/>
                <w:szCs w:val="22"/>
              </w:rPr>
              <w:t xml:space="preserve">relative </w:t>
            </w:r>
            <w:r w:rsidR="000F60A7">
              <w:rPr>
                <w:rFonts w:ascii="Calibri" w:eastAsia="Times New Roman" w:hAnsi="Calibri" w:cs="Times New Roman"/>
                <w:color w:val="000000"/>
                <w:sz w:val="20"/>
                <w:szCs w:val="22"/>
              </w:rPr>
              <w:t>incidence in legacy gTLDs</w:t>
            </w:r>
          </w:p>
        </w:tc>
      </w:tr>
      <w:tr w:rsidR="0038534A" w:rsidRPr="00AD5C36" w14:paraId="45887292" w14:textId="77777777" w:rsidTr="000F60A7">
        <w:trPr>
          <w:trHeight w:val="690"/>
        </w:trPr>
        <w:tc>
          <w:tcPr>
            <w:tcW w:w="3785" w:type="dxa"/>
            <w:shd w:val="clear" w:color="auto" w:fill="auto"/>
            <w:noWrap/>
            <w:vAlign w:val="center"/>
          </w:tcPr>
          <w:p w14:paraId="28CB35DF" w14:textId="609833BA" w:rsidR="0038534A"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38534A">
              <w:rPr>
                <w:rFonts w:ascii="Calibri" w:eastAsia="Times New Roman" w:hAnsi="Calibri" w:cs="Times New Roman"/>
                <w:color w:val="000000"/>
                <w:sz w:val="20"/>
                <w:szCs w:val="22"/>
              </w:rPr>
              <w:t xml:space="preserve">Quantity of Registry &amp; Registrar general complaints submitted to ICANN’s </w:t>
            </w:r>
            <w:proofErr w:type="spellStart"/>
            <w:r w:rsidR="0038534A">
              <w:rPr>
                <w:rFonts w:ascii="Calibri" w:eastAsia="Times New Roman" w:hAnsi="Calibri" w:cs="Times New Roman"/>
                <w:color w:val="000000"/>
                <w:sz w:val="20"/>
                <w:szCs w:val="22"/>
              </w:rPr>
              <w:t>Internic</w:t>
            </w:r>
            <w:proofErr w:type="spellEnd"/>
            <w:r w:rsidR="0038534A">
              <w:rPr>
                <w:rFonts w:ascii="Calibri" w:eastAsia="Times New Roman" w:hAnsi="Calibri" w:cs="Times New Roman"/>
                <w:color w:val="000000"/>
                <w:sz w:val="20"/>
                <w:szCs w:val="22"/>
              </w:rPr>
              <w:t xml:space="preserve"> System</w:t>
            </w:r>
          </w:p>
        </w:tc>
        <w:tc>
          <w:tcPr>
            <w:tcW w:w="1080" w:type="dxa"/>
            <w:shd w:val="clear" w:color="auto" w:fill="auto"/>
            <w:noWrap/>
            <w:vAlign w:val="center"/>
          </w:tcPr>
          <w:p w14:paraId="16DE8388" w14:textId="778CDD99" w:rsidR="0038534A" w:rsidRPr="00AD5C36" w:rsidRDefault="003853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7168B1E0" w14:textId="033C4868" w:rsidR="0038534A" w:rsidRDefault="0038534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14:paraId="587CC46D" w14:textId="686BC50F" w:rsidR="0038534A" w:rsidRDefault="0038534A"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w:t>
            </w:r>
            <w:r w:rsidR="00B808D9">
              <w:rPr>
                <w:rFonts w:ascii="Calibri" w:eastAsia="Times New Roman" w:hAnsi="Calibri" w:cs="Times New Roman"/>
                <w:color w:val="000000"/>
                <w:sz w:val="20"/>
                <w:szCs w:val="22"/>
              </w:rPr>
              <w:t xml:space="preserve">relative </w:t>
            </w:r>
            <w:r>
              <w:rPr>
                <w:rFonts w:ascii="Calibri" w:eastAsia="Times New Roman" w:hAnsi="Calibri" w:cs="Times New Roman"/>
                <w:color w:val="000000"/>
                <w:sz w:val="20"/>
                <w:szCs w:val="22"/>
              </w:rPr>
              <w:t>incidence in legacy gTLDs</w:t>
            </w:r>
            <w:r w:rsidR="00B808D9">
              <w:rPr>
                <w:rFonts w:ascii="Calibri" w:eastAsia="Times New Roman" w:hAnsi="Calibri" w:cs="Times New Roman"/>
                <w:color w:val="000000"/>
                <w:sz w:val="20"/>
                <w:szCs w:val="22"/>
              </w:rPr>
              <w:t xml:space="preserve"> </w:t>
            </w:r>
          </w:p>
        </w:tc>
      </w:tr>
      <w:tr w:rsidR="000F60A7" w:rsidRPr="00AD5C36" w14:paraId="2F09A0C6" w14:textId="77777777" w:rsidTr="000F60A7">
        <w:trPr>
          <w:trHeight w:val="690"/>
        </w:trPr>
        <w:tc>
          <w:tcPr>
            <w:tcW w:w="3785" w:type="dxa"/>
            <w:shd w:val="clear" w:color="auto" w:fill="auto"/>
            <w:noWrap/>
            <w:vAlign w:val="center"/>
            <w:hideMark/>
          </w:tcPr>
          <w:p w14:paraId="6E0A780B" w14:textId="4704ECAF" w:rsidR="000F60A7" w:rsidRPr="00AD5C36" w:rsidRDefault="00F7726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w:t>
            </w:r>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B808D9">
              <w:rPr>
                <w:rFonts w:ascii="Calibri" w:eastAsia="Times New Roman" w:hAnsi="Calibri" w:cs="Times New Roman"/>
                <w:color w:val="000000"/>
                <w:sz w:val="20"/>
                <w:szCs w:val="22"/>
              </w:rPr>
              <w:t xml:space="preserve">combined </w:t>
            </w:r>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i/>
                <w:color w:val="000000"/>
                <w:sz w:val="20"/>
                <w:szCs w:val="22"/>
              </w:rPr>
              <w:t>Complaints</w:t>
            </w:r>
            <w:r w:rsidR="00B808D9">
              <w:rPr>
                <w:rFonts w:ascii="Calibri" w:eastAsia="Times New Roman" w:hAnsi="Calibri" w:cs="Times New Roman"/>
                <w:i/>
                <w:color w:val="000000"/>
                <w:sz w:val="20"/>
                <w:szCs w:val="22"/>
              </w:rPr>
              <w:t>.</w:t>
            </w:r>
            <w:r w:rsidR="00B808D9">
              <w:rPr>
                <w:rFonts w:ascii="Calibri" w:eastAsia="Times New Roman" w:hAnsi="Calibri" w:cs="Times New Roman"/>
                <w:color w:val="000000"/>
                <w:sz w:val="20"/>
                <w:szCs w:val="22"/>
              </w:rPr>
              <w:t xml:space="preserve">  URS s available only in new gTLDs, so combined UDRP and URS complaints should be compared to UDRP complaints in legacy gTLDs.</w:t>
            </w:r>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7D213FB3" w:rsidR="000F60A7" w:rsidRPr="00AD5C36" w:rsidRDefault="00CD46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r w:rsidR="00B808D9">
              <w:rPr>
                <w:rFonts w:ascii="Calibri" w:eastAsia="Times New Roman" w:hAnsi="Calibri" w:cs="Times New Roman"/>
                <w:color w:val="000000"/>
                <w:sz w:val="20"/>
                <w:szCs w:val="22"/>
              </w:rPr>
              <w:t xml:space="preserve"> </w:t>
            </w:r>
          </w:p>
        </w:tc>
      </w:tr>
      <w:tr w:rsidR="000F60A7" w:rsidRPr="00AD5C36" w14:paraId="366D12B0" w14:textId="77777777" w:rsidTr="000F60A7">
        <w:trPr>
          <w:trHeight w:val="690"/>
        </w:trPr>
        <w:tc>
          <w:tcPr>
            <w:tcW w:w="3785" w:type="dxa"/>
            <w:shd w:val="clear" w:color="auto" w:fill="auto"/>
            <w:noWrap/>
            <w:vAlign w:val="center"/>
            <w:hideMark/>
          </w:tcPr>
          <w:p w14:paraId="1F69A253" w14:textId="2F42F2C0" w:rsidR="000F60A7" w:rsidRPr="00AD5C36" w:rsidRDefault="00F77260"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w:t>
            </w:r>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elative incidence of</w:t>
            </w:r>
            <w:r w:rsidR="00B808D9">
              <w:rPr>
                <w:rFonts w:ascii="Calibri" w:eastAsia="Times New Roman" w:hAnsi="Calibri" w:cs="Times New Roman"/>
                <w:color w:val="000000"/>
                <w:sz w:val="20"/>
                <w:szCs w:val="22"/>
              </w:rPr>
              <w:t xml:space="preserve"> combined</w:t>
            </w:r>
            <w:r w:rsidR="000F60A7">
              <w:rPr>
                <w:rFonts w:ascii="Calibri" w:eastAsia="Times New Roman" w:hAnsi="Calibri" w:cs="Times New Roman"/>
                <w:color w:val="000000"/>
                <w:sz w:val="20"/>
                <w:szCs w:val="22"/>
              </w:rPr>
              <w:t xml:space="preserve"> </w:t>
            </w:r>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r w:rsidR="00B808D9">
              <w:rPr>
                <w:rFonts w:ascii="Calibri" w:eastAsia="Times New Roman" w:hAnsi="Calibri" w:cs="Times New Roman"/>
                <w:i/>
                <w:color w:val="000000"/>
                <w:sz w:val="20"/>
                <w:szCs w:val="22"/>
              </w:rPr>
              <w:t>s</w:t>
            </w:r>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7CED7069" w:rsidR="000F60A7" w:rsidRPr="00AD5C36" w:rsidRDefault="00CD46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p>
        </w:tc>
      </w:tr>
      <w:tr w:rsidR="00EC219E" w:rsidRPr="00AD5C36" w14:paraId="49A28012" w14:textId="77777777" w:rsidTr="000F60A7">
        <w:trPr>
          <w:trHeight w:val="690"/>
        </w:trPr>
        <w:tc>
          <w:tcPr>
            <w:tcW w:w="3785" w:type="dxa"/>
            <w:shd w:val="clear" w:color="auto" w:fill="auto"/>
            <w:noWrap/>
            <w:vAlign w:val="center"/>
          </w:tcPr>
          <w:p w14:paraId="61E2DD01" w14:textId="64465904" w:rsidR="00EC219E" w:rsidRDefault="00F7726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[1.11] </w:t>
            </w:r>
            <w:r w:rsidR="00374830">
              <w:rPr>
                <w:rFonts w:ascii="Calibri" w:eastAsia="Times New Roman" w:hAnsi="Calibri" w:cs="Times New Roman"/>
                <w:color w:val="000000"/>
                <w:sz w:val="20"/>
                <w:szCs w:val="22"/>
              </w:rPr>
              <w:t>Quantity of</w:t>
            </w:r>
            <w:r w:rsidR="00EC219E" w:rsidRPr="00EC219E">
              <w:rPr>
                <w:rFonts w:ascii="Calibri" w:eastAsia="Times New Roman" w:hAnsi="Calibri" w:cs="Times New Roman"/>
                <w:color w:val="000000"/>
                <w:sz w:val="20"/>
                <w:szCs w:val="22"/>
              </w:rPr>
              <w:t xml:space="preserve"> intellectual property claims and cost of domain name policing</w:t>
            </w:r>
            <w:r w:rsidR="00374830" w:rsidRPr="00EC219E">
              <w:rPr>
                <w:rFonts w:ascii="Calibri" w:eastAsia="Times New Roman" w:hAnsi="Calibri" w:cs="Times New Roman"/>
                <w:color w:val="000000"/>
                <w:sz w:val="20"/>
                <w:szCs w:val="22"/>
              </w:rPr>
              <w:t xml:space="preserve"> relating</w:t>
            </w:r>
            <w:r w:rsidR="00374830">
              <w:rPr>
                <w:rFonts w:ascii="Calibri" w:eastAsia="Times New Roman" w:hAnsi="Calibri" w:cs="Times New Roman"/>
                <w:color w:val="000000"/>
                <w:sz w:val="20"/>
                <w:szCs w:val="22"/>
              </w:rPr>
              <w:t xml:space="preserve"> to</w:t>
            </w:r>
            <w:r w:rsidR="00374830" w:rsidRPr="00EC219E">
              <w:rPr>
                <w:rFonts w:ascii="Calibri" w:eastAsia="Times New Roman" w:hAnsi="Calibri" w:cs="Times New Roman"/>
                <w:color w:val="000000"/>
                <w:sz w:val="20"/>
                <w:szCs w:val="22"/>
              </w:rPr>
              <w:t xml:space="preserve"> </w:t>
            </w:r>
            <w:r w:rsidR="00374830">
              <w:rPr>
                <w:rFonts w:ascii="Calibri" w:eastAsia="Times New Roman" w:hAnsi="Calibri" w:cs="Times New Roman"/>
                <w:color w:val="000000"/>
                <w:sz w:val="20"/>
                <w:szCs w:val="22"/>
              </w:rPr>
              <w:t>new gTLDs</w:t>
            </w:r>
            <w:r w:rsidR="0099308F">
              <w:rPr>
                <w:rFonts w:ascii="Calibri" w:eastAsia="Times New Roman" w:hAnsi="Calibri" w:cs="Times New Roman"/>
                <w:color w:val="000000"/>
                <w:sz w:val="20"/>
                <w:szCs w:val="22"/>
              </w:rPr>
              <w:t>,</w:t>
            </w:r>
            <w:r w:rsidR="00EC219E" w:rsidRPr="00EC219E">
              <w:rPr>
                <w:rFonts w:ascii="Calibri" w:eastAsia="Times New Roman" w:hAnsi="Calibri" w:cs="Times New Roman"/>
                <w:color w:val="000000"/>
                <w:sz w:val="20"/>
                <w:szCs w:val="22"/>
              </w:rPr>
              <w:t xml:space="preserve"> measured immediately prior to new gTLD delegation and at 1 and 3 years after</w:t>
            </w:r>
            <w:r w:rsidR="0099308F">
              <w:rPr>
                <w:rFonts w:ascii="Calibri" w:eastAsia="Times New Roman" w:hAnsi="Calibri" w:cs="Times New Roman"/>
                <w:color w:val="000000"/>
                <w:sz w:val="20"/>
                <w:szCs w:val="22"/>
              </w:rPr>
              <w:t>wards</w:t>
            </w:r>
            <w:r w:rsidR="00EC219E" w:rsidRPr="00EC219E">
              <w:rPr>
                <w:rFonts w:ascii="Calibri" w:eastAsia="Times New Roman" w:hAnsi="Calibri" w:cs="Times New Roman"/>
                <w:color w:val="000000"/>
                <w:sz w:val="20"/>
                <w:szCs w:val="22"/>
              </w:rPr>
              <w:t>.</w:t>
            </w:r>
          </w:p>
          <w:p w14:paraId="7855A5E1" w14:textId="77777777" w:rsidR="00464BFA" w:rsidRDefault="000953D1"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I</w:t>
            </w:r>
            <w:r w:rsidR="0099308F">
              <w:rPr>
                <w:rFonts w:ascii="Calibri" w:eastAsia="Times New Roman" w:hAnsi="Calibri" w:cs="Times New Roman"/>
                <w:color w:val="000000"/>
                <w:sz w:val="20"/>
                <w:szCs w:val="22"/>
              </w:rPr>
              <w:t xml:space="preserve">ncidence of </w:t>
            </w:r>
            <w:r w:rsidR="0099308F" w:rsidRPr="00EC219E">
              <w:rPr>
                <w:rFonts w:ascii="Calibri" w:eastAsia="Times New Roman" w:hAnsi="Calibri" w:cs="Times New Roman"/>
                <w:color w:val="000000"/>
                <w:sz w:val="20"/>
                <w:szCs w:val="22"/>
              </w:rPr>
              <w:t xml:space="preserve">domain name IP cases </w:t>
            </w:r>
            <w:r w:rsidR="0099308F">
              <w:rPr>
                <w:rFonts w:ascii="Calibri" w:eastAsia="Times New Roman" w:hAnsi="Calibri" w:cs="Times New Roman"/>
                <w:color w:val="000000"/>
                <w:sz w:val="20"/>
                <w:szCs w:val="22"/>
              </w:rPr>
              <w:t>should not include UDRP/URS filings, which are the sub</w:t>
            </w:r>
            <w:r>
              <w:rPr>
                <w:rFonts w:ascii="Calibri" w:eastAsia="Times New Roman" w:hAnsi="Calibri" w:cs="Times New Roman"/>
                <w:color w:val="000000"/>
                <w:sz w:val="20"/>
                <w:szCs w:val="22"/>
              </w:rPr>
              <w:t xml:space="preserve">ject of separate Consumer Trust measures. </w:t>
            </w:r>
          </w:p>
          <w:p w14:paraId="2DB66F60" w14:textId="157E7A5B" w:rsidR="000953D1" w:rsidRDefault="00464BFA"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w:t>
            </w:r>
            <w:r w:rsidR="000953D1">
              <w:rPr>
                <w:rFonts w:ascii="Calibri" w:eastAsia="Times New Roman" w:hAnsi="Calibri" w:cs="Times New Roman"/>
                <w:color w:val="000000"/>
                <w:sz w:val="20"/>
                <w:szCs w:val="22"/>
              </w:rPr>
              <w:t xml:space="preserve"> Relative incidence of IP claims should be measured in 3 areas:</w:t>
            </w:r>
          </w:p>
          <w:p w14:paraId="2E59A051" w14:textId="2457901D" w:rsidR="000953D1" w:rsidRDefault="000953D1"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D976EF">
              <w:rPr>
                <w:rFonts w:ascii="Calibri" w:hAnsi="Calibri"/>
                <w:color w:val="000000"/>
                <w:sz w:val="20"/>
              </w:rPr>
              <w:t xml:space="preserve"> </w:t>
            </w:r>
            <w:r w:rsidR="0099308F" w:rsidRPr="00D976EF">
              <w:rPr>
                <w:rFonts w:ascii="Calibri" w:hAnsi="Calibri"/>
                <w:color w:val="000000"/>
                <w:sz w:val="20"/>
              </w:rPr>
              <w:t xml:space="preserve">against </w:t>
            </w:r>
            <w:r w:rsidR="0099308F"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w:t>
            </w:r>
            <w:r w:rsidR="00374830">
              <w:rPr>
                <w:rFonts w:ascii="Calibri" w:eastAsia="Times New Roman" w:hAnsi="Calibri" w:cs="Times New Roman"/>
                <w:color w:val="000000"/>
                <w:sz w:val="20"/>
                <w:szCs w:val="22"/>
              </w:rPr>
              <w:t xml:space="preserve">el domains in new </w:t>
            </w:r>
            <w:proofErr w:type="spellStart"/>
            <w:r w:rsidR="00374830">
              <w:rPr>
                <w:rFonts w:ascii="Calibri" w:eastAsia="Times New Roman" w:hAnsi="Calibri" w:cs="Times New Roman"/>
                <w:color w:val="000000"/>
                <w:sz w:val="20"/>
                <w:szCs w:val="22"/>
              </w:rPr>
              <w:t>gLTDs</w:t>
            </w:r>
            <w:proofErr w:type="spellEnd"/>
            <w:r w:rsidR="00374830">
              <w:rPr>
                <w:rFonts w:ascii="Calibri" w:eastAsia="Times New Roman" w:hAnsi="Calibri" w:cs="Times New Roman"/>
                <w:color w:val="000000"/>
                <w:sz w:val="20"/>
                <w:szCs w:val="22"/>
              </w:rPr>
              <w:t>;</w:t>
            </w:r>
          </w:p>
          <w:p w14:paraId="0779BD46" w14:textId="4FD3F374" w:rsidR="00374830" w:rsidRDefault="0037483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0099308F"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0099308F" w:rsidRPr="00EC219E">
              <w:rPr>
                <w:rFonts w:ascii="Calibri" w:eastAsia="Times New Roman" w:hAnsi="Calibri" w:cs="Times New Roman"/>
                <w:color w:val="000000"/>
                <w:sz w:val="20"/>
                <w:szCs w:val="22"/>
              </w:rPr>
              <w:t xml:space="preserve">  </w:t>
            </w:r>
          </w:p>
          <w:p w14:paraId="6861761A" w14:textId="02B57D1C" w:rsidR="00374830" w:rsidRDefault="0037483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14:paraId="2A924F24" w14:textId="391000BC" w:rsidR="000953D1" w:rsidRDefault="0099308F"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sidR="00464BFA">
              <w:rPr>
                <w:rFonts w:ascii="Calibri" w:eastAsia="Times New Roman" w:hAnsi="Calibri" w:cs="Times New Roman"/>
                <w:color w:val="000000"/>
                <w:sz w:val="20"/>
                <w:szCs w:val="22"/>
              </w:rPr>
              <w:t>Q</w:t>
            </w:r>
            <w:r w:rsidR="00374830">
              <w:rPr>
                <w:rFonts w:ascii="Calibri" w:eastAsia="Times New Roman" w:hAnsi="Calibri" w:cs="Times New Roman"/>
                <w:color w:val="000000"/>
                <w:sz w:val="20"/>
                <w:szCs w:val="22"/>
              </w:rPr>
              <w:t xml:space="preserve">uantity of second level domains acquired because of </w:t>
            </w:r>
            <w:r w:rsidRPr="00EC219E">
              <w:rPr>
                <w:rFonts w:ascii="Calibri" w:eastAsia="Times New Roman" w:hAnsi="Calibri" w:cs="Times New Roman"/>
                <w:color w:val="000000"/>
                <w:sz w:val="20"/>
                <w:szCs w:val="22"/>
              </w:rPr>
              <w:t>infringe</w:t>
            </w:r>
            <w:r w:rsidR="00374830">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sidR="00374830">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sidR="00374830">
              <w:rPr>
                <w:rFonts w:ascii="Calibri" w:eastAsia="Times New Roman" w:hAnsi="Calibri" w:cs="Times New Roman"/>
                <w:color w:val="000000"/>
                <w:sz w:val="20"/>
                <w:szCs w:val="22"/>
              </w:rPr>
              <w:t>ions of IP rights of acquiring parties</w:t>
            </w:r>
          </w:p>
          <w:p w14:paraId="2A572F90" w14:textId="12BFBED9" w:rsidR="0099308F" w:rsidRDefault="0099308F"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464BFA">
              <w:rPr>
                <w:rFonts w:ascii="Calibri" w:eastAsia="Times New Roman" w:hAnsi="Calibri" w:cs="Times New Roman"/>
                <w:color w:val="000000"/>
                <w:sz w:val="20"/>
                <w:szCs w:val="22"/>
              </w:rPr>
              <w:t>C</w:t>
            </w:r>
            <w:r w:rsidR="00374830" w:rsidRPr="00374830">
              <w:rPr>
                <w:rFonts w:ascii="Calibri" w:eastAsia="Times New Roman" w:hAnsi="Calibri" w:cs="Times New Roman"/>
                <w:color w:val="000000"/>
                <w:sz w:val="20"/>
                <w:szCs w:val="22"/>
              </w:rPr>
              <w:t>ost of domain name policing and enforcement efforts by IP owners</w:t>
            </w:r>
          </w:p>
        </w:tc>
        <w:tc>
          <w:tcPr>
            <w:tcW w:w="1080" w:type="dxa"/>
            <w:shd w:val="clear" w:color="auto" w:fill="auto"/>
            <w:noWrap/>
            <w:vAlign w:val="center"/>
          </w:tcPr>
          <w:p w14:paraId="6DC871F0" w14:textId="22F8C30D" w:rsidR="00EC219E" w:rsidRPr="00AD5C36" w:rsidRDefault="00EC219E"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w:t>
            </w:r>
            <w:r w:rsidR="0099308F">
              <w:rPr>
                <w:rFonts w:ascii="Calibri" w:eastAsia="Times New Roman" w:hAnsi="Calibri" w:cs="Times New Roman"/>
                <w:color w:val="000000"/>
                <w:sz w:val="20"/>
                <w:szCs w:val="22"/>
              </w:rPr>
              <w:t>focused entities</w:t>
            </w:r>
          </w:p>
        </w:tc>
        <w:tc>
          <w:tcPr>
            <w:tcW w:w="2790" w:type="dxa"/>
            <w:vAlign w:val="center"/>
          </w:tcPr>
          <w:p w14:paraId="6DECE5FC" w14:textId="4E4072CA" w:rsidR="00EC219E" w:rsidRDefault="00EC219E"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sidR="0099308F">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sidR="0099308F">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sidR="0099308F">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343FEA09" w14:textId="77777777" w:rsidR="00EC219E" w:rsidRDefault="00EC219E" w:rsidP="005F63A9">
            <w:pPr>
              <w:spacing w:before="60" w:after="60"/>
              <w:rPr>
                <w:rFonts w:ascii="Calibri" w:eastAsia="Times New Roman" w:hAnsi="Calibri" w:cs="Times New Roman"/>
                <w:color w:val="000000"/>
                <w:sz w:val="20"/>
                <w:szCs w:val="22"/>
              </w:rPr>
            </w:pPr>
          </w:p>
          <w:p w14:paraId="074124F5" w14:textId="6D2CEDB2" w:rsidR="00464BFA" w:rsidRDefault="00464BFA"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00EC219E"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00EC219E"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00EC219E"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5DAF2B22" w14:textId="7B6F57C1" w:rsidR="00EC219E" w:rsidRPr="00EC219E" w:rsidRDefault="00464BFA"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00EC219E"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00EC219E"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241698E9" w14:textId="77777777" w:rsidR="00EC219E" w:rsidRPr="00EC219E" w:rsidRDefault="00EC219E" w:rsidP="00EC219E">
            <w:pPr>
              <w:spacing w:before="60" w:after="60"/>
              <w:rPr>
                <w:rFonts w:ascii="Calibri" w:eastAsia="Times New Roman" w:hAnsi="Calibri" w:cs="Times New Roman"/>
                <w:color w:val="000000"/>
                <w:sz w:val="20"/>
                <w:szCs w:val="22"/>
              </w:rPr>
            </w:pPr>
          </w:p>
          <w:p w14:paraId="3DC80118" w14:textId="31775CD2" w:rsidR="00EC219E" w:rsidRDefault="00EC219E"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sidR="00464BFA">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sidR="00464BFA">
              <w:rPr>
                <w:rFonts w:ascii="Calibri" w:eastAsia="Times New Roman" w:hAnsi="Calibri" w:cs="Times New Roman"/>
                <w:color w:val="000000"/>
                <w:sz w:val="20"/>
                <w:szCs w:val="22"/>
              </w:rPr>
              <w:t>this survey/study.</w:t>
            </w:r>
          </w:p>
        </w:tc>
        <w:tc>
          <w:tcPr>
            <w:tcW w:w="1530" w:type="dxa"/>
            <w:shd w:val="clear" w:color="auto" w:fill="auto"/>
            <w:vAlign w:val="center"/>
          </w:tcPr>
          <w:p w14:paraId="3CDEC7C4" w14:textId="19808973" w:rsidR="00EC219E" w:rsidDel="00EC219E" w:rsidRDefault="00EC219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0F60A7" w:rsidRPr="00AD5C36" w14:paraId="462444FE" w14:textId="77777777" w:rsidTr="000F60A7">
        <w:trPr>
          <w:trHeight w:val="690"/>
        </w:trPr>
        <w:tc>
          <w:tcPr>
            <w:tcW w:w="3785" w:type="dxa"/>
            <w:shd w:val="clear" w:color="auto" w:fill="auto"/>
            <w:noWrap/>
            <w:vAlign w:val="center"/>
            <w:hideMark/>
          </w:tcPr>
          <w:p w14:paraId="1172C162" w14:textId="71F4C0AC"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[1.12] </w:t>
            </w:r>
            <w:r w:rsidR="000F60A7">
              <w:rPr>
                <w:rFonts w:ascii="Calibri" w:eastAsia="Times New Roman" w:hAnsi="Calibri" w:cs="Times New Roman"/>
                <w:color w:val="000000"/>
                <w:sz w:val="20"/>
                <w:szCs w:val="22"/>
              </w:rPr>
              <w:t>Decisions against Registry Operator arising from R</w:t>
            </w:r>
            <w:r w:rsidR="000F60A7" w:rsidRPr="00AD5C36">
              <w:rPr>
                <w:rFonts w:ascii="Calibri" w:eastAsia="Times New Roman" w:hAnsi="Calibri" w:cs="Times New Roman"/>
                <w:color w:val="000000"/>
                <w:sz w:val="20"/>
                <w:szCs w:val="22"/>
              </w:rPr>
              <w:t xml:space="preserve">egistry </w:t>
            </w:r>
            <w:r w:rsidR="000F60A7">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0F60A7" w:rsidRPr="00AD5C36" w:rsidRDefault="004746F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w:t>
            </w:r>
            <w:r w:rsidR="000F60A7">
              <w:rPr>
                <w:rFonts w:ascii="Calibri" w:eastAsia="Times New Roman" w:hAnsi="Calibri" w:cs="Times New Roman"/>
                <w:color w:val="000000"/>
                <w:sz w:val="20"/>
                <w:szCs w:val="22"/>
              </w:rPr>
              <w:t xml:space="preserve"> adverse decisions</w:t>
            </w:r>
          </w:p>
        </w:tc>
      </w:tr>
      <w:tr w:rsidR="000F60A7" w:rsidRPr="00AD5C36" w14:paraId="1A7EF119" w14:textId="77777777" w:rsidTr="000F60A7">
        <w:trPr>
          <w:trHeight w:val="690"/>
        </w:trPr>
        <w:tc>
          <w:tcPr>
            <w:tcW w:w="3785" w:type="dxa"/>
            <w:shd w:val="clear" w:color="auto" w:fill="auto"/>
            <w:noWrap/>
            <w:vAlign w:val="center"/>
            <w:hideMark/>
          </w:tcPr>
          <w:p w14:paraId="730C11D7" w14:textId="24FEDA83"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of </w:t>
            </w:r>
            <w:r w:rsidR="000F60A7" w:rsidRPr="00AD5C36">
              <w:rPr>
                <w:rFonts w:ascii="Calibri" w:eastAsia="Times New Roman" w:hAnsi="Calibri" w:cs="Times New Roman"/>
                <w:color w:val="000000"/>
                <w:sz w:val="20"/>
                <w:szCs w:val="22"/>
              </w:rPr>
              <w:t>Compliance Concerns w</w:t>
            </w:r>
            <w:r w:rsidR="000F60A7">
              <w:rPr>
                <w:rFonts w:ascii="Calibri" w:eastAsia="Times New Roman" w:hAnsi="Calibri" w:cs="Times New Roman"/>
                <w:color w:val="000000"/>
                <w:sz w:val="20"/>
                <w:szCs w:val="22"/>
              </w:rPr>
              <w:t>/r/t</w:t>
            </w:r>
            <w:r w:rsidR="000F60A7" w:rsidRPr="00AD5C36">
              <w:rPr>
                <w:rFonts w:ascii="Calibri" w:eastAsia="Times New Roman" w:hAnsi="Calibri" w:cs="Times New Roman"/>
                <w:color w:val="000000"/>
                <w:sz w:val="20"/>
                <w:szCs w:val="22"/>
              </w:rPr>
              <w:t xml:space="preserve"> Applicable National Law</w:t>
            </w:r>
            <w:r w:rsidR="000F60A7">
              <w:rPr>
                <w:rFonts w:ascii="Calibri" w:eastAsia="Times New Roman" w:hAnsi="Calibri" w:cs="Times New Roman"/>
                <w:color w:val="000000"/>
                <w:sz w:val="20"/>
                <w:szCs w:val="22"/>
              </w:rPr>
              <w:t>s</w:t>
            </w:r>
            <w:r w:rsidR="00510161" w:rsidRPr="00510161">
              <w:rPr>
                <w:rFonts w:ascii="Calibri" w:eastAsia="Times New Roman" w:hAnsi="Calibri" w:cs="Times New Roman"/>
                <w:color w:val="000000"/>
                <w:sz w:val="20"/>
                <w:szCs w:val="22"/>
              </w:rPr>
              <w:t>, including reported data security breaches</w:t>
            </w:r>
            <w:r w:rsidR="000F60A7"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05097E5E"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and relative incidence of </w:t>
            </w:r>
            <w:r w:rsidR="000F60A7" w:rsidRPr="00AD5C36">
              <w:rPr>
                <w:rFonts w:ascii="Calibri" w:eastAsia="Times New Roman" w:hAnsi="Calibri" w:cs="Times New Roman"/>
                <w:color w:val="000000"/>
                <w:sz w:val="20"/>
                <w:szCs w:val="22"/>
              </w:rPr>
              <w:t>Domain Takedowns</w:t>
            </w:r>
            <w:r w:rsidR="00B808D9">
              <w:rPr>
                <w:rFonts w:ascii="Calibri" w:eastAsia="Times New Roman" w:hAnsi="Calibri" w:cs="Times New Roman"/>
                <w:color w:val="000000"/>
                <w:sz w:val="20"/>
                <w:szCs w:val="22"/>
              </w:rPr>
              <w:t xml:space="preserve">, including takedowns required by law enforcement </w:t>
            </w:r>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0F60A7" w:rsidRPr="009F24F1" w14:paraId="3D63FF0D" w14:textId="77777777" w:rsidTr="000F60A7">
        <w:trPr>
          <w:trHeight w:val="690"/>
        </w:trPr>
        <w:tc>
          <w:tcPr>
            <w:tcW w:w="3785" w:type="dxa"/>
            <w:shd w:val="clear" w:color="auto" w:fill="auto"/>
            <w:noWrap/>
            <w:vAlign w:val="center"/>
            <w:hideMark/>
          </w:tcPr>
          <w:p w14:paraId="0D528FCC" w14:textId="0A699D4E" w:rsidR="000F60A7" w:rsidRPr="009F24F1" w:rsidRDefault="00F7726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000F60A7" w:rsidRPr="009F24F1">
              <w:rPr>
                <w:rFonts w:ascii="Calibri" w:eastAsia="Times New Roman" w:hAnsi="Calibri" w:cs="Times New Roman"/>
                <w:color w:val="000000"/>
                <w:sz w:val="20"/>
                <w:szCs w:val="22"/>
              </w:rPr>
              <w:t xml:space="preserve">Quantity </w:t>
            </w:r>
            <w:r w:rsidR="00AA3DC4">
              <w:rPr>
                <w:rFonts w:ascii="Calibri" w:eastAsia="Times New Roman" w:hAnsi="Calibri" w:cs="Times New Roman"/>
                <w:color w:val="000000"/>
                <w:sz w:val="20"/>
                <w:szCs w:val="22"/>
              </w:rPr>
              <w:t xml:space="preserve">and relative incidence </w:t>
            </w:r>
            <w:r w:rsidR="000F60A7" w:rsidRPr="009F24F1">
              <w:rPr>
                <w:rFonts w:ascii="Calibri" w:eastAsia="Times New Roman" w:hAnsi="Calibri" w:cs="Times New Roman"/>
                <w:color w:val="000000"/>
                <w:sz w:val="20"/>
                <w:szCs w:val="22"/>
              </w:rPr>
              <w:t>of spam</w:t>
            </w:r>
            <w:r w:rsidR="00AA3DC4">
              <w:rPr>
                <w:rFonts w:ascii="Calibri" w:eastAsia="Times New Roman" w:hAnsi="Calibri" w:cs="Times New Roman"/>
                <w:color w:val="000000"/>
                <w:sz w:val="20"/>
                <w:szCs w:val="22"/>
              </w:rPr>
              <w:t xml:space="preserve"> from domains in new gTLDs,</w:t>
            </w:r>
            <w:r w:rsidR="000F60A7" w:rsidRPr="009F24F1">
              <w:rPr>
                <w:rFonts w:ascii="Calibri" w:eastAsia="Times New Roman" w:hAnsi="Calibri" w:cs="Times New Roman"/>
                <w:color w:val="000000"/>
                <w:sz w:val="20"/>
                <w:szCs w:val="22"/>
              </w:rPr>
              <w:t xml:space="preserve"> </w:t>
            </w:r>
            <w:r w:rsidR="00AA3DC4">
              <w:rPr>
                <w:rFonts w:ascii="Calibri" w:eastAsia="Times New Roman" w:hAnsi="Calibri" w:cs="Times New Roman"/>
                <w:color w:val="000000"/>
                <w:sz w:val="20"/>
                <w:szCs w:val="22"/>
              </w:rPr>
              <w:t xml:space="preserve">which could be measured via </w:t>
            </w:r>
            <w:r w:rsidR="000F60A7" w:rsidRPr="009F24F1">
              <w:rPr>
                <w:rFonts w:ascii="Calibri" w:eastAsia="Times New Roman" w:hAnsi="Calibri" w:cs="Times New Roman"/>
                <w:color w:val="000000"/>
                <w:sz w:val="20"/>
                <w:szCs w:val="22"/>
              </w:rPr>
              <w:t xml:space="preserve"> "honeypot" email address</w:t>
            </w:r>
            <w:r w:rsidR="00AA3DC4">
              <w:rPr>
                <w:rFonts w:ascii="Calibri" w:eastAsia="Times New Roman" w:hAnsi="Calibri" w:cs="Times New Roman"/>
                <w:color w:val="000000"/>
                <w:sz w:val="20"/>
                <w:szCs w:val="22"/>
              </w:rPr>
              <w:t>es</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0F60A7" w:rsidRPr="009F24F1"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0F60A7" w:rsidRPr="00AD5C36" w14:paraId="57EAE611" w14:textId="77777777" w:rsidTr="000F60A7">
        <w:trPr>
          <w:trHeight w:val="690"/>
        </w:trPr>
        <w:tc>
          <w:tcPr>
            <w:tcW w:w="3785" w:type="dxa"/>
            <w:shd w:val="clear" w:color="auto" w:fill="auto"/>
            <w:noWrap/>
            <w:vAlign w:val="center"/>
            <w:hideMark/>
          </w:tcPr>
          <w:p w14:paraId="403C6EF6" w14:textId="35E34EEC"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w:t>
            </w:r>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fraudulent transactions caused by phishing sites</w:t>
            </w:r>
            <w:r w:rsidR="000F60A7">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0F60A7" w:rsidRPr="00AD5C36" w14:paraId="08B918A1" w14:textId="77777777" w:rsidTr="000F60A7">
        <w:trPr>
          <w:trHeight w:val="690"/>
        </w:trPr>
        <w:tc>
          <w:tcPr>
            <w:tcW w:w="3785" w:type="dxa"/>
            <w:shd w:val="clear" w:color="auto" w:fill="auto"/>
            <w:noWrap/>
            <w:vAlign w:val="center"/>
            <w:hideMark/>
          </w:tcPr>
          <w:p w14:paraId="6988EC12" w14:textId="75ED716D"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[1.17] </w:t>
            </w:r>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detected phishing sites using new gTLD</w:t>
            </w:r>
            <w:r w:rsidR="000F60A7">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3560B6" w:rsidRPr="00AD5C36" w14:paraId="7D301FA5" w14:textId="77777777" w:rsidTr="000F60A7">
        <w:trPr>
          <w:trHeight w:val="690"/>
        </w:trPr>
        <w:tc>
          <w:tcPr>
            <w:tcW w:w="3785" w:type="dxa"/>
            <w:shd w:val="clear" w:color="auto" w:fill="auto"/>
            <w:noWrap/>
            <w:vAlign w:val="center"/>
          </w:tcPr>
          <w:p w14:paraId="673493C4" w14:textId="38DC6214" w:rsidR="003560B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00C77F53" w:rsidRPr="00C77F53">
              <w:rPr>
                <w:rFonts w:ascii="Calibri" w:eastAsia="Times New Roman" w:hAnsi="Calibri" w:cs="Times New Roman"/>
                <w:color w:val="000000"/>
                <w:sz w:val="20"/>
                <w:szCs w:val="22"/>
              </w:rPr>
              <w:t>Q</w:t>
            </w:r>
            <w:r w:rsidR="00C77F53">
              <w:rPr>
                <w:rFonts w:ascii="Calibri" w:eastAsia="Times New Roman" w:hAnsi="Calibri" w:cs="Times New Roman"/>
                <w:color w:val="000000"/>
                <w:sz w:val="20"/>
                <w:szCs w:val="22"/>
              </w:rPr>
              <w:t>uan</w:t>
            </w:r>
            <w:r w:rsidR="00C77F53" w:rsidRPr="00C77F53">
              <w:rPr>
                <w:rFonts w:ascii="Calibri" w:eastAsia="Times New Roman" w:hAnsi="Calibri" w:cs="Times New Roman"/>
                <w:color w:val="000000"/>
                <w:sz w:val="20"/>
                <w:szCs w:val="22"/>
              </w:rPr>
              <w:t>t</w:t>
            </w:r>
            <w:r w:rsidR="00C77F53">
              <w:rPr>
                <w:rFonts w:ascii="Calibri" w:eastAsia="Times New Roman" w:hAnsi="Calibri" w:cs="Times New Roman"/>
                <w:color w:val="000000"/>
                <w:sz w:val="20"/>
                <w:szCs w:val="22"/>
              </w:rPr>
              <w:t>it</w:t>
            </w:r>
            <w:r w:rsidR="00C77F53" w:rsidRPr="00C77F53">
              <w:rPr>
                <w:rFonts w:ascii="Calibri" w:eastAsia="Times New Roman" w:hAnsi="Calibri" w:cs="Times New Roman"/>
                <w:color w:val="000000"/>
                <w:sz w:val="20"/>
                <w:szCs w:val="22"/>
              </w:rPr>
              <w:t xml:space="preserve">y and relative incidence of detected botnets and malware </w:t>
            </w:r>
            <w:r w:rsidR="00B808D9">
              <w:rPr>
                <w:rFonts w:ascii="Calibri" w:eastAsia="Times New Roman" w:hAnsi="Calibri" w:cs="Times New Roman"/>
                <w:color w:val="000000"/>
                <w:sz w:val="20"/>
                <w:szCs w:val="22"/>
              </w:rPr>
              <w:t xml:space="preserve">distributed </w:t>
            </w:r>
            <w:r w:rsidR="00C77F53" w:rsidRPr="00C77F53">
              <w:rPr>
                <w:rFonts w:ascii="Calibri" w:eastAsia="Times New Roman" w:hAnsi="Calibri" w:cs="Times New Roman"/>
                <w:color w:val="000000"/>
                <w:sz w:val="20"/>
                <w:szCs w:val="22"/>
              </w:rPr>
              <w:t>using new gTLDs</w:t>
            </w:r>
          </w:p>
        </w:tc>
        <w:tc>
          <w:tcPr>
            <w:tcW w:w="1080" w:type="dxa"/>
            <w:shd w:val="clear" w:color="auto" w:fill="auto"/>
            <w:noWrap/>
            <w:vAlign w:val="center"/>
          </w:tcPr>
          <w:p w14:paraId="6715BC10" w14:textId="2D81602F" w:rsidR="003560B6"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7DCA74D" w14:textId="5753AE6F" w:rsidR="003560B6" w:rsidRDefault="00C77F5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770B079E" w14:textId="6416E757" w:rsidR="003560B6"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7F53" w:rsidRPr="00AD5C36" w14:paraId="37D9EEAA" w14:textId="77777777" w:rsidTr="000F60A7">
        <w:trPr>
          <w:trHeight w:val="690"/>
        </w:trPr>
        <w:tc>
          <w:tcPr>
            <w:tcW w:w="3785" w:type="dxa"/>
            <w:shd w:val="clear" w:color="auto" w:fill="auto"/>
            <w:noWrap/>
            <w:vAlign w:val="center"/>
          </w:tcPr>
          <w:p w14:paraId="5994404D" w14:textId="5EDE02B8" w:rsidR="00C77F53"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00C77F53" w:rsidRPr="00C77F53">
              <w:rPr>
                <w:rFonts w:ascii="Calibri" w:eastAsia="Times New Roman" w:hAnsi="Calibri" w:cs="Times New Roman"/>
                <w:color w:val="000000"/>
                <w:sz w:val="20"/>
                <w:szCs w:val="22"/>
              </w:rPr>
              <w:t xml:space="preserve">Quantity and relative incidence of sites found to be dealing </w:t>
            </w:r>
            <w:r w:rsidR="00CD4646">
              <w:rPr>
                <w:rFonts w:ascii="Calibri" w:eastAsia="Times New Roman" w:hAnsi="Calibri" w:cs="Times New Roman"/>
                <w:color w:val="000000"/>
                <w:sz w:val="20"/>
                <w:szCs w:val="22"/>
              </w:rPr>
              <w:t xml:space="preserve">in </w:t>
            </w:r>
            <w:r w:rsidR="00C77F53" w:rsidRPr="00C77F53">
              <w:rPr>
                <w:rFonts w:ascii="Calibri" w:eastAsia="Times New Roman" w:hAnsi="Calibri" w:cs="Times New Roman"/>
                <w:color w:val="000000"/>
                <w:sz w:val="20"/>
                <w:szCs w:val="22"/>
              </w:rPr>
              <w:t>or distributing identities and account information used in identity fraud</w:t>
            </w:r>
          </w:p>
        </w:tc>
        <w:tc>
          <w:tcPr>
            <w:tcW w:w="1080" w:type="dxa"/>
            <w:shd w:val="clear" w:color="auto" w:fill="auto"/>
            <w:noWrap/>
            <w:vAlign w:val="center"/>
          </w:tcPr>
          <w:p w14:paraId="2773A3D0" w14:textId="7DF9CD8A" w:rsidR="00C77F53"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14:paraId="1A60343D" w14:textId="5B60A7A7" w:rsidR="00C77F53" w:rsidRDefault="00C77F5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14:paraId="77C0BB2F" w14:textId="465C3B6D" w:rsidR="00C77F53"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0F60A7" w:rsidRPr="00AD5C36" w14:paraId="2A2BF84D" w14:textId="77777777" w:rsidTr="000F60A7">
        <w:trPr>
          <w:trHeight w:val="690"/>
        </w:trPr>
        <w:tc>
          <w:tcPr>
            <w:tcW w:w="3785" w:type="dxa"/>
            <w:shd w:val="clear" w:color="auto" w:fill="auto"/>
            <w:noWrap/>
            <w:vAlign w:val="center"/>
            <w:hideMark/>
          </w:tcPr>
          <w:p w14:paraId="3FF28C44" w14:textId="37186038"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w:t>
            </w:r>
            <w:r w:rsidR="000F60A7">
              <w:rPr>
                <w:rFonts w:ascii="Calibri" w:eastAsia="Times New Roman" w:hAnsi="Calibri" w:cs="Times New Roman"/>
                <w:color w:val="000000"/>
                <w:sz w:val="20"/>
                <w:szCs w:val="22"/>
              </w:rPr>
              <w:t>Quantity and relative incidence of complaints regarding i</w:t>
            </w:r>
            <w:r w:rsidR="000F60A7"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0F60A7" w:rsidRPr="00AD5C36" w14:paraId="44613865" w14:textId="77777777" w:rsidTr="000F60A7">
        <w:trPr>
          <w:trHeight w:val="690"/>
        </w:trPr>
        <w:tc>
          <w:tcPr>
            <w:tcW w:w="3785" w:type="dxa"/>
            <w:shd w:val="clear" w:color="auto" w:fill="auto"/>
            <w:noWrap/>
            <w:vAlign w:val="center"/>
            <w:hideMark/>
          </w:tcPr>
          <w:p w14:paraId="73E163FB" w14:textId="794DAAE4"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[1.21] </w:t>
            </w:r>
            <w:r w:rsidR="000F60A7">
              <w:rPr>
                <w:rFonts w:ascii="Calibri" w:eastAsia="Times New Roman" w:hAnsi="Calibri" w:cs="Times New Roman"/>
                <w:color w:val="000000"/>
                <w:sz w:val="20"/>
                <w:szCs w:val="22"/>
              </w:rPr>
              <w:t>Relative incidence of errors in</w:t>
            </w:r>
            <w:r w:rsidR="000F60A7"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000F60A7" w:rsidRPr="009F24F1">
              <w:rPr>
                <w:rFonts w:ascii="Calibri" w:eastAsia="Times New Roman" w:hAnsi="Calibri" w:cs="Times New Roman"/>
                <w:color w:val="000000"/>
                <w:sz w:val="20"/>
                <w:szCs w:val="22"/>
              </w:rPr>
              <w:t xml:space="preserve"> IP addresses, malformed domains, etc.</w:t>
            </w:r>
            <w:r w:rsidR="000F60A7">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0F60A7"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Lower than incidence in legacy gTLDs</w:t>
            </w:r>
          </w:p>
        </w:tc>
      </w:tr>
      <w:tr w:rsidR="00CE5ECD" w:rsidRPr="00AD5C36" w14:paraId="6C2E69E8" w14:textId="77777777" w:rsidTr="000F60A7">
        <w:trPr>
          <w:trHeight w:val="690"/>
        </w:trPr>
        <w:tc>
          <w:tcPr>
            <w:tcW w:w="3785" w:type="dxa"/>
            <w:shd w:val="clear" w:color="auto" w:fill="auto"/>
            <w:noWrap/>
            <w:vAlign w:val="center"/>
          </w:tcPr>
          <w:p w14:paraId="0EC9C5C9" w14:textId="64A7CDBE" w:rsidR="00CE5ECD" w:rsidRDefault="00F77260"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[1.22] </w:t>
            </w:r>
            <w:r w:rsidR="00CE5ECD">
              <w:rPr>
                <w:rFonts w:ascii="Calibri" w:eastAsia="Times New Roman" w:hAnsi="Calibri" w:cs="Times New Roman"/>
                <w:color w:val="000000"/>
                <w:sz w:val="20"/>
                <w:szCs w:val="22"/>
              </w:rPr>
              <w:t xml:space="preserve">Qualitative </w:t>
            </w:r>
            <w:r w:rsidR="00FF675B">
              <w:rPr>
                <w:rFonts w:ascii="Calibri" w:eastAsia="Times New Roman" w:hAnsi="Calibri" w:cs="Times New Roman"/>
                <w:color w:val="000000"/>
                <w:sz w:val="20"/>
                <w:szCs w:val="22"/>
              </w:rPr>
              <w:t xml:space="preserve">comparison of mission and purpose set forth in the </w:t>
            </w:r>
            <w:r w:rsidR="00F42DAF">
              <w:rPr>
                <w:rFonts w:ascii="Calibri" w:eastAsia="Times New Roman" w:hAnsi="Calibri" w:cs="Times New Roman"/>
                <w:color w:val="000000"/>
                <w:sz w:val="20"/>
                <w:szCs w:val="22"/>
              </w:rPr>
              <w:t>Question 18 of the new gTLD A</w:t>
            </w:r>
            <w:r w:rsidR="00FF675B">
              <w:rPr>
                <w:rFonts w:ascii="Calibri" w:eastAsia="Times New Roman" w:hAnsi="Calibri" w:cs="Times New Roman"/>
                <w:color w:val="000000"/>
                <w:sz w:val="20"/>
                <w:szCs w:val="22"/>
              </w:rPr>
              <w:t>pplication</w:t>
            </w:r>
            <w:r w:rsidR="00F440DB">
              <w:rPr>
                <w:rFonts w:ascii="Calibri" w:eastAsia="Times New Roman" w:hAnsi="Calibri" w:cs="Times New Roman"/>
                <w:color w:val="000000"/>
                <w:sz w:val="20"/>
                <w:szCs w:val="22"/>
              </w:rPr>
              <w:t xml:space="preserve"> with </w:t>
            </w:r>
            <w:r w:rsidR="00FF675B">
              <w:rPr>
                <w:rFonts w:ascii="Calibri" w:eastAsia="Times New Roman" w:hAnsi="Calibri" w:cs="Times New Roman"/>
                <w:color w:val="000000"/>
                <w:sz w:val="20"/>
                <w:szCs w:val="22"/>
              </w:rPr>
              <w:t>current actual use of the gTLD</w:t>
            </w:r>
          </w:p>
        </w:tc>
        <w:tc>
          <w:tcPr>
            <w:tcW w:w="1080" w:type="dxa"/>
            <w:shd w:val="clear" w:color="auto" w:fill="auto"/>
            <w:noWrap/>
            <w:vAlign w:val="center"/>
          </w:tcPr>
          <w:p w14:paraId="6DB55974" w14:textId="5AB46334" w:rsidR="00CE5ECD" w:rsidRDefault="00CE5EC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135A223" w14:textId="554EB3DB" w:rsidR="00CE5ECD" w:rsidRDefault="00CE5ECD"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19A013D" w14:textId="2A07647C" w:rsidR="00CE5ECD" w:rsidRDefault="00F440DB"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E2451C9"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counterparty to the Registry and Registrar contracts.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D976EF" w:rsidRDefault="0033140F" w:rsidP="00553269">
      <w:pPr>
        <w:widowControl w:val="0"/>
        <w:autoSpaceDE w:val="0"/>
        <w:autoSpaceDN w:val="0"/>
        <w:adjustRightInd w:val="0"/>
        <w:ind w:left="720"/>
        <w:rPr>
          <w:rFonts w:ascii="Calibri" w:hAnsi="Calibri"/>
          <w:b/>
          <w:sz w:val="16"/>
        </w:rPr>
      </w:pPr>
    </w:p>
    <w:p w14:paraId="0297D2B7" w14:textId="10C46253"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D976EF">
        <w:trPr>
          <w:trHeight w:val="690"/>
        </w:trPr>
        <w:tc>
          <w:tcPr>
            <w:tcW w:w="9185" w:type="dxa"/>
            <w:gridSpan w:val="4"/>
            <w:shd w:val="clear" w:color="auto" w:fill="D9D9D9" w:themeFill="background1" w:themeFillShade="D9"/>
            <w:noWrap/>
          </w:tcPr>
          <w:p w14:paraId="1BC498AB" w14:textId="49F65054" w:rsidR="00D61D65" w:rsidRPr="00D61D65" w:rsidRDefault="00D61D65" w:rsidP="00D61D65">
            <w:pPr>
              <w:spacing w:before="60" w:after="60"/>
              <w:rPr>
                <w:rFonts w:ascii="Calibri" w:eastAsia="Times New Roman" w:hAnsi="Calibri" w:cs="Times New Roman"/>
                <w:i/>
                <w:color w:val="000000"/>
                <w:sz w:val="20"/>
                <w:szCs w:val="22"/>
              </w:rPr>
            </w:pPr>
            <w:r w:rsidRPr="00D61D65">
              <w:rPr>
                <w:rFonts w:ascii="Calibri" w:eastAsia="Times New Roman" w:hAnsi="Calibri" w:cs="Times New Roman"/>
                <w:i/>
                <w:color w:val="000000"/>
                <w:sz w:val="20"/>
                <w:szCs w:val="22"/>
              </w:rPr>
              <w:t>Transparency</w:t>
            </w:r>
            <w:r>
              <w:rPr>
                <w:rFonts w:ascii="Calibri" w:eastAsia="Times New Roman" w:hAnsi="Calibri" w:cs="Times New Roman"/>
                <w:i/>
                <w:color w:val="000000"/>
                <w:sz w:val="20"/>
                <w:szCs w:val="22"/>
              </w:rPr>
              <w:t xml:space="preserve"> and clarity</w:t>
            </w:r>
            <w:r w:rsidRPr="00D61D65">
              <w:rPr>
                <w:rFonts w:ascii="Calibri" w:eastAsia="Times New Roman" w:hAnsi="Calibri" w:cs="Times New Roman"/>
                <w:i/>
                <w:color w:val="000000"/>
                <w:sz w:val="20"/>
                <w:szCs w:val="22"/>
              </w:rPr>
              <w:t xml:space="preserve">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352A3296" w:rsidR="00D61D65" w:rsidRPr="00AD5C36"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58FCCB57"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6"/>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05387CB6" w:rsidR="005F63A9" w:rsidRPr="00AD5C36" w:rsidRDefault="00F17C05" w:rsidP="00D61D6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[2.2] </w:t>
            </w:r>
            <w:r w:rsidR="00D61D65">
              <w:rPr>
                <w:rFonts w:ascii="Calibri" w:eastAsia="Times New Roman" w:hAnsi="Calibri" w:cs="Times New Roman"/>
                <w:color w:val="000000"/>
                <w:sz w:val="20"/>
                <w:szCs w:val="22"/>
              </w:rPr>
              <w:t>Registrars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7511A37E" w:rsidR="00D61D65" w:rsidRPr="00AD5C36"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[2.3]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clear and understandable to registrants and users.</w:t>
            </w:r>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trPr>
        <w:tc>
          <w:tcPr>
            <w:tcW w:w="3785" w:type="dxa"/>
            <w:shd w:val="clear" w:color="auto" w:fill="auto"/>
            <w:noWrap/>
            <w:vAlign w:val="center"/>
          </w:tcPr>
          <w:p w14:paraId="792A226C" w14:textId="4620D351"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[2.4] </w:t>
            </w:r>
            <w:r w:rsidR="00C122CE">
              <w:rPr>
                <w:rFonts w:ascii="Calibri" w:eastAsia="Times New Roman" w:hAnsi="Calibri" w:cs="Times New Roman"/>
                <w:color w:val="000000"/>
                <w:sz w:val="20"/>
                <w:szCs w:val="22"/>
              </w:rPr>
              <w:t>Annual 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14:paraId="19AD1C95" w14:textId="594B9327"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14:paraId="212E4BA9" w14:textId="4BDC3680"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1CE5012" w14:textId="5A23BC11"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08194978" w14:textId="27F2C3C6"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4D24477A" w14:textId="5CFB4E1A"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97099" w:rsidRPr="009008FA" w14:paraId="118C38C3" w14:textId="77777777" w:rsidTr="00D976EF">
        <w:trPr>
          <w:trHeight w:val="690"/>
        </w:trPr>
        <w:tc>
          <w:tcPr>
            <w:tcW w:w="9185" w:type="dxa"/>
            <w:gridSpan w:val="4"/>
            <w:shd w:val="clear" w:color="auto" w:fill="D9D9D9" w:themeFill="background1" w:themeFillShade="D9"/>
            <w:noWrap/>
          </w:tcPr>
          <w:p w14:paraId="287AFEC3" w14:textId="4B67D62A" w:rsidR="00C97099" w:rsidRPr="009008FA" w:rsidRDefault="00C97099" w:rsidP="009008FA">
            <w:pPr>
              <w:spacing w:before="60" w:after="60"/>
              <w:rPr>
                <w:rFonts w:ascii="Calibri" w:eastAsia="Times New Roman" w:hAnsi="Calibri" w:cs="Times New Roman"/>
                <w:i/>
                <w:color w:val="000000"/>
                <w:sz w:val="20"/>
                <w:szCs w:val="22"/>
              </w:rPr>
            </w:pPr>
            <w:r w:rsidRPr="009008FA">
              <w:rPr>
                <w:rFonts w:ascii="Calibri" w:eastAsia="Times New Roman" w:hAnsi="Calibri" w:cs="Times New Roman"/>
                <w:i/>
                <w:color w:val="000000"/>
                <w:sz w:val="20"/>
                <w:szCs w:val="22"/>
              </w:rPr>
              <w:t>Range of options available to registrants and users</w:t>
            </w:r>
            <w:r>
              <w:rPr>
                <w:rFonts w:ascii="Calibri" w:eastAsia="Times New Roman" w:hAnsi="Calibri" w:cs="Times New Roman"/>
                <w:i/>
                <w:color w:val="000000"/>
                <w:sz w:val="20"/>
                <w:szCs w:val="22"/>
              </w:rPr>
              <w:t xml:space="preserve"> in terms of scripts and applicable national laws</w:t>
            </w:r>
          </w:p>
        </w:tc>
      </w:tr>
      <w:tr w:rsidR="00C97099" w:rsidRPr="00AD5C36" w14:paraId="050D26DF" w14:textId="77777777" w:rsidTr="00112EE5">
        <w:trPr>
          <w:trHeight w:val="690"/>
        </w:trPr>
        <w:tc>
          <w:tcPr>
            <w:tcW w:w="3785" w:type="dxa"/>
            <w:shd w:val="clear" w:color="auto" w:fill="auto"/>
            <w:noWrap/>
            <w:vAlign w:val="center"/>
          </w:tcPr>
          <w:p w14:paraId="4DC268FC" w14:textId="40B9FF47"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[2.5] </w:t>
            </w:r>
            <w:r w:rsidR="00C97099">
              <w:rPr>
                <w:rFonts w:ascii="Calibri" w:eastAsia="Times New Roman" w:hAnsi="Calibri" w:cs="Times New Roman"/>
                <w:color w:val="000000"/>
                <w:sz w:val="20"/>
                <w:szCs w:val="22"/>
              </w:rPr>
              <w:t>Quantity of TLDs using IDN scripts or languages other than English</w:t>
            </w:r>
          </w:p>
        </w:tc>
        <w:tc>
          <w:tcPr>
            <w:tcW w:w="1080" w:type="dxa"/>
            <w:shd w:val="clear" w:color="auto" w:fill="auto"/>
            <w:noWrap/>
            <w:vAlign w:val="center"/>
          </w:tcPr>
          <w:p w14:paraId="36426E61" w14:textId="77777777"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5090DAAA" w:rsidR="00C97099" w:rsidRPr="00AD5C36" w:rsidRDefault="00D341EB"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 xml:space="preserve">Increase in the number of TLDs in IDN scripts or </w:t>
            </w:r>
            <w:r w:rsidRPr="00D341EB">
              <w:rPr>
                <w:rFonts w:ascii="Calibri" w:eastAsia="Times New Roman" w:hAnsi="Calibri" w:cs="Times New Roman"/>
                <w:color w:val="000000"/>
                <w:sz w:val="20"/>
                <w:szCs w:val="22"/>
              </w:rPr>
              <w:lastRenderedPageBreak/>
              <w:t>languages other than English, relative to 2011</w:t>
            </w:r>
          </w:p>
        </w:tc>
      </w:tr>
      <w:tr w:rsidR="00C97099" w:rsidRPr="00AD5C36" w14:paraId="5145A208" w14:textId="77777777" w:rsidTr="009008FA">
        <w:trPr>
          <w:trHeight w:val="690"/>
        </w:trPr>
        <w:tc>
          <w:tcPr>
            <w:tcW w:w="3785" w:type="dxa"/>
            <w:shd w:val="clear" w:color="auto" w:fill="auto"/>
            <w:noWrap/>
            <w:vAlign w:val="center"/>
          </w:tcPr>
          <w:p w14:paraId="0B6290E0" w14:textId="602192EF"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[2.6] </w:t>
            </w:r>
            <w:r w:rsidR="00C97099">
              <w:rPr>
                <w:rFonts w:ascii="Calibri" w:eastAsia="Times New Roman" w:hAnsi="Calibri" w:cs="Times New Roman"/>
                <w:color w:val="000000"/>
                <w:sz w:val="20"/>
                <w:szCs w:val="22"/>
              </w:rPr>
              <w:t>Quantity of Registrar websites offering IDN scripts or languages other than English</w:t>
            </w:r>
          </w:p>
        </w:tc>
        <w:tc>
          <w:tcPr>
            <w:tcW w:w="1080" w:type="dxa"/>
            <w:shd w:val="clear" w:color="auto" w:fill="auto"/>
            <w:noWrap/>
            <w:vAlign w:val="center"/>
          </w:tcPr>
          <w:p w14:paraId="5F5C942D" w14:textId="58457710"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97099" w:rsidRDefault="00C97099"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7B5F23AE" w:rsidR="00C97099" w:rsidRPr="00AD5C36" w:rsidRDefault="0058423B"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sidR="0004256A">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0F4125" w:rsidRPr="00AD5C36" w14:paraId="095C299C" w14:textId="77777777" w:rsidTr="009008FA">
        <w:trPr>
          <w:trHeight w:val="690"/>
        </w:trPr>
        <w:tc>
          <w:tcPr>
            <w:tcW w:w="3785" w:type="dxa"/>
            <w:shd w:val="clear" w:color="auto" w:fill="auto"/>
            <w:noWrap/>
            <w:vAlign w:val="center"/>
          </w:tcPr>
          <w:p w14:paraId="6EA93EB3" w14:textId="39C6F59D" w:rsidR="000F4125"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[2.7] </w:t>
            </w:r>
            <w:r w:rsidR="000F4125" w:rsidRPr="000F4125">
              <w:rPr>
                <w:rFonts w:ascii="Calibri" w:eastAsia="Times New Roman" w:hAnsi="Calibri" w:cs="Times New Roman"/>
                <w:color w:val="000000"/>
                <w:sz w:val="20"/>
                <w:szCs w:val="22"/>
              </w:rPr>
              <w:t xml:space="preserve">The percentage of IDNs as compared to the total gTLDs in each script or language should be compared to the percentage of people who </w:t>
            </w:r>
            <w:r w:rsidR="00E16751">
              <w:rPr>
                <w:rFonts w:ascii="Calibri" w:eastAsia="Times New Roman" w:hAnsi="Calibri" w:cs="Times New Roman"/>
                <w:color w:val="000000"/>
                <w:sz w:val="20"/>
                <w:szCs w:val="22"/>
              </w:rPr>
              <w:t>use</w:t>
            </w:r>
            <w:r w:rsidR="000F4125" w:rsidRPr="000F4125">
              <w:rPr>
                <w:rFonts w:ascii="Calibri" w:eastAsia="Times New Roman" w:hAnsi="Calibri" w:cs="Times New Roman"/>
                <w:color w:val="000000"/>
                <w:sz w:val="20"/>
                <w:szCs w:val="22"/>
              </w:rPr>
              <w:t xml:space="preserve"> each particular language or script</w:t>
            </w:r>
          </w:p>
        </w:tc>
        <w:tc>
          <w:tcPr>
            <w:tcW w:w="1080" w:type="dxa"/>
            <w:shd w:val="clear" w:color="auto" w:fill="auto"/>
            <w:noWrap/>
            <w:vAlign w:val="center"/>
          </w:tcPr>
          <w:p w14:paraId="6DD75C26" w14:textId="54A63F86" w:rsidR="000F4125" w:rsidRDefault="000F4125"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14:paraId="7AB66855" w14:textId="607CC96B" w:rsidR="000F4125" w:rsidRPr="000F4125" w:rsidRDefault="000F4125"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sidR="00E16751">
              <w:rPr>
                <w:rFonts w:ascii="Calibri" w:eastAsia="Times New Roman" w:hAnsi="Calibri" w:cs="Times New Roman"/>
                <w:color w:val="000000"/>
                <w:sz w:val="20"/>
                <w:szCs w:val="22"/>
              </w:rPr>
              <w:t>sers of each language or script</w:t>
            </w:r>
          </w:p>
          <w:p w14:paraId="79F7190F" w14:textId="5F2DA0C8" w:rsidR="000F4125" w:rsidRDefault="000F4125"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17894D03" w14:textId="58019466" w:rsidR="000F4125" w:rsidRPr="0058423B" w:rsidRDefault="000F4125"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sidR="00E16751">
              <w:rPr>
                <w:rFonts w:ascii="Calibri" w:eastAsia="Times New Roman" w:hAnsi="Calibri" w:cs="Times New Roman"/>
                <w:color w:val="000000"/>
                <w:sz w:val="20"/>
                <w:szCs w:val="22"/>
              </w:rPr>
              <w:t>at uses that script over time</w:t>
            </w:r>
          </w:p>
        </w:tc>
      </w:tr>
      <w:tr w:rsidR="00C97099" w:rsidRPr="00AD5C36" w14:paraId="328FE87F" w14:textId="77777777" w:rsidTr="009008FA">
        <w:trPr>
          <w:trHeight w:val="690"/>
        </w:trPr>
        <w:tc>
          <w:tcPr>
            <w:tcW w:w="3785" w:type="dxa"/>
            <w:shd w:val="clear" w:color="auto" w:fill="auto"/>
            <w:noWrap/>
            <w:vAlign w:val="center"/>
          </w:tcPr>
          <w:p w14:paraId="7765F86D" w14:textId="7C0BFD4A"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[2.8] </w:t>
            </w:r>
            <w:r w:rsidR="00C97099">
              <w:rPr>
                <w:rFonts w:ascii="Calibri" w:eastAsia="Times New Roman" w:hAnsi="Calibri" w:cs="Times New Roman"/>
                <w:color w:val="000000"/>
                <w:sz w:val="20"/>
                <w:szCs w:val="22"/>
              </w:rPr>
              <w:t xml:space="preserve">Quantity of different national legal regimes where new gTLD </w:t>
            </w:r>
            <w:r w:rsidR="0058423B">
              <w:rPr>
                <w:rFonts w:ascii="Calibri" w:eastAsia="Times New Roman" w:hAnsi="Calibri" w:cs="Times New Roman"/>
                <w:color w:val="000000"/>
                <w:sz w:val="20"/>
                <w:szCs w:val="22"/>
              </w:rPr>
              <w:t xml:space="preserve">Registry Operators </w:t>
            </w:r>
            <w:r w:rsidR="00C97099">
              <w:rPr>
                <w:rFonts w:ascii="Calibri" w:eastAsia="Times New Roman" w:hAnsi="Calibri" w:cs="Times New Roman"/>
                <w:color w:val="000000"/>
                <w:sz w:val="20"/>
                <w:szCs w:val="22"/>
              </w:rPr>
              <w:t>are based</w:t>
            </w:r>
          </w:p>
        </w:tc>
        <w:tc>
          <w:tcPr>
            <w:tcW w:w="1080" w:type="dxa"/>
            <w:shd w:val="clear" w:color="auto" w:fill="auto"/>
            <w:noWrap/>
            <w:vAlign w:val="center"/>
          </w:tcPr>
          <w:p w14:paraId="1DF8608A" w14:textId="403DEC4A" w:rsidR="00C97099" w:rsidRPr="00AD5C36" w:rsidRDefault="00C97099"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07D4C486" w:rsidR="00C97099" w:rsidRDefault="00C97099"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14:paraId="753CA4EC" w14:textId="090ED26F" w:rsidR="00C97099" w:rsidRPr="00AD5C36" w:rsidRDefault="00C97099"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3B32A80C" w14:textId="77777777" w:rsidR="00274431" w:rsidRDefault="00274431"/>
    <w:tbl>
      <w:tblPr>
        <w:tblW w:w="9185" w:type="dxa"/>
        <w:tblLayout w:type="fixed"/>
        <w:tblLook w:val="04A0" w:firstRow="1" w:lastRow="0" w:firstColumn="1" w:lastColumn="0" w:noHBand="0" w:noVBand="1"/>
      </w:tblPr>
      <w:tblGrid>
        <w:gridCol w:w="3785"/>
        <w:gridCol w:w="1080"/>
        <w:gridCol w:w="2790"/>
        <w:gridCol w:w="1530"/>
      </w:tblGrid>
      <w:tr w:rsidR="00242C4C" w:rsidRPr="00242C4C" w14:paraId="69758B53" w14:textId="77777777" w:rsidTr="00D976EF">
        <w:trPr>
          <w:trHeight w:val="690"/>
        </w:trPr>
        <w:tc>
          <w:tcPr>
            <w:tcW w:w="9185" w:type="dxa"/>
            <w:gridSpan w:val="4"/>
            <w:shd w:val="clear" w:color="auto" w:fill="D9D9D9" w:themeFill="background1" w:themeFillShade="D9"/>
            <w:noWrap/>
          </w:tcPr>
          <w:p w14:paraId="3EEEC7D8" w14:textId="5EE8CF30" w:rsidR="00242C4C" w:rsidRPr="00242C4C" w:rsidRDefault="00242C4C" w:rsidP="00217937">
            <w:pPr>
              <w:spacing w:before="60" w:after="60"/>
              <w:rPr>
                <w:rFonts w:ascii="Calibri" w:eastAsia="Times New Roman" w:hAnsi="Calibri" w:cs="Times New Roman"/>
                <w:i/>
                <w:color w:val="000000"/>
                <w:sz w:val="20"/>
                <w:szCs w:val="22"/>
              </w:rPr>
            </w:pPr>
            <w:r>
              <w:rPr>
                <w:rFonts w:ascii="Calibri" w:eastAsia="Times New Roman" w:hAnsi="Calibri" w:cs="Times New Roman"/>
                <w:i/>
                <w:color w:val="000000"/>
                <w:sz w:val="20"/>
                <w:szCs w:val="22"/>
              </w:rPr>
              <w:t xml:space="preserve">Measures designed to assess whether prior registrants chose new gTLDs for primarily defensive purposes. </w:t>
            </w:r>
            <w:r w:rsidR="00EC6C80">
              <w:rPr>
                <w:rFonts w:ascii="Calibri" w:eastAsia="Times New Roman" w:hAnsi="Calibri" w:cs="Times New Roman"/>
                <w:i/>
                <w:color w:val="000000"/>
                <w:sz w:val="20"/>
                <w:szCs w:val="22"/>
              </w:rPr>
              <w:t xml:space="preserve"> .  Each</w:t>
            </w:r>
            <w:r w:rsidR="0004256A">
              <w:rPr>
                <w:rFonts w:ascii="Calibri" w:eastAsia="Times New Roman" w:hAnsi="Calibri" w:cs="Times New Roman"/>
                <w:i/>
                <w:color w:val="000000"/>
                <w:sz w:val="20"/>
                <w:szCs w:val="22"/>
              </w:rPr>
              <w:t xml:space="preserve"> measure</w:t>
            </w:r>
            <w:r w:rsidR="00EC6C80">
              <w:rPr>
                <w:rFonts w:ascii="Calibri" w:eastAsia="Times New Roman" w:hAnsi="Calibri" w:cs="Times New Roman"/>
                <w:i/>
                <w:color w:val="000000"/>
                <w:sz w:val="20"/>
                <w:szCs w:val="22"/>
              </w:rPr>
              <w:t xml:space="preserve"> is a potential indicator </w:t>
            </w:r>
            <w:r w:rsidR="0004256A">
              <w:rPr>
                <w:rFonts w:ascii="Calibri" w:eastAsia="Times New Roman" w:hAnsi="Calibri" w:cs="Times New Roman"/>
                <w:i/>
                <w:color w:val="000000"/>
                <w:sz w:val="20"/>
                <w:szCs w:val="22"/>
              </w:rPr>
              <w:t>of</w:t>
            </w:r>
            <w:r w:rsidR="00EC6C80">
              <w:rPr>
                <w:rFonts w:ascii="Calibri" w:eastAsia="Times New Roman" w:hAnsi="Calibri" w:cs="Times New Roman"/>
                <w:i/>
                <w:color w:val="000000"/>
                <w:sz w:val="20"/>
                <w:szCs w:val="22"/>
              </w:rPr>
              <w:t xml:space="preserve"> defensive registration</w:t>
            </w:r>
            <w:r w:rsidR="0004256A">
              <w:rPr>
                <w:rFonts w:ascii="Calibri" w:eastAsia="Times New Roman" w:hAnsi="Calibri" w:cs="Times New Roman"/>
                <w:i/>
                <w:color w:val="000000"/>
                <w:sz w:val="20"/>
                <w:szCs w:val="22"/>
              </w:rPr>
              <w:t>,</w:t>
            </w:r>
            <w:r w:rsidR="00EC6C80">
              <w:rPr>
                <w:rFonts w:ascii="Calibri" w:eastAsia="Times New Roman" w:hAnsi="Calibri" w:cs="Times New Roman"/>
                <w:i/>
                <w:color w:val="000000"/>
                <w:sz w:val="20"/>
                <w:szCs w:val="22"/>
              </w:rPr>
              <w:t xml:space="preserve"> and not </w:t>
            </w:r>
            <w:r w:rsidR="0004256A">
              <w:rPr>
                <w:rFonts w:ascii="Calibri" w:eastAsia="Times New Roman" w:hAnsi="Calibri" w:cs="Times New Roman"/>
                <w:i/>
                <w:color w:val="000000"/>
                <w:sz w:val="20"/>
                <w:szCs w:val="22"/>
              </w:rPr>
              <w:t xml:space="preserve">a </w:t>
            </w:r>
            <w:r w:rsidR="00EC6C80">
              <w:rPr>
                <w:rFonts w:ascii="Calibri" w:eastAsia="Times New Roman" w:hAnsi="Calibri" w:cs="Times New Roman"/>
                <w:i/>
                <w:color w:val="000000"/>
                <w:sz w:val="20"/>
                <w:szCs w:val="22"/>
              </w:rPr>
              <w:t>precise</w:t>
            </w:r>
            <w:r w:rsidR="0004256A">
              <w:rPr>
                <w:rFonts w:ascii="Calibri" w:eastAsia="Times New Roman" w:hAnsi="Calibri" w:cs="Times New Roman"/>
                <w:i/>
                <w:color w:val="000000"/>
                <w:sz w:val="20"/>
                <w:szCs w:val="22"/>
              </w:rPr>
              <w:t xml:space="preserve"> indicator</w:t>
            </w:r>
            <w:r w:rsidR="00EC6C80">
              <w:rPr>
                <w:rFonts w:ascii="Calibri" w:eastAsia="Times New Roman" w:hAnsi="Calibri" w:cs="Times New Roman"/>
                <w:i/>
                <w:color w:val="000000"/>
                <w:sz w:val="20"/>
                <w:szCs w:val="22"/>
              </w:rPr>
              <w:t xml:space="preserve">. </w:t>
            </w:r>
            <w:r w:rsidR="0004256A">
              <w:rPr>
                <w:rFonts w:ascii="Calibri" w:eastAsia="Times New Roman" w:hAnsi="Calibri" w:cs="Times New Roman"/>
                <w:i/>
                <w:color w:val="000000"/>
                <w:sz w:val="20"/>
                <w:szCs w:val="22"/>
              </w:rPr>
              <w:t xml:space="preserve">These measures must be considered jointly, not separately. </w:t>
            </w:r>
            <w:r w:rsidR="00EC6C80">
              <w:rPr>
                <w:rFonts w:ascii="Calibri" w:eastAsia="Times New Roman" w:hAnsi="Calibri" w:cs="Times New Roman"/>
                <w:i/>
                <w:color w:val="000000"/>
                <w:sz w:val="20"/>
                <w:szCs w:val="22"/>
              </w:rPr>
              <w:t xml:space="preserve"> </w:t>
            </w:r>
            <w:r w:rsidR="0004256A">
              <w:rPr>
                <w:rFonts w:ascii="Calibri" w:eastAsia="Times New Roman" w:hAnsi="Calibri" w:cs="Times New Roman"/>
                <w:i/>
                <w:color w:val="000000"/>
                <w:sz w:val="20"/>
                <w:szCs w:val="22"/>
              </w:rPr>
              <w:t>T</w:t>
            </w:r>
            <w:r w:rsidR="00EC6C80">
              <w:rPr>
                <w:rFonts w:ascii="Calibri" w:eastAsia="Times New Roman" w:hAnsi="Calibri" w:cs="Times New Roman"/>
                <w:i/>
                <w:color w:val="000000"/>
                <w:sz w:val="20"/>
                <w:szCs w:val="22"/>
              </w:rPr>
              <w:t xml:space="preserve">argets accommodate </w:t>
            </w:r>
            <w:r w:rsidR="0004256A">
              <w:rPr>
                <w:rFonts w:ascii="Calibri" w:eastAsia="Times New Roman" w:hAnsi="Calibri" w:cs="Times New Roman"/>
                <w:i/>
                <w:color w:val="000000"/>
                <w:sz w:val="20"/>
                <w:szCs w:val="22"/>
              </w:rPr>
              <w:t xml:space="preserve">likely </w:t>
            </w:r>
            <w:r w:rsidR="00EC6C80">
              <w:rPr>
                <w:rFonts w:ascii="Calibri" w:eastAsia="Times New Roman" w:hAnsi="Calibri" w:cs="Times New Roman"/>
                <w:i/>
                <w:color w:val="000000"/>
                <w:sz w:val="20"/>
                <w:szCs w:val="22"/>
              </w:rPr>
              <w:t>over</w:t>
            </w:r>
            <w:r w:rsidR="0004256A">
              <w:rPr>
                <w:rFonts w:ascii="Calibri" w:eastAsia="Times New Roman" w:hAnsi="Calibri" w:cs="Times New Roman"/>
                <w:i/>
                <w:color w:val="000000"/>
                <w:sz w:val="20"/>
                <w:szCs w:val="22"/>
              </w:rPr>
              <w:t>-</w:t>
            </w:r>
            <w:r w:rsidR="00EC6C80">
              <w:rPr>
                <w:rFonts w:ascii="Calibri" w:eastAsia="Times New Roman" w:hAnsi="Calibri" w:cs="Times New Roman"/>
                <w:i/>
                <w:color w:val="000000"/>
                <w:sz w:val="20"/>
                <w:szCs w:val="22"/>
              </w:rPr>
              <w:t>count</w:t>
            </w:r>
            <w:r w:rsidR="00347026">
              <w:rPr>
                <w:rFonts w:ascii="Calibri" w:eastAsia="Times New Roman" w:hAnsi="Calibri" w:cs="Times New Roman"/>
                <w:i/>
                <w:color w:val="000000"/>
                <w:sz w:val="20"/>
                <w:szCs w:val="22"/>
              </w:rPr>
              <w:t>ing of defensive registrations.</w:t>
            </w:r>
          </w:p>
        </w:tc>
      </w:tr>
      <w:tr w:rsidR="00274431" w:rsidRPr="0084344C" w14:paraId="7CBAC7DB" w14:textId="77777777"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516C0B6B" w14:textId="461CC7BC" w:rsidR="00055B38"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[2.9]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D976EF">
              <w:rPr>
                <w:rFonts w:ascii="Calibri" w:hAnsi="Calibri"/>
                <w:b/>
                <w:color w:val="000000"/>
                <w:sz w:val="20"/>
              </w:rPr>
              <w:t>For purposes of this measure</w:t>
            </w:r>
            <w:proofErr w:type="gramStart"/>
            <w:r w:rsidR="007F2E37" w:rsidRPr="00D976EF">
              <w:rPr>
                <w:rFonts w:ascii="Calibri" w:hAnsi="Calibri"/>
                <w:b/>
                <w:color w:val="000000"/>
                <w:sz w:val="20"/>
              </w:rPr>
              <w:t>,  “</w:t>
            </w:r>
            <w:proofErr w:type="gramEnd"/>
            <w:r w:rsidR="007F2E37" w:rsidRPr="00D976EF">
              <w:rPr>
                <w:rFonts w:ascii="Calibri" w:hAnsi="Calibri"/>
                <w:b/>
                <w:color w:val="000000"/>
                <w:sz w:val="20"/>
              </w:rPr>
              <w:t xml:space="preserve">defensive registrations” are </w:t>
            </w:r>
            <w:r w:rsidR="00055B38" w:rsidRPr="00D976EF">
              <w:rPr>
                <w:rFonts w:ascii="Calibri" w:hAnsi="Calibri"/>
                <w:b/>
                <w:color w:val="000000"/>
                <w:sz w:val="20"/>
              </w:rPr>
              <w:t>Sunrise registrations</w:t>
            </w:r>
            <w:r w:rsidR="007F2E37" w:rsidRPr="00D976EF">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F5A7202"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10490718"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3755E5C4" w14:textId="63773B42" w:rsidR="009008FA" w:rsidRPr="0084344C" w:rsidRDefault="00F17C05"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[2.10] </w:t>
            </w:r>
            <w:r w:rsidR="000418B0" w:rsidRPr="000418B0">
              <w:rPr>
                <w:rFonts w:ascii="Calibri" w:eastAsia="Times New Roman" w:hAnsi="Calibri" w:cs="Times New Roman"/>
                <w:color w:val="000000"/>
                <w:sz w:val="20"/>
                <w:szCs w:val="22"/>
              </w:rPr>
              <w:t>Relative share of new gTLD registrations already having the same domain in legacy TLDs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p>
        </w:tc>
        <w:tc>
          <w:tcPr>
            <w:tcW w:w="1080" w:type="dxa"/>
            <w:shd w:val="clear" w:color="auto" w:fill="auto"/>
            <w:noWrap/>
            <w:vAlign w:val="center"/>
          </w:tcPr>
          <w:p w14:paraId="755C63F8" w14:textId="70294B4F"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14:paraId="74742424" w14:textId="7B3B0AF5" w:rsidR="009008FA" w:rsidRDefault="009008FA" w:rsidP="00471E9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w:t>
            </w:r>
            <w:r w:rsidR="001B72E4">
              <w:rPr>
                <w:rFonts w:ascii="Calibri" w:eastAsia="Times New Roman" w:hAnsi="Calibri" w:cs="Times New Roman"/>
                <w:color w:val="000000"/>
                <w:sz w:val="20"/>
                <w:szCs w:val="22"/>
              </w:rPr>
              <w:t xml:space="preserve"> to snapshot each new gTLD zone </w:t>
            </w:r>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This % should decline over </w:t>
            </w:r>
            <w:r>
              <w:rPr>
                <w:rFonts w:ascii="Calibri" w:eastAsia="Times New Roman" w:hAnsi="Calibri" w:cs="Times New Roman"/>
                <w:color w:val="000000"/>
                <w:sz w:val="20"/>
                <w:szCs w:val="22"/>
              </w:rPr>
              <w:lastRenderedPageBreak/>
              <w:t>time</w:t>
            </w:r>
          </w:p>
        </w:tc>
      </w:tr>
      <w:tr w:rsidR="009008FA" w:rsidRPr="00AD5C36" w14:paraId="21F5288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1B2F8FF3" w14:textId="2320638C" w:rsidR="009008FA" w:rsidRPr="0084344C" w:rsidRDefault="00F17C05" w:rsidP="008C5EE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[2.11]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8C5EE9">
              <w:rPr>
                <w:rFonts w:ascii="Calibri" w:eastAsia="Times New Roman" w:hAnsi="Calibri" w:cs="Times New Roman"/>
                <w:color w:val="000000"/>
                <w:sz w:val="20"/>
                <w:szCs w:val="22"/>
              </w:rPr>
              <w:t>of</w:t>
            </w:r>
            <w:r w:rsidR="001B72E4">
              <w:rPr>
                <w:rFonts w:ascii="Calibri" w:eastAsia="Times New Roman" w:hAnsi="Calibri" w:cs="Times New Roman"/>
                <w:color w:val="000000"/>
                <w:sz w:val="20"/>
                <w:szCs w:val="22"/>
              </w:rPr>
              <w:t xml:space="preserve"> sample of </w:t>
            </w:r>
            <w:r w:rsidR="00705EF1">
              <w:rPr>
                <w:rFonts w:ascii="Calibri" w:eastAsia="Times New Roman" w:hAnsi="Calibri" w:cs="Times New Roman"/>
                <w:color w:val="000000"/>
                <w:sz w:val="20"/>
                <w:szCs w:val="22"/>
              </w:rPr>
              <w:t>“duplicate” 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7E281E" w:rsidRPr="00AD5C36" w14:paraId="395C2AEB" w14:textId="77777777" w:rsidTr="00D976EF">
        <w:trPr>
          <w:trHeight w:val="432"/>
        </w:trPr>
        <w:tc>
          <w:tcPr>
            <w:tcW w:w="9185" w:type="dxa"/>
            <w:gridSpan w:val="4"/>
            <w:shd w:val="clear" w:color="auto" w:fill="D9D9D9" w:themeFill="background1" w:themeFillShade="D9"/>
            <w:noWrap/>
          </w:tcPr>
          <w:p w14:paraId="09A9277A" w14:textId="63FCAA5B" w:rsidR="007E281E" w:rsidRPr="007E281E" w:rsidRDefault="007E281E" w:rsidP="00B731B2">
            <w:pPr>
              <w:spacing w:before="60" w:after="60"/>
              <w:rPr>
                <w:rFonts w:ascii="Calibri" w:eastAsia="Times New Roman" w:hAnsi="Calibri" w:cs="Times New Roman"/>
                <w:i/>
                <w:color w:val="000000"/>
                <w:sz w:val="20"/>
                <w:szCs w:val="22"/>
              </w:rPr>
            </w:pPr>
            <w:r w:rsidRPr="007E281E">
              <w:rPr>
                <w:rFonts w:ascii="Calibri" w:eastAsia="Times New Roman" w:hAnsi="Calibri" w:cs="Times New Roman"/>
                <w:i/>
                <w:color w:val="000000"/>
                <w:sz w:val="20"/>
                <w:szCs w:val="22"/>
              </w:rPr>
              <w:t>Other measures</w:t>
            </w:r>
            <w:r w:rsidR="00CB1698">
              <w:rPr>
                <w:rFonts w:ascii="Calibri" w:eastAsia="Times New Roman" w:hAnsi="Calibri" w:cs="Times New Roman"/>
                <w:i/>
                <w:color w:val="000000"/>
                <w:sz w:val="20"/>
                <w:szCs w:val="22"/>
              </w:rPr>
              <w:t xml:space="preserve"> of </w:t>
            </w:r>
            <w:r w:rsidR="00B731B2">
              <w:rPr>
                <w:rFonts w:ascii="Calibri" w:eastAsia="Times New Roman" w:hAnsi="Calibri" w:cs="Times New Roman"/>
                <w:i/>
                <w:color w:val="000000"/>
                <w:sz w:val="20"/>
                <w:szCs w:val="22"/>
              </w:rPr>
              <w:t>Consumer Choice</w:t>
            </w:r>
            <w:r w:rsidR="00CB1698">
              <w:rPr>
                <w:rFonts w:ascii="Calibri" w:eastAsia="Times New Roman" w:hAnsi="Calibri" w:cs="Times New Roman"/>
                <w:i/>
                <w:color w:val="000000"/>
                <w:sz w:val="20"/>
                <w:szCs w:val="22"/>
              </w:rPr>
              <w:t xml:space="preserve"> in new </w:t>
            </w:r>
            <w:proofErr w:type="spellStart"/>
            <w:r w:rsidR="00CB1698">
              <w:rPr>
                <w:rFonts w:ascii="Calibri" w:eastAsia="Times New Roman" w:hAnsi="Calibri" w:cs="Times New Roman"/>
                <w:i/>
                <w:color w:val="000000"/>
                <w:sz w:val="20"/>
                <w:szCs w:val="22"/>
              </w:rPr>
              <w:t>gTLDS</w:t>
            </w:r>
            <w:proofErr w:type="spellEnd"/>
          </w:p>
        </w:tc>
      </w:tr>
      <w:tr w:rsidR="009008FA" w:rsidRPr="00AD5C36" w14:paraId="04DB361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43EA2645" w14:textId="03990783" w:rsidR="009008FA" w:rsidRPr="0084344C"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[2.12] </w:t>
            </w:r>
            <w:r w:rsidR="007E281E">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sidR="007E281E">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sidR="007E281E">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sidR="007E281E">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new gTLDs</w:t>
            </w:r>
            <w:r w:rsidR="007E281E">
              <w:rPr>
                <w:rFonts w:ascii="Calibri" w:eastAsia="Times New Roman" w:hAnsi="Calibri" w:cs="Times New Roman"/>
                <w:color w:val="000000"/>
                <w:sz w:val="20"/>
                <w:szCs w:val="22"/>
              </w:rPr>
              <w:t xml:space="preserve">, as 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sidR="007E281E">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 xml:space="preserve">created </w:t>
            </w:r>
            <w:r w:rsidR="007E281E">
              <w:rPr>
                <w:rFonts w:ascii="Calibri" w:eastAsia="Times New Roman" w:hAnsi="Calibri" w:cs="Times New Roman"/>
                <w:color w:val="000000"/>
                <w:sz w:val="20"/>
                <w:szCs w:val="22"/>
              </w:rPr>
              <w:t>by gTLDs</w:t>
            </w:r>
            <w:r w:rsidR="007F2E37">
              <w:rPr>
                <w:rFonts w:ascii="Calibri" w:eastAsia="Times New Roman" w:hAnsi="Calibri" w:cs="Times New Roman"/>
                <w:color w:val="000000"/>
                <w:sz w:val="20"/>
                <w:szCs w:val="22"/>
              </w:rPr>
              <w:t xml:space="preserve"> expansion.</w:t>
            </w:r>
            <w:r w:rsidR="00705EF1">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D</w:t>
            </w:r>
            <w:r w:rsidR="00705EF1">
              <w:rPr>
                <w:rFonts w:ascii="Calibri" w:eastAsia="Times New Roman" w:hAnsi="Calibri" w:cs="Times New Roman"/>
                <w:color w:val="000000"/>
                <w:sz w:val="20"/>
                <w:szCs w:val="22"/>
              </w:rPr>
              <w:t>o not count privacy/proxy registrations</w:t>
            </w:r>
            <w:r w:rsidR="00355057">
              <w:rPr>
                <w:rFonts w:ascii="Calibri" w:eastAsia="Times New Roman" w:hAnsi="Calibri" w:cs="Times New Roman"/>
                <w:color w:val="000000"/>
                <w:sz w:val="20"/>
                <w:szCs w:val="22"/>
              </w:rPr>
              <w:t xml:space="preserve"> or </w:t>
            </w:r>
            <w:r w:rsidR="00355057" w:rsidRPr="00355057">
              <w:rPr>
                <w:rFonts w:ascii="Calibri" w:eastAsia="Times New Roman" w:hAnsi="Calibri" w:cs="Times New Roman"/>
                <w:color w:val="000000"/>
                <w:sz w:val="20"/>
                <w:szCs w:val="22"/>
              </w:rPr>
              <w:t>registrations that fail to resolve)</w:t>
            </w:r>
          </w:p>
        </w:tc>
        <w:tc>
          <w:tcPr>
            <w:tcW w:w="1080" w:type="dxa"/>
            <w:shd w:val="clear" w:color="auto" w:fill="auto"/>
            <w:noWrap/>
            <w:vAlign w:val="center"/>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20C1DF18" w:rsidR="009008FA" w:rsidRDefault="007F2E37"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The working group </w:t>
            </w:r>
            <w:r w:rsidR="0004256A">
              <w:rPr>
                <w:rFonts w:ascii="Calibri" w:eastAsia="Times New Roman" w:hAnsi="Calibri" w:cs="Times New Roman"/>
                <w:color w:val="000000"/>
                <w:sz w:val="20"/>
                <w:szCs w:val="22"/>
              </w:rPr>
              <w:t>sought but not find</w:t>
            </w:r>
            <w:r>
              <w:rPr>
                <w:rFonts w:ascii="Calibri" w:eastAsia="Times New Roman" w:hAnsi="Calibri" w:cs="Times New Roman"/>
                <w:color w:val="000000"/>
                <w:sz w:val="20"/>
                <w:szCs w:val="22"/>
              </w:rPr>
              <w:t xml:space="preserve"> an index or statistical measure of geographical diversity</w:t>
            </w:r>
          </w:p>
        </w:tc>
        <w:tc>
          <w:tcPr>
            <w:tcW w:w="1530" w:type="dxa"/>
            <w:shd w:val="clear" w:color="auto" w:fill="auto"/>
            <w:vAlign w:val="center"/>
          </w:tcPr>
          <w:p w14:paraId="3C071253" w14:textId="70D03EBE"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r w:rsidR="00705EF1">
              <w:rPr>
                <w:rFonts w:ascii="Calibri" w:eastAsia="Times New Roman" w:hAnsi="Calibri" w:cs="Times New Roman"/>
                <w:color w:val="000000"/>
                <w:sz w:val="20"/>
                <w:szCs w:val="22"/>
              </w:rPr>
              <w:t>;</w:t>
            </w:r>
          </w:p>
          <w:p w14:paraId="3B4FF0F2" w14:textId="0025807E" w:rsidR="00055B38" w:rsidRPr="00AD5C36" w:rsidRDefault="00055B38"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r w:rsidR="00705EF1">
              <w:rPr>
                <w:rFonts w:ascii="Calibri" w:eastAsia="Times New Roman" w:hAnsi="Calibri" w:cs="Times New Roman"/>
                <w:color w:val="000000"/>
                <w:sz w:val="20"/>
                <w:szCs w:val="22"/>
              </w:rPr>
              <w:t>previous year.</w:t>
            </w:r>
          </w:p>
        </w:tc>
      </w:tr>
      <w:tr w:rsidR="005A0943" w:rsidRPr="00AD5C36" w14:paraId="15D6D31C"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4980B931" w14:textId="04558CA4" w:rsidR="005A0943"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[2.13] </w:t>
            </w:r>
            <w:r w:rsidR="005A0943">
              <w:rPr>
                <w:rFonts w:ascii="Calibri" w:eastAsia="Times New Roman" w:hAnsi="Calibri" w:cs="Times New Roman"/>
                <w:color w:val="000000"/>
                <w:sz w:val="20"/>
                <w:szCs w:val="22"/>
              </w:rPr>
              <w:t>Survey or Study</w:t>
            </w:r>
            <w:r w:rsidR="00061F76">
              <w:rPr>
                <w:rFonts w:ascii="Calibri" w:eastAsia="Times New Roman" w:hAnsi="Calibri" w:cs="Times New Roman"/>
                <w:color w:val="000000"/>
                <w:sz w:val="20"/>
                <w:szCs w:val="22"/>
              </w:rPr>
              <w:t xml:space="preserve"> to gauge </w:t>
            </w:r>
            <w:r w:rsidR="00061F76" w:rsidRPr="00217937">
              <w:rPr>
                <w:rFonts w:ascii="Calibri" w:eastAsia="Times New Roman" w:hAnsi="Calibri" w:cs="Times New Roman"/>
                <w:color w:val="000000"/>
                <w:sz w:val="20"/>
                <w:szCs w:val="22"/>
              </w:rPr>
              <w:t xml:space="preserve">the frequency with which </w:t>
            </w:r>
            <w:proofErr w:type="gramStart"/>
            <w:r w:rsidR="0004256A">
              <w:rPr>
                <w:rFonts w:ascii="Calibri" w:eastAsia="Times New Roman" w:hAnsi="Calibri" w:cs="Times New Roman"/>
                <w:color w:val="000000"/>
                <w:sz w:val="20"/>
                <w:szCs w:val="22"/>
              </w:rPr>
              <w:t>users</w:t>
            </w:r>
            <w:proofErr w:type="gramEnd"/>
            <w:r w:rsidR="00061F76" w:rsidRPr="00217937">
              <w:rPr>
                <w:rFonts w:ascii="Calibri" w:eastAsia="Times New Roman" w:hAnsi="Calibri" w:cs="Times New Roman"/>
                <w:color w:val="000000"/>
                <w:sz w:val="20"/>
                <w:szCs w:val="22"/>
              </w:rPr>
              <w:t xml:space="preserve"> access internet resources via tools that do not reveal the TLD.  (e.g. QR Codes, search results, apps, etc. that do not display URLs)</w:t>
            </w:r>
          </w:p>
        </w:tc>
        <w:tc>
          <w:tcPr>
            <w:tcW w:w="1080" w:type="dxa"/>
            <w:shd w:val="clear" w:color="auto" w:fill="auto"/>
            <w:noWrap/>
            <w:vAlign w:val="center"/>
          </w:tcPr>
          <w:p w14:paraId="6A4D6EE1" w14:textId="031294EF" w:rsidR="005A0943" w:rsidRDefault="00061F7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vAlign w:val="center"/>
          </w:tcPr>
          <w:p w14:paraId="78B80062" w14:textId="77777777" w:rsidR="0004256A" w:rsidRDefault="00061F7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sidR="0004256A">
              <w:rPr>
                <w:rFonts w:ascii="Calibri" w:eastAsia="Times New Roman" w:hAnsi="Calibri" w:cs="Times New Roman"/>
                <w:color w:val="000000"/>
                <w:sz w:val="20"/>
                <w:szCs w:val="22"/>
              </w:rPr>
              <w:t xml:space="preserve">. </w:t>
            </w:r>
          </w:p>
          <w:p w14:paraId="37A3A506" w14:textId="14BCC28F" w:rsidR="005A0943" w:rsidRDefault="00061F7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shd w:val="clear" w:color="auto" w:fill="auto"/>
            <w:vAlign w:val="center"/>
          </w:tcPr>
          <w:p w14:paraId="1BFEB79D" w14:textId="7AE851D0" w:rsidR="005A0943" w:rsidRDefault="00061F7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0418B0" w:rsidRPr="00AD5C36" w14:paraId="4EC780D3"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6DBAA451" w14:textId="48985F87" w:rsidR="0004256A" w:rsidRDefault="00F17C05"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[2.14] </w:t>
            </w:r>
            <w:r w:rsidR="0004256A">
              <w:rPr>
                <w:rFonts w:ascii="Calibri" w:eastAsia="Times New Roman" w:hAnsi="Calibri" w:cs="Times New Roman"/>
                <w:color w:val="000000"/>
                <w:sz w:val="20"/>
                <w:szCs w:val="22"/>
              </w:rPr>
              <w:t>Annual s</w:t>
            </w:r>
            <w:r w:rsidR="00471E94"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sidR="00887A6F">
              <w:rPr>
                <w:rFonts w:ascii="Calibri" w:eastAsia="Times New Roman" w:hAnsi="Calibri" w:cs="Times New Roman"/>
                <w:color w:val="000000"/>
                <w:sz w:val="20"/>
                <w:szCs w:val="22"/>
              </w:rPr>
              <w:t>8</w:t>
            </w:r>
            <w:r w:rsidR="00471E94" w:rsidRPr="00471E94">
              <w:rPr>
                <w:rFonts w:ascii="Calibri" w:eastAsia="Times New Roman" w:hAnsi="Calibri" w:cs="Times New Roman"/>
                <w:color w:val="000000"/>
                <w:sz w:val="20"/>
                <w:szCs w:val="22"/>
              </w:rPr>
              <w:t xml:space="preserve">.  </w:t>
            </w:r>
          </w:p>
          <w:p w14:paraId="2DB74551" w14:textId="7F107E32" w:rsidR="000418B0" w:rsidRDefault="0004256A"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shd w:val="clear" w:color="auto" w:fill="auto"/>
            <w:noWrap/>
            <w:vAlign w:val="center"/>
          </w:tcPr>
          <w:p w14:paraId="6AEAF5D6" w14:textId="2B21FCA1" w:rsidR="000418B0" w:rsidRDefault="000418B0"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vAlign w:val="center"/>
          </w:tcPr>
          <w:p w14:paraId="2F33B473" w14:textId="77777777" w:rsidR="0004256A" w:rsidRDefault="000418B0"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sidR="0004256A">
              <w:rPr>
                <w:rFonts w:ascii="Calibri" w:eastAsia="Times New Roman" w:hAnsi="Calibri" w:cs="Times New Roman"/>
                <w:color w:val="000000"/>
                <w:sz w:val="20"/>
                <w:szCs w:val="22"/>
              </w:rPr>
              <w:t xml:space="preserve">. </w:t>
            </w:r>
          </w:p>
          <w:p w14:paraId="52E60289" w14:textId="29A81E5E" w:rsidR="000418B0" w:rsidRDefault="000418B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w:t>
            </w:r>
            <w:r w:rsidR="00471E94">
              <w:rPr>
                <w:rFonts w:ascii="Calibri" w:eastAsia="Times New Roman" w:hAnsi="Calibri" w:cs="Times New Roman"/>
                <w:color w:val="000000"/>
                <w:sz w:val="20"/>
                <w:szCs w:val="22"/>
              </w:rPr>
              <w:t xml:space="preserve">Consumer </w:t>
            </w:r>
            <w:r>
              <w:rPr>
                <w:rFonts w:ascii="Calibri" w:eastAsia="Times New Roman" w:hAnsi="Calibri" w:cs="Times New Roman"/>
                <w:color w:val="000000"/>
                <w:sz w:val="20"/>
                <w:szCs w:val="22"/>
              </w:rPr>
              <w:t xml:space="preserve">Choice survey </w:t>
            </w:r>
            <w:r w:rsidR="00471E94">
              <w:rPr>
                <w:rFonts w:ascii="Calibri" w:eastAsia="Times New Roman" w:hAnsi="Calibri" w:cs="Times New Roman"/>
                <w:color w:val="000000"/>
                <w:sz w:val="20"/>
                <w:szCs w:val="22"/>
              </w:rPr>
              <w:t xml:space="preserve">of users </w:t>
            </w:r>
            <w:r>
              <w:rPr>
                <w:rFonts w:ascii="Calibri" w:eastAsia="Times New Roman" w:hAnsi="Calibri" w:cs="Times New Roman"/>
                <w:color w:val="000000"/>
                <w:sz w:val="20"/>
                <w:szCs w:val="22"/>
              </w:rPr>
              <w:t>noted above</w:t>
            </w:r>
            <w:r w:rsidR="00471E94">
              <w:rPr>
                <w:rFonts w:ascii="Calibri" w:eastAsia="Times New Roman" w:hAnsi="Calibri" w:cs="Times New Roman"/>
                <w:color w:val="000000"/>
                <w:sz w:val="20"/>
                <w:szCs w:val="22"/>
              </w:rPr>
              <w:t xml:space="preserve"> (page 13)</w:t>
            </w:r>
            <w:r>
              <w:rPr>
                <w:rFonts w:ascii="Calibri" w:eastAsia="Times New Roman" w:hAnsi="Calibri" w:cs="Times New Roman"/>
                <w:color w:val="000000"/>
                <w:sz w:val="20"/>
                <w:szCs w:val="22"/>
              </w:rPr>
              <w:t xml:space="preserve"> </w:t>
            </w:r>
          </w:p>
        </w:tc>
        <w:tc>
          <w:tcPr>
            <w:tcW w:w="1530" w:type="dxa"/>
            <w:shd w:val="clear" w:color="auto" w:fill="auto"/>
            <w:vAlign w:val="center"/>
          </w:tcPr>
          <w:p w14:paraId="5CFC1BE8" w14:textId="283960FB" w:rsidR="000418B0" w:rsidRDefault="00471E94"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D341EB" w:rsidRPr="00AD5C36" w14:paraId="09214B33"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40B3EFE8" w14:textId="3AB5F969" w:rsidR="00D341EB"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[2.15] </w:t>
            </w:r>
            <w:r w:rsidR="00D341EB">
              <w:rPr>
                <w:rFonts w:ascii="Calibri" w:eastAsia="Times New Roman" w:hAnsi="Calibri" w:cs="Times New Roman"/>
                <w:color w:val="000000"/>
                <w:sz w:val="20"/>
                <w:szCs w:val="22"/>
              </w:rPr>
              <w:t>W</w:t>
            </w:r>
            <w:r w:rsidR="00D341EB" w:rsidRPr="00D341EB">
              <w:rPr>
                <w:rFonts w:ascii="Calibri" w:eastAsia="Times New Roman" w:hAnsi="Calibri" w:cs="Times New Roman"/>
                <w:color w:val="000000"/>
                <w:sz w:val="20"/>
                <w:szCs w:val="22"/>
              </w:rPr>
              <w:t>ebsite traffic i</w:t>
            </w:r>
            <w:r w:rsidR="000944AE">
              <w:rPr>
                <w:rFonts w:ascii="Calibri" w:eastAsia="Times New Roman" w:hAnsi="Calibri" w:cs="Times New Roman"/>
                <w:color w:val="000000"/>
                <w:sz w:val="20"/>
                <w:szCs w:val="22"/>
              </w:rPr>
              <w:t>s a</w:t>
            </w:r>
            <w:r w:rsidR="0004256A">
              <w:rPr>
                <w:rFonts w:ascii="Calibri" w:eastAsia="Times New Roman" w:hAnsi="Calibri" w:cs="Times New Roman"/>
                <w:color w:val="000000"/>
                <w:sz w:val="20"/>
                <w:szCs w:val="22"/>
              </w:rPr>
              <w:t>n</w:t>
            </w:r>
            <w:r w:rsidR="000944AE">
              <w:rPr>
                <w:rFonts w:ascii="Calibri" w:eastAsia="Times New Roman" w:hAnsi="Calibri" w:cs="Times New Roman"/>
                <w:color w:val="000000"/>
                <w:sz w:val="20"/>
                <w:szCs w:val="22"/>
              </w:rPr>
              <w:t xml:space="preserve"> indicator of trust</w:t>
            </w:r>
            <w:r w:rsidR="00D341EB" w:rsidRPr="00D341EB">
              <w:rPr>
                <w:rFonts w:ascii="Calibri" w:eastAsia="Times New Roman" w:hAnsi="Calibri" w:cs="Times New Roman"/>
                <w:color w:val="000000"/>
                <w:sz w:val="20"/>
                <w:szCs w:val="22"/>
              </w:rPr>
              <w:t xml:space="preserve">, choice, and competition.   User traffic in new gTLDs should be compared to </w:t>
            </w:r>
            <w:r w:rsidR="0004256A">
              <w:rPr>
                <w:rFonts w:ascii="Calibri" w:eastAsia="Times New Roman" w:hAnsi="Calibri" w:cs="Times New Roman"/>
                <w:color w:val="000000"/>
                <w:sz w:val="20"/>
                <w:szCs w:val="22"/>
              </w:rPr>
              <w:t xml:space="preserve">contemporary </w:t>
            </w:r>
            <w:r w:rsidR="00D341EB" w:rsidRPr="00D341EB">
              <w:rPr>
                <w:rFonts w:ascii="Calibri" w:eastAsia="Times New Roman" w:hAnsi="Calibri" w:cs="Times New Roman"/>
                <w:color w:val="000000"/>
                <w:sz w:val="20"/>
                <w:szCs w:val="22"/>
              </w:rPr>
              <w:t>user traffic in legacy gTLDs</w:t>
            </w:r>
            <w:r w:rsidR="0004256A">
              <w:rPr>
                <w:rFonts w:ascii="Calibri" w:eastAsia="Times New Roman" w:hAnsi="Calibri" w:cs="Times New Roman"/>
                <w:color w:val="000000"/>
                <w:sz w:val="20"/>
                <w:szCs w:val="22"/>
              </w:rPr>
              <w:t>.   If comprehensive traffic data is not available, sampling should be used.</w:t>
            </w:r>
          </w:p>
        </w:tc>
        <w:tc>
          <w:tcPr>
            <w:tcW w:w="1080" w:type="dxa"/>
            <w:shd w:val="clear" w:color="auto" w:fill="auto"/>
            <w:noWrap/>
            <w:vAlign w:val="center"/>
          </w:tcPr>
          <w:p w14:paraId="52076608" w14:textId="2812D353" w:rsidR="00D341EB" w:rsidRDefault="00D341EB" w:rsidP="005F63A9">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 ALEXA</w:t>
            </w:r>
          </w:p>
        </w:tc>
        <w:tc>
          <w:tcPr>
            <w:tcW w:w="2790" w:type="dxa"/>
            <w:vAlign w:val="center"/>
          </w:tcPr>
          <w:p w14:paraId="00E21714" w14:textId="68AAD6C6" w:rsidR="00D341EB" w:rsidRDefault="00471E94"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shd w:val="clear" w:color="auto" w:fill="auto"/>
            <w:vAlign w:val="center"/>
          </w:tcPr>
          <w:p w14:paraId="7C9C0964" w14:textId="42A5A0CA" w:rsidR="00D341EB" w:rsidRDefault="00D341EB"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sidR="0004256A">
              <w:rPr>
                <w:rFonts w:ascii="Calibri" w:eastAsia="Times New Roman" w:hAnsi="Calibri" w:cs="Times New Roman"/>
                <w:color w:val="000000"/>
                <w:sz w:val="20"/>
                <w:szCs w:val="22"/>
              </w:rPr>
              <w:t>s</w:t>
            </w:r>
          </w:p>
        </w:tc>
      </w:tr>
    </w:tbl>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67163854"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01E65ECD" w:rsidR="00274431" w:rsidRPr="00AD5C36" w:rsidRDefault="00F17C05"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 and after expansion, assuming that gTLDs and ccTLDs generally compete for the same registrants</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70518985"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 xml:space="preserve">TLDs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4596B03D"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4026D14C"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05ABFB22"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 xml:space="preserve">Service Providers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1F7CED89"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 xml:space="preserve">Registrars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62B7D24A" w:rsidR="00DB3F97" w:rsidRPr="00AD5C36"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 xml:space="preserve">"new entrant", as being 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6FDDAEFB"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r w:rsidRPr="006D6378">
              <w:rPr>
                <w:rFonts w:ascii="Calibri" w:eastAsia="Times New Roman" w:hAnsi="Calibri" w:cs="Times New Roman"/>
                <w:color w:val="000000"/>
                <w:sz w:val="20"/>
                <w:szCs w:val="22"/>
              </w:rPr>
              <w:t>.</w:t>
            </w:r>
          </w:p>
        </w:tc>
      </w:tr>
      <w:tr w:rsidR="00E62893" w:rsidRPr="00AD5C36" w14:paraId="223A7991" w14:textId="77777777" w:rsidTr="005F63A9">
        <w:trPr>
          <w:trHeight w:val="690"/>
        </w:trPr>
        <w:tc>
          <w:tcPr>
            <w:tcW w:w="3785" w:type="dxa"/>
            <w:shd w:val="clear" w:color="auto" w:fill="auto"/>
            <w:noWrap/>
            <w:vAlign w:val="center"/>
          </w:tcPr>
          <w:p w14:paraId="6414FE64" w14:textId="35F55E41" w:rsidR="00E62893"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open/closed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p>
        </w:tc>
        <w:tc>
          <w:tcPr>
            <w:tcW w:w="1080" w:type="dxa"/>
            <w:shd w:val="clear" w:color="auto" w:fill="auto"/>
            <w:noWrap/>
            <w:vAlign w:val="center"/>
          </w:tcPr>
          <w:p w14:paraId="14701F8B" w14:textId="0702247B"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2C76C97A" w14:textId="783E2C44"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41C06B7" w14:textId="043525A4"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E62893" w:rsidRPr="00AD5C36" w14:paraId="7F9F384E" w14:textId="77777777" w:rsidTr="005F63A9">
        <w:trPr>
          <w:trHeight w:val="690"/>
        </w:trPr>
        <w:tc>
          <w:tcPr>
            <w:tcW w:w="3785" w:type="dxa"/>
            <w:shd w:val="clear" w:color="auto" w:fill="auto"/>
            <w:noWrap/>
            <w:vAlign w:val="center"/>
          </w:tcPr>
          <w:p w14:paraId="276E1326" w14:textId="28443CAD" w:rsidR="00E62893" w:rsidRDefault="003D657D" w:rsidP="0003326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“unique”</w:t>
            </w:r>
            <w:r w:rsidR="00E62893" w:rsidRPr="00A3667F">
              <w:rPr>
                <w:rFonts w:ascii="Calibri" w:eastAsia="Times New Roman" w:hAnsi="Calibri" w:cs="Times New Roman"/>
                <w:color w:val="000000"/>
                <w:sz w:val="20"/>
                <w:szCs w:val="22"/>
              </w:rPr>
              <w:t xml:space="preserve"> does not appear as a registration in any of the zones in the legacy space or the CCs</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p>
        </w:tc>
        <w:tc>
          <w:tcPr>
            <w:tcW w:w="1080" w:type="dxa"/>
            <w:shd w:val="clear" w:color="auto" w:fill="auto"/>
            <w:noWrap/>
            <w:vAlign w:val="center"/>
          </w:tcPr>
          <w:p w14:paraId="44E16F7F" w14:textId="22A349C4"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177F3B0C" w14:textId="2F99DFDB"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090205" w14:textId="3D2D91DA"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E62893" w:rsidRPr="009B6223" w14:paraId="633711F4" w14:textId="77777777" w:rsidTr="003E4ACC">
        <w:trPr>
          <w:trHeight w:val="432"/>
        </w:trPr>
        <w:tc>
          <w:tcPr>
            <w:tcW w:w="9185" w:type="dxa"/>
            <w:gridSpan w:val="4"/>
            <w:shd w:val="clear" w:color="auto" w:fill="auto"/>
            <w:noWrap/>
            <w:vAlign w:val="center"/>
          </w:tcPr>
          <w:p w14:paraId="40AA6024" w14:textId="2B9F6F53" w:rsidR="00E62893" w:rsidRPr="009B6223" w:rsidRDefault="00E62893" w:rsidP="00E4455B">
            <w:pPr>
              <w:spacing w:before="60" w:after="60"/>
              <w:rPr>
                <w:rFonts w:ascii="Calibri" w:eastAsia="Times New Roman" w:hAnsi="Calibri" w:cs="Times New Roman"/>
                <w:i/>
                <w:color w:val="000000"/>
                <w:sz w:val="20"/>
                <w:szCs w:val="22"/>
              </w:rPr>
            </w:pPr>
            <w:r w:rsidRPr="009B6223">
              <w:rPr>
                <w:rFonts w:ascii="Calibri" w:eastAsia="Times New Roman" w:hAnsi="Calibri" w:cs="Times New Roman"/>
                <w:i/>
                <w:color w:val="000000"/>
                <w:sz w:val="20"/>
                <w:szCs w:val="22"/>
              </w:rPr>
              <w:lastRenderedPageBreak/>
              <w:t xml:space="preserve">Measures related to </w:t>
            </w:r>
            <w:r>
              <w:rPr>
                <w:rFonts w:ascii="Calibri" w:eastAsia="Times New Roman" w:hAnsi="Calibri" w:cs="Times New Roman"/>
                <w:i/>
                <w:color w:val="000000"/>
                <w:sz w:val="20"/>
                <w:szCs w:val="22"/>
              </w:rPr>
              <w:t>prices</w:t>
            </w:r>
            <w:r w:rsidRPr="009B6223">
              <w:rPr>
                <w:rFonts w:ascii="Calibri" w:eastAsia="Times New Roman" w:hAnsi="Calibri" w:cs="Times New Roman"/>
                <w:i/>
                <w:color w:val="000000"/>
                <w:sz w:val="20"/>
                <w:szCs w:val="22"/>
              </w:rPr>
              <w:t xml:space="preserve"> for domain </w:t>
            </w:r>
            <w:r w:rsidRPr="00E4455B">
              <w:rPr>
                <w:rFonts w:ascii="Calibri" w:eastAsia="Times New Roman" w:hAnsi="Calibri" w:cs="Times New Roman"/>
                <w:i/>
                <w:color w:val="000000"/>
                <w:sz w:val="20"/>
                <w:szCs w:val="22"/>
              </w:rPr>
              <w:t>registrations  (see legal note in Appendix B)</w:t>
            </w:r>
          </w:p>
        </w:tc>
      </w:tr>
      <w:tr w:rsidR="00E62893" w:rsidRPr="00AD5C36" w14:paraId="32DE489E" w14:textId="77777777" w:rsidTr="005F63A9">
        <w:trPr>
          <w:trHeight w:val="690"/>
        </w:trPr>
        <w:tc>
          <w:tcPr>
            <w:tcW w:w="3785" w:type="dxa"/>
            <w:shd w:val="clear" w:color="auto" w:fill="auto"/>
            <w:noWrap/>
            <w:vAlign w:val="center"/>
            <w:hideMark/>
          </w:tcPr>
          <w:p w14:paraId="0E596A3E" w14:textId="77A36818" w:rsidR="00E62893" w:rsidRPr="00AD5C36" w:rsidRDefault="003D657D" w:rsidP="00BC6C0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[3.</w:t>
            </w:r>
            <w:r w:rsidR="007C26A9">
              <w:rPr>
                <w:rFonts w:ascii="Calibri" w:eastAsia="Times New Roman" w:hAnsi="Calibri" w:cs="Times New Roman"/>
                <w:color w:val="000000"/>
                <w:sz w:val="20"/>
                <w:szCs w:val="22"/>
              </w:rPr>
              <w:t>9</w:t>
            </w:r>
            <w:r>
              <w:rPr>
                <w:rFonts w:ascii="Calibri" w:eastAsia="Times New Roman" w:hAnsi="Calibri" w:cs="Times New Roman"/>
                <w:color w:val="000000"/>
                <w:sz w:val="20"/>
                <w:szCs w:val="22"/>
              </w:rPr>
              <w:t xml:space="preserve">] </w:t>
            </w:r>
            <w:r w:rsidR="00E62893" w:rsidRPr="00BC6C08">
              <w:rPr>
                <w:rFonts w:ascii="Calibri" w:eastAsia="Times New Roman" w:hAnsi="Calibri" w:cs="Times New Roman"/>
                <w:i/>
                <w:color w:val="000000"/>
                <w:sz w:val="20"/>
                <w:szCs w:val="22"/>
              </w:rPr>
              <w:t>Wholesale</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174D90A3" w14:textId="268EBDE2" w:rsidR="00E62893" w:rsidRPr="00AD5C36" w:rsidRDefault="00856AEF"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vAlign w:val="center"/>
          </w:tcPr>
          <w:p w14:paraId="5C3947FB" w14:textId="756F84E2"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E62893" w:rsidRDefault="00E62893"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auto"/>
            <w:vAlign w:val="center"/>
          </w:tcPr>
          <w:p w14:paraId="7A3DE099" w14:textId="6D649911" w:rsidR="00E62893" w:rsidRPr="00AD5C36" w:rsidRDefault="00E62893"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E62893" w:rsidRPr="00AD5C36" w14:paraId="27993A49" w14:textId="77777777" w:rsidTr="005F63A9">
        <w:trPr>
          <w:trHeight w:val="690"/>
        </w:trPr>
        <w:tc>
          <w:tcPr>
            <w:tcW w:w="3785" w:type="dxa"/>
            <w:shd w:val="clear" w:color="auto" w:fill="auto"/>
            <w:noWrap/>
            <w:vAlign w:val="center"/>
            <w:hideMark/>
          </w:tcPr>
          <w:p w14:paraId="149492C5" w14:textId="1185D35D" w:rsidR="00E62893" w:rsidRPr="00AD5C36" w:rsidRDefault="003D657D"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0</w:t>
            </w:r>
            <w:r>
              <w:rPr>
                <w:rFonts w:ascii="Calibri" w:eastAsia="Times New Roman" w:hAnsi="Calibri" w:cs="Times New Roman"/>
                <w:color w:val="000000"/>
                <w:sz w:val="20"/>
                <w:szCs w:val="22"/>
              </w:rPr>
              <w:t xml:space="preserve">] </w:t>
            </w:r>
            <w:r w:rsidR="00E62893" w:rsidRPr="00BC6C08">
              <w:rPr>
                <w:rFonts w:ascii="Calibri" w:eastAsia="Times New Roman" w:hAnsi="Calibri" w:cs="Times New Roman"/>
                <w:i/>
                <w:color w:val="000000"/>
                <w:sz w:val="20"/>
                <w:szCs w:val="22"/>
              </w:rPr>
              <w:t>Retail</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22CF39FA" w14:textId="4D1753C1" w:rsidR="00E62893" w:rsidRPr="00AD5C36" w:rsidRDefault="00856AEF"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w:t>
            </w:r>
            <w:r w:rsidR="00BF56DC">
              <w:rPr>
                <w:rFonts w:ascii="Calibri" w:eastAsia="Times New Roman" w:hAnsi="Calibri" w:cs="Times New Roman"/>
                <w:color w:val="000000"/>
                <w:sz w:val="20"/>
                <w:szCs w:val="22"/>
              </w:rPr>
              <w:t>3rd Party Vendor</w:t>
            </w:r>
          </w:p>
        </w:tc>
        <w:tc>
          <w:tcPr>
            <w:tcW w:w="2790" w:type="dxa"/>
            <w:vAlign w:val="center"/>
          </w:tcPr>
          <w:p w14:paraId="6F3030A4" w14:textId="3604CB05"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383A0BD3"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B) </w:t>
            </w:r>
          </w:p>
        </w:tc>
        <w:tc>
          <w:tcPr>
            <w:tcW w:w="1530" w:type="dxa"/>
            <w:shd w:val="clear" w:color="auto" w:fill="auto"/>
            <w:vAlign w:val="center"/>
          </w:tcPr>
          <w:p w14:paraId="4BFC42BD" w14:textId="4F2B88F5" w:rsidR="00E62893" w:rsidRPr="00AD5C36" w:rsidRDefault="00E628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62C95" w:rsidRPr="00AD5C36" w14:paraId="6DE322F4" w14:textId="77777777" w:rsidTr="005F63A9">
        <w:trPr>
          <w:trHeight w:val="690"/>
        </w:trPr>
        <w:tc>
          <w:tcPr>
            <w:tcW w:w="3785" w:type="dxa"/>
            <w:shd w:val="clear" w:color="auto" w:fill="auto"/>
            <w:noWrap/>
            <w:vAlign w:val="center"/>
          </w:tcPr>
          <w:p w14:paraId="4BE85174" w14:textId="49027681" w:rsidR="00C62C95" w:rsidRPr="00217937" w:rsidRDefault="003D657D" w:rsidP="00DB3F97">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1</w:t>
            </w:r>
            <w:r>
              <w:rPr>
                <w:rFonts w:ascii="Calibri" w:eastAsia="Times New Roman" w:hAnsi="Calibri" w:cs="Times New Roman"/>
                <w:color w:val="000000"/>
                <w:sz w:val="20"/>
                <w:szCs w:val="22"/>
              </w:rPr>
              <w:t xml:space="preserve">] </w:t>
            </w:r>
            <w:r w:rsidR="00C62C95" w:rsidRPr="00C62C95">
              <w:rPr>
                <w:rFonts w:ascii="Calibri" w:eastAsia="Times New Roman" w:hAnsi="Calibri" w:cs="Times New Roman"/>
                <w:color w:val="000000"/>
                <w:sz w:val="20"/>
                <w:szCs w:val="22"/>
              </w:rPr>
              <w:t>Qualitative assessment of non-price competition through innovations that benefit registrants and users, particularly for new market segments</w:t>
            </w:r>
          </w:p>
        </w:tc>
        <w:tc>
          <w:tcPr>
            <w:tcW w:w="1080" w:type="dxa"/>
            <w:shd w:val="clear" w:color="auto" w:fill="auto"/>
            <w:noWrap/>
            <w:vAlign w:val="center"/>
          </w:tcPr>
          <w:p w14:paraId="2A89AFCD" w14:textId="2DEED680" w:rsidR="00C62C95" w:rsidRDefault="00C62C95"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vAlign w:val="center"/>
          </w:tcPr>
          <w:p w14:paraId="7F2A0B15" w14:textId="7E88FFA9" w:rsidR="00C62C95" w:rsidRDefault="00017BF3"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$150K. </w:t>
            </w:r>
          </w:p>
        </w:tc>
        <w:tc>
          <w:tcPr>
            <w:tcW w:w="1530" w:type="dxa"/>
            <w:shd w:val="clear" w:color="auto" w:fill="auto"/>
            <w:vAlign w:val="center"/>
          </w:tcPr>
          <w:p w14:paraId="0AF82D01" w14:textId="450F0DAD" w:rsidR="00C62C95" w:rsidRDefault="00C62C95"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60158512" w14:textId="2152A9F2" w:rsidR="008C345B"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36B66593" w14:textId="0E6392D8" w:rsidR="00846082" w:rsidRPr="00AE2198" w:rsidRDefault="00846082" w:rsidP="008C345B">
      <w:pPr>
        <w:ind w:left="720"/>
        <w:rPr>
          <w:rFonts w:asciiTheme="majorHAnsi" w:hAnsiTheme="majorHAnsi"/>
          <w:sz w:val="22"/>
          <w:szCs w:val="22"/>
        </w:rPr>
      </w:pPr>
      <w:r>
        <w:rPr>
          <w:rFonts w:asciiTheme="majorHAnsi" w:hAnsiTheme="majorHAnsi"/>
          <w:sz w:val="22"/>
          <w:szCs w:val="22"/>
        </w:rPr>
        <w:t>Michael Graham - IPC</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55FC95E2" w14:textId="77777777"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7DFBBDDF" w14:textId="49145152" w:rsidR="008C345B" w:rsidRPr="00AE2198" w:rsidRDefault="000145B0"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008C345B"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6F56B5FE" w14:textId="77777777" w:rsidR="00017BF3" w:rsidRDefault="00017BF3" w:rsidP="00B731B2">
      <w:pPr>
        <w:rPr>
          <w:rFonts w:asciiTheme="majorHAnsi" w:hAnsiTheme="majorHAnsi"/>
          <w:i/>
          <w:sz w:val="22"/>
          <w:szCs w:val="22"/>
        </w:rPr>
      </w:pPr>
    </w:p>
    <w:p w14:paraId="584D0AF1" w14:textId="7A32F5A4"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 xml:space="preserve">hired to collect data under confidentially provisions, and to report results in the aggregate and/or use anonymous labels. </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4AAE2AC1" w14:textId="16AB1046"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headerReference w:type="default" r:id="rId14"/>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42EC" w14:textId="77777777" w:rsidR="005A2EE6" w:rsidRDefault="005A2EE6" w:rsidP="002E7E35">
      <w:r>
        <w:separator/>
      </w:r>
    </w:p>
  </w:endnote>
  <w:endnote w:type="continuationSeparator" w:id="0">
    <w:p w14:paraId="40B8BAF4" w14:textId="77777777" w:rsidR="005A2EE6" w:rsidRDefault="005A2EE6" w:rsidP="002E7E35">
      <w:r>
        <w:continuationSeparator/>
      </w:r>
    </w:p>
  </w:endnote>
  <w:endnote w:type="continuationNotice" w:id="1">
    <w:p w14:paraId="4BD71916" w14:textId="77777777" w:rsidR="005A2EE6" w:rsidRDefault="005A2EE6"/>
  </w:endnote>
  <w:endnote w:id="2">
    <w:p w14:paraId="4AA48F63" w14:textId="2591FC8D" w:rsidR="007E6461" w:rsidRPr="000376DC" w:rsidRDefault="007E6461"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7E6461" w:rsidRPr="000376DC" w:rsidRDefault="007E6461"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7E6461" w:rsidRPr="000376DC" w:rsidRDefault="007E6461"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7E6461" w:rsidRPr="000376DC" w:rsidRDefault="007E6461"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F3652CE" w14:textId="35B1B096" w:rsidR="007E6461" w:rsidRPr="006B7041" w:rsidRDefault="007E6461"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omit.gov,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7E6461" w:rsidRPr="005F57B6" w14:paraId="3D849C3A" w14:textId="77777777" w:rsidTr="005F57B6">
        <w:tc>
          <w:tcPr>
            <w:tcW w:w="1620" w:type="dxa"/>
          </w:tcPr>
          <w:p w14:paraId="71E58818"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ASIA</w:t>
            </w:r>
          </w:p>
        </w:tc>
      </w:tr>
      <w:tr w:rsidR="007E6461" w:rsidRPr="005F57B6" w14:paraId="19303DE7" w14:textId="77777777" w:rsidTr="005F57B6">
        <w:tc>
          <w:tcPr>
            <w:tcW w:w="1620" w:type="dxa"/>
          </w:tcPr>
          <w:p w14:paraId="236A43E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CAT</w:t>
            </w:r>
          </w:p>
        </w:tc>
      </w:tr>
      <w:tr w:rsidR="007E6461" w:rsidRPr="005F57B6" w14:paraId="0F7D1D87" w14:textId="77777777" w:rsidTr="005F57B6">
        <w:tc>
          <w:tcPr>
            <w:tcW w:w="1620" w:type="dxa"/>
          </w:tcPr>
          <w:p w14:paraId="6AC3893A"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COOP</w:t>
            </w:r>
          </w:p>
        </w:tc>
      </w:tr>
      <w:tr w:rsidR="007E6461" w:rsidRPr="005F57B6" w14:paraId="16F42FFD" w14:textId="77777777" w:rsidTr="005F57B6">
        <w:tc>
          <w:tcPr>
            <w:tcW w:w="1620" w:type="dxa"/>
          </w:tcPr>
          <w:p w14:paraId="4DE28FB8" w14:textId="7CD03498" w:rsidR="007E6461" w:rsidRPr="005F57B6" w:rsidRDefault="007E6461" w:rsidP="00B720EC">
            <w:pPr>
              <w:pStyle w:val="EndnoteText"/>
              <w:rPr>
                <w:rFonts w:asciiTheme="majorHAnsi" w:hAnsiTheme="majorHAnsi"/>
                <w:sz w:val="20"/>
                <w:szCs w:val="20"/>
              </w:rPr>
            </w:pPr>
          </w:p>
        </w:tc>
        <w:tc>
          <w:tcPr>
            <w:tcW w:w="1530" w:type="dxa"/>
          </w:tcPr>
          <w:p w14:paraId="07B07138"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INFO</w:t>
            </w:r>
          </w:p>
        </w:tc>
      </w:tr>
      <w:tr w:rsidR="007E6461" w:rsidRPr="005F57B6" w14:paraId="2236B1EB" w14:textId="77777777" w:rsidTr="005F57B6">
        <w:tc>
          <w:tcPr>
            <w:tcW w:w="1620" w:type="dxa"/>
          </w:tcPr>
          <w:p w14:paraId="30E1AAB1"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MOBI</w:t>
            </w:r>
          </w:p>
        </w:tc>
      </w:tr>
      <w:tr w:rsidR="007E6461" w:rsidRPr="005F57B6" w14:paraId="63C317C4" w14:textId="77777777" w:rsidTr="005F57B6">
        <w:tc>
          <w:tcPr>
            <w:tcW w:w="1620" w:type="dxa"/>
          </w:tcPr>
          <w:p w14:paraId="2754362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NAME</w:t>
            </w:r>
          </w:p>
        </w:tc>
      </w:tr>
      <w:tr w:rsidR="007E6461" w:rsidRPr="005F57B6" w14:paraId="2CA5020D" w14:textId="77777777" w:rsidTr="005F57B6">
        <w:tc>
          <w:tcPr>
            <w:tcW w:w="1620" w:type="dxa"/>
          </w:tcPr>
          <w:p w14:paraId="4E73A62D"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ORG</w:t>
            </w:r>
          </w:p>
        </w:tc>
      </w:tr>
      <w:tr w:rsidR="007E6461" w:rsidRPr="005F57B6" w14:paraId="3A39568C" w14:textId="77777777" w:rsidTr="005F57B6">
        <w:tc>
          <w:tcPr>
            <w:tcW w:w="1620" w:type="dxa"/>
          </w:tcPr>
          <w:p w14:paraId="514C88E2"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TEL</w:t>
            </w:r>
          </w:p>
        </w:tc>
      </w:tr>
      <w:tr w:rsidR="007E6461" w:rsidRPr="005F57B6" w14:paraId="20704997" w14:textId="77777777" w:rsidTr="005F57B6">
        <w:tc>
          <w:tcPr>
            <w:tcW w:w="1620" w:type="dxa"/>
          </w:tcPr>
          <w:p w14:paraId="44BA12B3"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7E6461" w:rsidRPr="006B7041" w:rsidRDefault="007E6461" w:rsidP="006B7041">
      <w:pPr>
        <w:pStyle w:val="EndnoteText"/>
        <w:rPr>
          <w:rFonts w:asciiTheme="majorHAnsi" w:hAnsiTheme="majorHAnsi"/>
          <w:sz w:val="20"/>
          <w:szCs w:val="20"/>
        </w:rPr>
      </w:pPr>
    </w:p>
  </w:endnote>
  <w:endnote w:id="4">
    <w:p w14:paraId="1F2C1079" w14:textId="46751793" w:rsidR="007E6461" w:rsidRPr="006B7041" w:rsidRDefault="007E6461"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7880B35E" w14:textId="3EB421A5"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7E6461" w:rsidRDefault="007E6461"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7E6461" w:rsidRPr="00B720EC" w:rsidRDefault="007E6461"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55F5549B" w14:textId="6F62FCD7"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7E646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25C9DD61" w:rsidR="007E6461" w:rsidRPr="00B720EC" w:rsidRDefault="007E6461" w:rsidP="009B6A90">
      <w:pPr>
        <w:pStyle w:val="EndnoteText"/>
        <w:ind w:left="720"/>
        <w:rPr>
          <w:rFonts w:asciiTheme="majorHAnsi" w:hAnsiTheme="majorHAnsi"/>
          <w:sz w:val="16"/>
          <w:szCs w:val="16"/>
        </w:rPr>
      </w:pPr>
      <w:r w:rsidRPr="00B720EC">
        <w:rPr>
          <w:rFonts w:asciiTheme="majorHAnsi" w:hAnsiTheme="majorHAnsi"/>
          <w:sz w:val="16"/>
          <w:szCs w:val="16"/>
        </w:rPr>
        <w:t xml:space="preserve">***The total count of RO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7E6461" w:rsidRPr="006B7041" w:rsidRDefault="007E6461" w:rsidP="009B6A90">
      <w:pPr>
        <w:pStyle w:val="EndnoteText"/>
        <w:ind w:left="720"/>
        <w:rPr>
          <w:rFonts w:asciiTheme="majorHAnsi" w:hAnsiTheme="majorHAnsi"/>
          <w:sz w:val="20"/>
          <w:szCs w:val="20"/>
        </w:rPr>
      </w:pPr>
    </w:p>
  </w:endnote>
  <w:endnote w:id="5">
    <w:p w14:paraId="75137657" w14:textId="58D2241C" w:rsidR="007E6461" w:rsidRPr="003204CA" w:rsidRDefault="007E6461" w:rsidP="003204CA">
      <w:pPr>
        <w:pStyle w:val="EndnoteText"/>
        <w:rPr>
          <w:rFonts w:asciiTheme="majorHAnsi" w:hAnsiTheme="majorHAnsi"/>
          <w:sz w:val="20"/>
          <w:szCs w:val="20"/>
        </w:rPr>
      </w:pPr>
      <w:r w:rsidRPr="00D976EF">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D976EF">
        <w:rPr>
          <w:rFonts w:asciiTheme="majorHAnsi" w:hAnsiTheme="majorHAnsi"/>
          <w:b/>
          <w:color w:val="FF0000"/>
          <w:sz w:val="20"/>
        </w:rPr>
        <w:t>6</w:t>
      </w:r>
      <w:r>
        <w:rPr>
          <w:rFonts w:asciiTheme="majorHAnsi" w:hAnsiTheme="majorHAnsi"/>
          <w:sz w:val="20"/>
          <w:szCs w:val="20"/>
        </w:rPr>
        <w:t>:</w:t>
      </w:r>
    </w:p>
    <w:p w14:paraId="06AFEB2F" w14:textId="196D5E25"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7E6461" w:rsidRPr="003204CA"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7E6461" w:rsidRPr="003204CA"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7E6461"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7E6461" w:rsidRPr="003204CA" w:rsidRDefault="007E6461" w:rsidP="003204CA">
      <w:pPr>
        <w:pStyle w:val="EndnoteText"/>
        <w:ind w:left="720"/>
        <w:rPr>
          <w:rFonts w:asciiTheme="majorHAnsi" w:hAnsiTheme="majorHAnsi"/>
          <w:sz w:val="20"/>
          <w:szCs w:val="20"/>
        </w:rPr>
      </w:pPr>
    </w:p>
  </w:endnote>
  <w:endnote w:id="6">
    <w:p w14:paraId="1522EA32" w14:textId="3BD081C5" w:rsidR="007E6461" w:rsidRPr="005F57B6" w:rsidRDefault="007E6461"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7E6461" w:rsidRDefault="007E6461" w:rsidP="005F57B6">
      <w:pPr>
        <w:pStyle w:val="EndnoteText"/>
        <w:ind w:left="720"/>
        <w:rPr>
          <w:rFonts w:asciiTheme="majorHAnsi" w:hAnsiTheme="majorHAnsi"/>
          <w:sz w:val="20"/>
          <w:szCs w:val="20"/>
        </w:rPr>
      </w:pPr>
      <w:r w:rsidRPr="00D976EF">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7E6461" w:rsidRPr="00B720EC" w:rsidRDefault="007E6461"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7E6461" w:rsidRDefault="007E6461"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7E6461" w:rsidRDefault="007E6461"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7E6461" w:rsidRPr="005F57B6" w:rsidRDefault="007E6461"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D976EF">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14:paraId="44C11008" w14:textId="77777777" w:rsidR="007E6461" w:rsidRDefault="007E6461"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8C2D" w14:textId="77777777" w:rsidR="005A2EE6" w:rsidRDefault="005A2EE6" w:rsidP="002E7E35">
      <w:r>
        <w:separator/>
      </w:r>
    </w:p>
  </w:footnote>
  <w:footnote w:type="continuationSeparator" w:id="0">
    <w:p w14:paraId="41ABA4B6" w14:textId="77777777" w:rsidR="005A2EE6" w:rsidRDefault="005A2EE6" w:rsidP="002E7E35">
      <w:r>
        <w:continuationSeparator/>
      </w:r>
    </w:p>
  </w:footnote>
  <w:footnote w:type="continuationNotice" w:id="1">
    <w:p w14:paraId="10F75286" w14:textId="77777777" w:rsidR="005A2EE6" w:rsidRDefault="005A2EE6"/>
  </w:footnote>
  <w:footnote w:id="2">
    <w:p w14:paraId="13DBC5A2" w14:textId="7EE86720" w:rsidR="007E6461" w:rsidRDefault="007E6461">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75239DBC" w14:textId="75CD9E84" w:rsidR="007E6461" w:rsidRDefault="007E6461">
      <w:pPr>
        <w:pStyle w:val="FootnoteText"/>
      </w:pPr>
      <w:r>
        <w:rPr>
          <w:rStyle w:val="FootnoteReference"/>
        </w:rPr>
        <w:footnoteRef/>
      </w:r>
      <w:r>
        <w:t xml:space="preserve"> Consumer Trust Board Resolution: </w:t>
      </w:r>
      <w:hyperlink r:id="rId2" w:anchor="6" w:history="1">
        <w:r>
          <w:rPr>
            <w:rStyle w:val="Hyperlink"/>
          </w:rPr>
          <w:t>http://www.icann.org/en/minutes/resolutions-10dec10-en.htm#6</w:t>
        </w:r>
      </w:hyperlink>
    </w:p>
  </w:footnote>
  <w:footnote w:id="4">
    <w:p w14:paraId="232A18B8" w14:textId="6236A6AA" w:rsidR="007E6461" w:rsidRDefault="007E6461">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7CEB81CC" w14:textId="7EE62017" w:rsidR="007E6461" w:rsidRDefault="007E6461">
      <w:pPr>
        <w:pStyle w:val="FootnoteText"/>
      </w:pPr>
      <w:r>
        <w:rPr>
          <w:rStyle w:val="FootnoteReference"/>
        </w:rPr>
        <w:footnoteRef/>
      </w:r>
      <w:r>
        <w:t xml:space="preserve"> Consumer Metrics Charter: </w:t>
      </w:r>
      <w:hyperlink r:id="rId4" w:history="1">
        <w:r>
          <w:rPr>
            <w:rStyle w:val="Hyperlink"/>
          </w:rPr>
          <w:t>https://community.icann.org/display/CMG/3.++WG+Charter</w:t>
        </w:r>
      </w:hyperlink>
    </w:p>
  </w:footnote>
  <w:footnote w:id="6">
    <w:p w14:paraId="58571E54" w14:textId="5E5C229D" w:rsidR="007E6461" w:rsidRDefault="007E6461">
      <w:pPr>
        <w:pStyle w:val="FootnoteText"/>
      </w:pPr>
      <w:r>
        <w:rPr>
          <w:rStyle w:val="FootnoteReference"/>
        </w:rPr>
        <w:footnoteRef/>
      </w:r>
      <w:r>
        <w:t xml:space="preserve"> ICM’s Disclosure:  </w:t>
      </w:r>
      <w:hyperlink r:id="rId5" w:history="1">
        <w:r>
          <w:rPr>
            <w:rStyle w:val="Hyperlink"/>
          </w:rPr>
          <w:t>http://www.icmregistry.com/about/sponsored-community/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3FFA" w14:textId="77777777" w:rsidR="007E6461" w:rsidRDefault="007E6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7D10"/>
    <w:rsid w:val="0003326B"/>
    <w:rsid w:val="000376DC"/>
    <w:rsid w:val="000418B0"/>
    <w:rsid w:val="0004256A"/>
    <w:rsid w:val="00050E1B"/>
    <w:rsid w:val="00055B38"/>
    <w:rsid w:val="00056270"/>
    <w:rsid w:val="0005627E"/>
    <w:rsid w:val="00061F76"/>
    <w:rsid w:val="000629CF"/>
    <w:rsid w:val="00065EC3"/>
    <w:rsid w:val="00072753"/>
    <w:rsid w:val="000812DC"/>
    <w:rsid w:val="000944AE"/>
    <w:rsid w:val="000953D1"/>
    <w:rsid w:val="000A1FC8"/>
    <w:rsid w:val="000C650B"/>
    <w:rsid w:val="000E384F"/>
    <w:rsid w:val="000E7FEE"/>
    <w:rsid w:val="000F0800"/>
    <w:rsid w:val="000F4125"/>
    <w:rsid w:val="000F4C64"/>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E1776"/>
    <w:rsid w:val="001E2A6C"/>
    <w:rsid w:val="001E58BB"/>
    <w:rsid w:val="001F114A"/>
    <w:rsid w:val="001F37B3"/>
    <w:rsid w:val="00217937"/>
    <w:rsid w:val="00220444"/>
    <w:rsid w:val="00242C4C"/>
    <w:rsid w:val="0024517F"/>
    <w:rsid w:val="00250457"/>
    <w:rsid w:val="002569BF"/>
    <w:rsid w:val="00262335"/>
    <w:rsid w:val="00274431"/>
    <w:rsid w:val="00283F94"/>
    <w:rsid w:val="002920A3"/>
    <w:rsid w:val="00296991"/>
    <w:rsid w:val="002D4685"/>
    <w:rsid w:val="002E6740"/>
    <w:rsid w:val="002E7E35"/>
    <w:rsid w:val="002F121F"/>
    <w:rsid w:val="002F5CBA"/>
    <w:rsid w:val="00301602"/>
    <w:rsid w:val="003204CA"/>
    <w:rsid w:val="003254D9"/>
    <w:rsid w:val="0033140F"/>
    <w:rsid w:val="00343FD0"/>
    <w:rsid w:val="00347026"/>
    <w:rsid w:val="00347843"/>
    <w:rsid w:val="00353842"/>
    <w:rsid w:val="00355057"/>
    <w:rsid w:val="003560B6"/>
    <w:rsid w:val="003611B7"/>
    <w:rsid w:val="003639C3"/>
    <w:rsid w:val="00374830"/>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9130B"/>
    <w:rsid w:val="00495FF2"/>
    <w:rsid w:val="004A138A"/>
    <w:rsid w:val="004B35DE"/>
    <w:rsid w:val="004B4383"/>
    <w:rsid w:val="004D4C12"/>
    <w:rsid w:val="004F1686"/>
    <w:rsid w:val="0050004A"/>
    <w:rsid w:val="005026D1"/>
    <w:rsid w:val="00503D46"/>
    <w:rsid w:val="00510161"/>
    <w:rsid w:val="00527500"/>
    <w:rsid w:val="005279DE"/>
    <w:rsid w:val="00535897"/>
    <w:rsid w:val="005526A1"/>
    <w:rsid w:val="00553269"/>
    <w:rsid w:val="0055502C"/>
    <w:rsid w:val="00561B2F"/>
    <w:rsid w:val="0057243E"/>
    <w:rsid w:val="00584238"/>
    <w:rsid w:val="0058423B"/>
    <w:rsid w:val="00587F68"/>
    <w:rsid w:val="00591A81"/>
    <w:rsid w:val="0059570B"/>
    <w:rsid w:val="005A0943"/>
    <w:rsid w:val="005A2EE6"/>
    <w:rsid w:val="005B122B"/>
    <w:rsid w:val="005F57B6"/>
    <w:rsid w:val="005F63A9"/>
    <w:rsid w:val="006100B5"/>
    <w:rsid w:val="00625E4B"/>
    <w:rsid w:val="00630F3D"/>
    <w:rsid w:val="00634185"/>
    <w:rsid w:val="006372B6"/>
    <w:rsid w:val="006447BE"/>
    <w:rsid w:val="00646CE3"/>
    <w:rsid w:val="00653354"/>
    <w:rsid w:val="00660ED1"/>
    <w:rsid w:val="00663C6B"/>
    <w:rsid w:val="0066499A"/>
    <w:rsid w:val="00673C72"/>
    <w:rsid w:val="0068087F"/>
    <w:rsid w:val="006B0EC9"/>
    <w:rsid w:val="006B7041"/>
    <w:rsid w:val="006C2E08"/>
    <w:rsid w:val="006D6378"/>
    <w:rsid w:val="006E2F36"/>
    <w:rsid w:val="006E4015"/>
    <w:rsid w:val="006F0912"/>
    <w:rsid w:val="006F52BF"/>
    <w:rsid w:val="0070200A"/>
    <w:rsid w:val="00704751"/>
    <w:rsid w:val="00705EF1"/>
    <w:rsid w:val="00741A44"/>
    <w:rsid w:val="007516A3"/>
    <w:rsid w:val="00761C4E"/>
    <w:rsid w:val="007669F2"/>
    <w:rsid w:val="00767114"/>
    <w:rsid w:val="00767514"/>
    <w:rsid w:val="007A1220"/>
    <w:rsid w:val="007A4306"/>
    <w:rsid w:val="007B29A1"/>
    <w:rsid w:val="007C26A9"/>
    <w:rsid w:val="007C4285"/>
    <w:rsid w:val="007C7314"/>
    <w:rsid w:val="007D0AF0"/>
    <w:rsid w:val="007D6351"/>
    <w:rsid w:val="007E13E6"/>
    <w:rsid w:val="007E2787"/>
    <w:rsid w:val="007E281E"/>
    <w:rsid w:val="007E6461"/>
    <w:rsid w:val="007F2E37"/>
    <w:rsid w:val="007F4A74"/>
    <w:rsid w:val="00806303"/>
    <w:rsid w:val="00825A9B"/>
    <w:rsid w:val="00831C67"/>
    <w:rsid w:val="0084344C"/>
    <w:rsid w:val="00846082"/>
    <w:rsid w:val="008475D6"/>
    <w:rsid w:val="00856AEF"/>
    <w:rsid w:val="008571FE"/>
    <w:rsid w:val="0086314E"/>
    <w:rsid w:val="00871F9C"/>
    <w:rsid w:val="00887A6F"/>
    <w:rsid w:val="00890A94"/>
    <w:rsid w:val="008C345B"/>
    <w:rsid w:val="008C5EE9"/>
    <w:rsid w:val="008D4747"/>
    <w:rsid w:val="008F2D58"/>
    <w:rsid w:val="008F6438"/>
    <w:rsid w:val="009008FA"/>
    <w:rsid w:val="009028E3"/>
    <w:rsid w:val="00910825"/>
    <w:rsid w:val="009771F3"/>
    <w:rsid w:val="0099308F"/>
    <w:rsid w:val="009B0F22"/>
    <w:rsid w:val="009B2A2A"/>
    <w:rsid w:val="009B6223"/>
    <w:rsid w:val="009B6A90"/>
    <w:rsid w:val="009C2FD9"/>
    <w:rsid w:val="009D3566"/>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1D"/>
    <w:rsid w:val="00A8783A"/>
    <w:rsid w:val="00AA3354"/>
    <w:rsid w:val="00AA3DC4"/>
    <w:rsid w:val="00AB2B4B"/>
    <w:rsid w:val="00AB5398"/>
    <w:rsid w:val="00AC1AF7"/>
    <w:rsid w:val="00AC4C31"/>
    <w:rsid w:val="00AC4FF1"/>
    <w:rsid w:val="00AD5C36"/>
    <w:rsid w:val="00AE2198"/>
    <w:rsid w:val="00AE4BA2"/>
    <w:rsid w:val="00B04064"/>
    <w:rsid w:val="00B33DD9"/>
    <w:rsid w:val="00B34398"/>
    <w:rsid w:val="00B54A72"/>
    <w:rsid w:val="00B56C4A"/>
    <w:rsid w:val="00B668CB"/>
    <w:rsid w:val="00B720EC"/>
    <w:rsid w:val="00B731B2"/>
    <w:rsid w:val="00B808D9"/>
    <w:rsid w:val="00BC23B6"/>
    <w:rsid w:val="00BC6C08"/>
    <w:rsid w:val="00BD216C"/>
    <w:rsid w:val="00BD75DB"/>
    <w:rsid w:val="00BE1189"/>
    <w:rsid w:val="00BF56DC"/>
    <w:rsid w:val="00C0245A"/>
    <w:rsid w:val="00C1103F"/>
    <w:rsid w:val="00C122CE"/>
    <w:rsid w:val="00C14F7F"/>
    <w:rsid w:val="00C51356"/>
    <w:rsid w:val="00C57730"/>
    <w:rsid w:val="00C62C95"/>
    <w:rsid w:val="00C64E8B"/>
    <w:rsid w:val="00C77F53"/>
    <w:rsid w:val="00C91A3B"/>
    <w:rsid w:val="00C9281B"/>
    <w:rsid w:val="00C97099"/>
    <w:rsid w:val="00CB1698"/>
    <w:rsid w:val="00CC64DA"/>
    <w:rsid w:val="00CC6A22"/>
    <w:rsid w:val="00CD4646"/>
    <w:rsid w:val="00CE5ECD"/>
    <w:rsid w:val="00CE7F3E"/>
    <w:rsid w:val="00D00805"/>
    <w:rsid w:val="00D341EB"/>
    <w:rsid w:val="00D53025"/>
    <w:rsid w:val="00D61D65"/>
    <w:rsid w:val="00D74A32"/>
    <w:rsid w:val="00D76D2B"/>
    <w:rsid w:val="00D81DB8"/>
    <w:rsid w:val="00D966AB"/>
    <w:rsid w:val="00D976EF"/>
    <w:rsid w:val="00D977B0"/>
    <w:rsid w:val="00DB361A"/>
    <w:rsid w:val="00DB3F97"/>
    <w:rsid w:val="00DE3990"/>
    <w:rsid w:val="00DF34B6"/>
    <w:rsid w:val="00E07FF6"/>
    <w:rsid w:val="00E16751"/>
    <w:rsid w:val="00E2329E"/>
    <w:rsid w:val="00E267B5"/>
    <w:rsid w:val="00E42913"/>
    <w:rsid w:val="00E4455B"/>
    <w:rsid w:val="00E55ECE"/>
    <w:rsid w:val="00E62893"/>
    <w:rsid w:val="00E62DFC"/>
    <w:rsid w:val="00E669E6"/>
    <w:rsid w:val="00E8383D"/>
    <w:rsid w:val="00E9562E"/>
    <w:rsid w:val="00EA642C"/>
    <w:rsid w:val="00EB2B68"/>
    <w:rsid w:val="00EB3A22"/>
    <w:rsid w:val="00EB40C9"/>
    <w:rsid w:val="00EB5108"/>
    <w:rsid w:val="00EC219E"/>
    <w:rsid w:val="00EC515D"/>
    <w:rsid w:val="00EC5189"/>
    <w:rsid w:val="00EC6C80"/>
    <w:rsid w:val="00ED0485"/>
    <w:rsid w:val="00ED505E"/>
    <w:rsid w:val="00ED6999"/>
    <w:rsid w:val="00EE2D81"/>
    <w:rsid w:val="00F10292"/>
    <w:rsid w:val="00F17C05"/>
    <w:rsid w:val="00F26140"/>
    <w:rsid w:val="00F42DAF"/>
    <w:rsid w:val="00F440DB"/>
    <w:rsid w:val="00F50A46"/>
    <w:rsid w:val="00F73CD6"/>
    <w:rsid w:val="00F77260"/>
    <w:rsid w:val="00F92288"/>
    <w:rsid w:val="00F94D8A"/>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registry.com/about/sponsored-commun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ann.org/en/minutes/resolutions-10dec10-en.htm" TargetMode="Externa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5" Type="http://schemas.openxmlformats.org/officeDocument/2006/relationships/hyperlink" Target="http://www.icmregistry.com/about/sponsored-community/" TargetMode="External"/><Relationship Id="rId4" Type="http://schemas.openxmlformats.org/officeDocument/2006/relationships/hyperlink" Target="https://community.icann.org/display/CMG/3.++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2583-D3FD-420C-B181-08A993B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41179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3</cp:revision>
  <cp:lastPrinted>2012-02-15T14:17:00Z</cp:lastPrinted>
  <dcterms:created xsi:type="dcterms:W3CDTF">2012-08-12T18:10:00Z</dcterms:created>
  <dcterms:modified xsi:type="dcterms:W3CDTF">2012-08-12T18:10:00Z</dcterms:modified>
</cp:coreProperties>
</file>