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E7CEF" w14:textId="77777777" w:rsidR="00607B94" w:rsidRPr="00900319" w:rsidRDefault="007E3A53" w:rsidP="00607B94">
      <w:pPr>
        <w:pBdr>
          <w:bottom w:val="single" w:sz="4" w:space="1" w:color="auto"/>
        </w:pBdr>
        <w:contextualSpacing/>
        <w:rPr>
          <w:rFonts w:ascii="Calibri" w:hAnsi="Calibri"/>
          <w:b/>
          <w:sz w:val="20"/>
        </w:rPr>
      </w:pPr>
      <w:r w:rsidRPr="00900319">
        <w:rPr>
          <w:rFonts w:ascii="Calibri" w:hAnsi="Calibri"/>
          <w:b/>
          <w:sz w:val="20"/>
        </w:rPr>
        <w:t xml:space="preserve">IRTP Part D </w:t>
      </w:r>
      <w:r w:rsidR="00804F28" w:rsidRPr="00900319">
        <w:rPr>
          <w:rFonts w:ascii="Calibri" w:hAnsi="Calibri"/>
          <w:b/>
          <w:sz w:val="20"/>
        </w:rPr>
        <w:t>PDP Working Group</w:t>
      </w:r>
      <w:r w:rsidR="00DF1189" w:rsidRPr="00900319">
        <w:rPr>
          <w:rFonts w:ascii="Calibri" w:hAnsi="Calibri"/>
          <w:b/>
          <w:sz w:val="20"/>
        </w:rPr>
        <w:t xml:space="preserve"> </w:t>
      </w:r>
      <w:r w:rsidR="00607B94" w:rsidRPr="00900319">
        <w:rPr>
          <w:rFonts w:ascii="Calibri" w:hAnsi="Calibri"/>
          <w:b/>
          <w:sz w:val="20"/>
        </w:rPr>
        <w:t xml:space="preserve">– </w:t>
      </w:r>
      <w:r w:rsidR="00804F28" w:rsidRPr="00900319">
        <w:rPr>
          <w:rFonts w:ascii="Calibri" w:hAnsi="Calibri"/>
          <w:b/>
          <w:sz w:val="20"/>
        </w:rPr>
        <w:t>SG / C Input</w:t>
      </w:r>
      <w:r w:rsidR="00607B94" w:rsidRPr="00900319">
        <w:rPr>
          <w:rFonts w:ascii="Calibri" w:hAnsi="Calibri"/>
          <w:b/>
          <w:sz w:val="20"/>
        </w:rPr>
        <w:t xml:space="preserve"> Review Tool</w:t>
      </w:r>
    </w:p>
    <w:p w14:paraId="76EBBFE0" w14:textId="77777777" w:rsidR="00607B94" w:rsidRPr="00900319" w:rsidRDefault="006F0CF5" w:rsidP="00607B94">
      <w:pPr>
        <w:pBdr>
          <w:bottom w:val="single" w:sz="4" w:space="1" w:color="auto"/>
        </w:pBdr>
        <w:contextualSpacing/>
        <w:rPr>
          <w:rFonts w:ascii="Calibri" w:hAnsi="Calibri"/>
          <w:b/>
          <w:sz w:val="20"/>
        </w:rPr>
      </w:pPr>
      <w:r>
        <w:rPr>
          <w:rFonts w:ascii="Calibri" w:hAnsi="Calibri"/>
          <w:b/>
          <w:sz w:val="20"/>
        </w:rPr>
        <w:t>05 June 2013</w:t>
      </w:r>
    </w:p>
    <w:p w14:paraId="4D2CF986" w14:textId="77777777" w:rsidR="00607B94" w:rsidRPr="00900319" w:rsidRDefault="00607B94" w:rsidP="00607B94">
      <w:pPr>
        <w:contextualSpacing/>
        <w:rPr>
          <w:rFonts w:ascii="Calibri" w:hAnsi="Calibri"/>
          <w:b/>
          <w:sz w:val="20"/>
        </w:rPr>
      </w:pPr>
    </w:p>
    <w:p w14:paraId="516D5AFA" w14:textId="77777777" w:rsidR="00331811" w:rsidRPr="00900319" w:rsidRDefault="00331811" w:rsidP="00607B94">
      <w:pPr>
        <w:contextualSpacing/>
        <w:rPr>
          <w:rFonts w:ascii="Calibri" w:hAnsi="Calibri"/>
          <w:sz w:val="20"/>
        </w:rPr>
      </w:pPr>
      <w:r w:rsidRPr="00900319">
        <w:rPr>
          <w:rFonts w:ascii="Calibri" w:hAnsi="Calibri"/>
          <w:sz w:val="20"/>
        </w:rPr>
        <w:t xml:space="preserve">For complete </w:t>
      </w:r>
      <w:r w:rsidR="0018403B" w:rsidRPr="00900319">
        <w:rPr>
          <w:rFonts w:ascii="Calibri" w:hAnsi="Calibri"/>
          <w:sz w:val="20"/>
        </w:rPr>
        <w:t xml:space="preserve">overview of comments received, please </w:t>
      </w:r>
      <w:r w:rsidR="00B61E65" w:rsidRPr="00900319">
        <w:rPr>
          <w:rFonts w:ascii="Calibri" w:hAnsi="Calibri"/>
          <w:sz w:val="20"/>
        </w:rPr>
        <w:t xml:space="preserve">see </w:t>
      </w:r>
      <w:r w:rsidR="00804F28" w:rsidRPr="00900319">
        <w:rPr>
          <w:rFonts w:ascii="Calibri" w:hAnsi="Calibri"/>
          <w:sz w:val="20"/>
        </w:rPr>
        <w:t xml:space="preserve"> </w:t>
      </w:r>
      <w:hyperlink r:id="rId8" w:history="1">
        <w:r w:rsidR="007E3A53" w:rsidRPr="00900319">
          <w:rPr>
            <w:rStyle w:val="Hyperlink"/>
            <w:rFonts w:ascii="Calibri" w:hAnsi="Calibri"/>
            <w:sz w:val="20"/>
          </w:rPr>
          <w:t>https://community.icann.org/pages/viewpage.action?pageId=41880128</w:t>
        </w:r>
      </w:hyperlink>
      <w:r w:rsidR="007E3A53" w:rsidRPr="00900319">
        <w:rPr>
          <w:rFonts w:ascii="Calibri" w:hAnsi="Calibri"/>
          <w:sz w:val="20"/>
        </w:rPr>
        <w:t xml:space="preserve"> </w:t>
      </w:r>
    </w:p>
    <w:p w14:paraId="6B4805BB" w14:textId="77777777" w:rsidR="00331811" w:rsidRPr="00900319" w:rsidRDefault="00331811" w:rsidP="00607B94">
      <w:pPr>
        <w:contextualSpacing/>
        <w:rPr>
          <w:rFonts w:ascii="Calibri" w:hAnsi="Calibri"/>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4563"/>
        <w:gridCol w:w="810"/>
        <w:gridCol w:w="6300"/>
        <w:gridCol w:w="332"/>
        <w:gridCol w:w="656"/>
      </w:tblGrid>
      <w:tr w:rsidR="009A00C5" w:rsidRPr="00900319" w14:paraId="72C53873" w14:textId="77777777" w:rsidTr="009D3209">
        <w:trPr>
          <w:cantSplit/>
          <w:tblHeader/>
        </w:trPr>
        <w:tc>
          <w:tcPr>
            <w:tcW w:w="675" w:type="dxa"/>
            <w:tcBorders>
              <w:bottom w:val="single" w:sz="4" w:space="0" w:color="000000"/>
            </w:tcBorders>
            <w:shd w:val="clear" w:color="auto" w:fill="CCCCCC"/>
          </w:tcPr>
          <w:p w14:paraId="4510B9C4" w14:textId="77777777" w:rsidR="00607B94" w:rsidRPr="00900319" w:rsidRDefault="00975625" w:rsidP="00607B94">
            <w:pPr>
              <w:contextualSpacing/>
              <w:rPr>
                <w:rFonts w:ascii="Calibri" w:hAnsi="Calibri"/>
                <w:b/>
                <w:sz w:val="20"/>
              </w:rPr>
            </w:pPr>
            <w:r w:rsidRPr="00900319">
              <w:rPr>
                <w:rFonts w:ascii="Calibri" w:hAnsi="Calibri"/>
                <w:b/>
                <w:sz w:val="20"/>
              </w:rPr>
              <w:t>#</w:t>
            </w:r>
          </w:p>
        </w:tc>
        <w:tc>
          <w:tcPr>
            <w:tcW w:w="4563" w:type="dxa"/>
            <w:tcBorders>
              <w:bottom w:val="single" w:sz="4" w:space="0" w:color="000000"/>
            </w:tcBorders>
            <w:shd w:val="clear" w:color="auto" w:fill="CCCCCC"/>
          </w:tcPr>
          <w:p w14:paraId="2DB35E29" w14:textId="77777777" w:rsidR="00607B94" w:rsidRPr="00900319" w:rsidRDefault="00607B94" w:rsidP="00607B94">
            <w:pPr>
              <w:contextualSpacing/>
              <w:rPr>
                <w:rFonts w:ascii="Calibri" w:hAnsi="Calibri"/>
                <w:b/>
                <w:sz w:val="20"/>
              </w:rPr>
            </w:pPr>
            <w:r w:rsidRPr="00900319">
              <w:rPr>
                <w:rFonts w:ascii="Calibri" w:hAnsi="Calibri"/>
                <w:b/>
                <w:sz w:val="20"/>
              </w:rPr>
              <w:t>Comment</w:t>
            </w:r>
          </w:p>
        </w:tc>
        <w:tc>
          <w:tcPr>
            <w:tcW w:w="810" w:type="dxa"/>
            <w:tcBorders>
              <w:bottom w:val="single" w:sz="4" w:space="0" w:color="000000"/>
            </w:tcBorders>
            <w:shd w:val="clear" w:color="auto" w:fill="CCCCCC"/>
          </w:tcPr>
          <w:p w14:paraId="55300916" w14:textId="77777777" w:rsidR="00607B94" w:rsidRPr="00900319" w:rsidRDefault="00607B94" w:rsidP="00607B94">
            <w:pPr>
              <w:contextualSpacing/>
              <w:rPr>
                <w:rFonts w:ascii="Calibri" w:hAnsi="Calibri"/>
                <w:b/>
                <w:sz w:val="20"/>
              </w:rPr>
            </w:pPr>
            <w:r w:rsidRPr="00900319">
              <w:rPr>
                <w:rFonts w:ascii="Calibri" w:hAnsi="Calibri"/>
                <w:b/>
                <w:sz w:val="20"/>
              </w:rPr>
              <w:t>Who / Where</w:t>
            </w:r>
          </w:p>
        </w:tc>
        <w:tc>
          <w:tcPr>
            <w:tcW w:w="6300" w:type="dxa"/>
            <w:tcBorders>
              <w:bottom w:val="single" w:sz="4" w:space="0" w:color="000000"/>
            </w:tcBorders>
            <w:shd w:val="clear" w:color="auto" w:fill="CCCCCC"/>
          </w:tcPr>
          <w:p w14:paraId="2ED961B1" w14:textId="77777777" w:rsidR="00607B94" w:rsidRPr="00900319" w:rsidRDefault="00607B94" w:rsidP="00607B94">
            <w:pPr>
              <w:contextualSpacing/>
              <w:rPr>
                <w:rFonts w:ascii="Calibri" w:hAnsi="Calibri"/>
                <w:b/>
                <w:sz w:val="20"/>
              </w:rPr>
            </w:pPr>
            <w:r w:rsidRPr="00900319">
              <w:rPr>
                <w:rFonts w:ascii="Calibri" w:hAnsi="Calibri"/>
                <w:b/>
                <w:sz w:val="20"/>
              </w:rPr>
              <w:t>WG Response</w:t>
            </w:r>
          </w:p>
        </w:tc>
        <w:tc>
          <w:tcPr>
            <w:tcW w:w="988" w:type="dxa"/>
            <w:gridSpan w:val="2"/>
            <w:tcBorders>
              <w:bottom w:val="single" w:sz="4" w:space="0" w:color="000000"/>
            </w:tcBorders>
            <w:shd w:val="clear" w:color="auto" w:fill="CCCCCC"/>
          </w:tcPr>
          <w:p w14:paraId="64858ED4" w14:textId="77777777" w:rsidR="00607B94" w:rsidRPr="00900319" w:rsidRDefault="00607B94" w:rsidP="00607B94">
            <w:pPr>
              <w:contextualSpacing/>
              <w:rPr>
                <w:rFonts w:ascii="Calibri" w:hAnsi="Calibri"/>
                <w:b/>
                <w:sz w:val="20"/>
              </w:rPr>
            </w:pPr>
            <w:r w:rsidRPr="00900319">
              <w:rPr>
                <w:rFonts w:ascii="Calibri" w:hAnsi="Calibri"/>
                <w:b/>
                <w:sz w:val="20"/>
              </w:rPr>
              <w:t>Recommended Action</w:t>
            </w:r>
          </w:p>
        </w:tc>
      </w:tr>
      <w:tr w:rsidR="00DF1189" w:rsidRPr="00900319" w14:paraId="6E4996B9" w14:textId="77777777" w:rsidTr="000A0C23">
        <w:tc>
          <w:tcPr>
            <w:tcW w:w="13336" w:type="dxa"/>
            <w:gridSpan w:val="6"/>
            <w:shd w:val="clear" w:color="auto" w:fill="E0E0E0"/>
          </w:tcPr>
          <w:p w14:paraId="13138107" w14:textId="77777777" w:rsidR="00DF1189" w:rsidRPr="00900319" w:rsidRDefault="00313823" w:rsidP="00804F28">
            <w:pPr>
              <w:rPr>
                <w:rFonts w:ascii="Calibri" w:hAnsi="Calibri"/>
                <w:b/>
                <w:sz w:val="20"/>
                <w:szCs w:val="22"/>
              </w:rPr>
            </w:pPr>
            <w:r w:rsidRPr="00900319">
              <w:rPr>
                <w:rFonts w:ascii="Calibri" w:hAnsi="Calibri"/>
                <w:b/>
                <w:sz w:val="20"/>
                <w:szCs w:val="22"/>
              </w:rPr>
              <w:t xml:space="preserve">a) </w:t>
            </w:r>
            <w:r w:rsidR="007E3A53" w:rsidRPr="00900319">
              <w:rPr>
                <w:rFonts w:ascii="Calibri" w:hAnsi="Calibri"/>
                <w:b/>
                <w:sz w:val="20"/>
                <w:szCs w:val="22"/>
              </w:rPr>
              <w:t>With regard to the IRTP, should reporting requirements for registries and dispute provider be developed in order to make precedent and trend information available to the community and allow reference to past cases in dispute submissions?</w:t>
            </w:r>
          </w:p>
        </w:tc>
      </w:tr>
      <w:tr w:rsidR="009A00C5" w:rsidRPr="00900319" w14:paraId="5C966216" w14:textId="77777777" w:rsidTr="009D3209">
        <w:tc>
          <w:tcPr>
            <w:tcW w:w="675" w:type="dxa"/>
          </w:tcPr>
          <w:p w14:paraId="1828255B" w14:textId="77777777" w:rsidR="00607B94" w:rsidRPr="00900319" w:rsidRDefault="00607B94" w:rsidP="00607B94">
            <w:pPr>
              <w:numPr>
                <w:ilvl w:val="0"/>
                <w:numId w:val="4"/>
              </w:numPr>
              <w:contextualSpacing/>
              <w:rPr>
                <w:rFonts w:ascii="Calibri" w:hAnsi="Calibri"/>
                <w:b/>
                <w:sz w:val="20"/>
              </w:rPr>
            </w:pPr>
          </w:p>
        </w:tc>
        <w:tc>
          <w:tcPr>
            <w:tcW w:w="4563" w:type="dxa"/>
          </w:tcPr>
          <w:p w14:paraId="572DC822" w14:textId="77777777" w:rsidR="007E3A53" w:rsidRPr="00900319" w:rsidRDefault="007E3A53" w:rsidP="009178C2">
            <w:pPr>
              <w:keepNext/>
              <w:spacing w:line="276" w:lineRule="auto"/>
              <w:rPr>
                <w:rFonts w:ascii="Calibri" w:hAnsi="Calibri" w:cs="Verdana"/>
                <w:sz w:val="20"/>
              </w:rPr>
            </w:pPr>
            <w:r w:rsidRPr="00900319">
              <w:rPr>
                <w:rFonts w:ascii="Calibri" w:hAnsi="Calibri" w:cs="Verdana"/>
                <w:sz w:val="20"/>
              </w:rPr>
              <w:t xml:space="preserve">BC considers that reporting requirements for registries and dispute providers </w:t>
            </w:r>
            <w:r w:rsidRPr="00900319">
              <w:rPr>
                <w:rFonts w:ascii="Calibri" w:hAnsi="Calibri" w:cs="Verdana"/>
                <w:b/>
                <w:sz w:val="20"/>
              </w:rPr>
              <w:t>should</w:t>
            </w:r>
            <w:r w:rsidRPr="00900319">
              <w:rPr>
                <w:rFonts w:ascii="Calibri" w:hAnsi="Calibri" w:cs="Verdana"/>
                <w:sz w:val="20"/>
              </w:rPr>
              <w:t xml:space="preserve"> be developed in order to make precedent and trend information available to the community and allow reference to past cases in dispute submissions</w:t>
            </w:r>
          </w:p>
          <w:p w14:paraId="1263A369" w14:textId="77777777" w:rsidR="00607B94" w:rsidRPr="00900319" w:rsidRDefault="00607B94" w:rsidP="00607B94">
            <w:pPr>
              <w:pStyle w:val="ListParagraph"/>
              <w:ind w:left="0"/>
              <w:rPr>
                <w:rFonts w:ascii="Calibri" w:hAnsi="Calibri"/>
                <w:sz w:val="20"/>
              </w:rPr>
            </w:pPr>
          </w:p>
        </w:tc>
        <w:tc>
          <w:tcPr>
            <w:tcW w:w="810" w:type="dxa"/>
          </w:tcPr>
          <w:p w14:paraId="1380AB92" w14:textId="77777777" w:rsidR="00607B94" w:rsidRPr="00900319" w:rsidRDefault="007E3A53" w:rsidP="00607B94">
            <w:pPr>
              <w:contextualSpacing/>
              <w:rPr>
                <w:rFonts w:ascii="Calibri" w:hAnsi="Calibri"/>
                <w:sz w:val="20"/>
              </w:rPr>
            </w:pPr>
            <w:r w:rsidRPr="00900319">
              <w:rPr>
                <w:rFonts w:ascii="Calibri" w:hAnsi="Calibri"/>
                <w:sz w:val="20"/>
              </w:rPr>
              <w:t>BC</w:t>
            </w:r>
          </w:p>
        </w:tc>
        <w:tc>
          <w:tcPr>
            <w:tcW w:w="6300" w:type="dxa"/>
          </w:tcPr>
          <w:p w14:paraId="4A42AAE6" w14:textId="77777777" w:rsidR="007A106E" w:rsidRPr="00900319" w:rsidRDefault="003F639D" w:rsidP="00F652A6">
            <w:pPr>
              <w:numPr>
                <w:ilvl w:val="0"/>
                <w:numId w:val="19"/>
              </w:numPr>
              <w:ind w:left="303" w:hanging="180"/>
              <w:contextualSpacing/>
              <w:rPr>
                <w:rFonts w:ascii="Calibri" w:hAnsi="Calibri"/>
                <w:sz w:val="20"/>
              </w:rPr>
            </w:pPr>
            <w:r w:rsidRPr="00900319">
              <w:rPr>
                <w:rFonts w:ascii="Calibri" w:hAnsi="Calibri"/>
                <w:sz w:val="20"/>
              </w:rPr>
              <w:t>BC is restating the charter question in the affirmative</w:t>
            </w:r>
          </w:p>
        </w:tc>
        <w:tc>
          <w:tcPr>
            <w:tcW w:w="988" w:type="dxa"/>
            <w:gridSpan w:val="2"/>
          </w:tcPr>
          <w:p w14:paraId="7AA30F7F" w14:textId="77777777" w:rsidR="00607B94" w:rsidRPr="00900319" w:rsidRDefault="00607B94" w:rsidP="00607B94">
            <w:pPr>
              <w:contextualSpacing/>
              <w:rPr>
                <w:rFonts w:ascii="Calibri" w:hAnsi="Calibri"/>
                <w:b/>
                <w:sz w:val="20"/>
              </w:rPr>
            </w:pPr>
          </w:p>
        </w:tc>
      </w:tr>
      <w:tr w:rsidR="009A00C5" w:rsidRPr="00900319" w14:paraId="0E32C694" w14:textId="77777777" w:rsidTr="009D3209">
        <w:tc>
          <w:tcPr>
            <w:tcW w:w="675" w:type="dxa"/>
          </w:tcPr>
          <w:p w14:paraId="103DD603" w14:textId="77777777" w:rsidR="00F20DBC" w:rsidRPr="00900319" w:rsidRDefault="00F20DBC" w:rsidP="00607B94">
            <w:pPr>
              <w:numPr>
                <w:ilvl w:val="0"/>
                <w:numId w:val="4"/>
              </w:numPr>
              <w:contextualSpacing/>
              <w:rPr>
                <w:rFonts w:ascii="Calibri" w:hAnsi="Calibri"/>
                <w:b/>
                <w:sz w:val="20"/>
              </w:rPr>
            </w:pPr>
          </w:p>
        </w:tc>
        <w:tc>
          <w:tcPr>
            <w:tcW w:w="4563" w:type="dxa"/>
          </w:tcPr>
          <w:p w14:paraId="2F47F9C6" w14:textId="77777777" w:rsidR="00313823" w:rsidRPr="00900319" w:rsidRDefault="00313823" w:rsidP="00313823">
            <w:pPr>
              <w:widowControl w:val="0"/>
              <w:autoSpaceDE w:val="0"/>
              <w:autoSpaceDN w:val="0"/>
              <w:adjustRightInd w:val="0"/>
              <w:spacing w:after="240"/>
              <w:rPr>
                <w:rFonts w:ascii="Calibri" w:hAnsi="Calibri" w:cs="Verdana"/>
                <w:sz w:val="20"/>
              </w:rPr>
            </w:pPr>
            <w:r w:rsidRPr="00900319">
              <w:rPr>
                <w:rFonts w:ascii="Calibri" w:hAnsi="Calibri" w:cs="Verdana"/>
                <w:sz w:val="20"/>
              </w:rPr>
              <w:t>The RySG is supportive of standardized reporting requirements for completed TDRP cases and allowing reference to past cases in dispute submissions as this would be consistent with UDRP panel decisions. Any disclosure of non-public information regarding transfers between registrars should be approved in writing by all registrars involved in the transfer dispute case prior to disclosure. Further, all dispute resolution providers should have input into and approval of the reporting requirements prior to implementation.</w:t>
            </w:r>
          </w:p>
          <w:p w14:paraId="7745DBBF" w14:textId="77777777" w:rsidR="00F20DBC" w:rsidRPr="00900319" w:rsidRDefault="00313823" w:rsidP="00313823">
            <w:pPr>
              <w:rPr>
                <w:rFonts w:ascii="Calibri" w:hAnsi="Calibri" w:cs="Verdana"/>
                <w:sz w:val="20"/>
                <w:szCs w:val="22"/>
              </w:rPr>
            </w:pPr>
            <w:r w:rsidRPr="00900319">
              <w:rPr>
                <w:rFonts w:ascii="Calibri" w:hAnsi="Calibri" w:cs="Verdana"/>
                <w:sz w:val="20"/>
              </w:rPr>
              <w:t xml:space="preserve">The TDRP encourages registrars to resolve disputes amongst themselves prior to initiating a dispute case at either the first or second level. Given the low number of transfer dispute cases filed at the registry </w:t>
            </w:r>
            <w:r w:rsidRPr="00900319">
              <w:rPr>
                <w:rFonts w:ascii="Calibri" w:hAnsi="Calibri" w:cs="Verdana"/>
                <w:sz w:val="20"/>
              </w:rPr>
              <w:lastRenderedPageBreak/>
              <w:t xml:space="preserve">level (only 145 disputes filed across all registries between October 2009 and September 2012), it seems that the majority of disputes are being resolved prior to going to the first (registry operators) or second level dispute resolution providers. Even with the very small number of disputes as compared with the number of transfers that are processed each day, all registry operators must maintain a process and experienced personnel to handle transfer dispute cases should any be received. With the introduction of new gTLDs, the number of registry operators will increase dramatically. </w:t>
            </w:r>
            <w:r w:rsidRPr="009A00C5">
              <w:rPr>
                <w:rFonts w:ascii="Calibri" w:hAnsi="Calibri" w:cs="Verdana"/>
                <w:b/>
                <w:sz w:val="20"/>
              </w:rPr>
              <w:t>Each of the registry operators may interpret and apply the TDRP differently</w:t>
            </w:r>
            <w:r w:rsidRPr="00900319">
              <w:rPr>
                <w:rFonts w:ascii="Calibri" w:hAnsi="Calibri" w:cs="Verdana"/>
                <w:sz w:val="20"/>
              </w:rPr>
              <w:t>. It may be time to eliminate the first level dispute resolution option managed at the registry level and have all disputes that are unable to be resolved at the registrar level be submitted to a second level dispute resolution provider. Currently there are two approved TDRP second level dispute resolution providers – Asian Domain Name Dispute Resolution Centre and The National Arbitration Forum (both of which are also approved dispute resolution providers for the UDRP). Consistent handling of cases by subject matter experts has the potential to improve the overall dispute resolution process.</w:t>
            </w:r>
          </w:p>
        </w:tc>
        <w:tc>
          <w:tcPr>
            <w:tcW w:w="810" w:type="dxa"/>
          </w:tcPr>
          <w:p w14:paraId="4E0C1EC7" w14:textId="77777777" w:rsidR="00F20DBC" w:rsidRPr="00900319" w:rsidRDefault="00313823" w:rsidP="00607B94">
            <w:pPr>
              <w:contextualSpacing/>
              <w:rPr>
                <w:rFonts w:ascii="Calibri" w:hAnsi="Calibri"/>
                <w:sz w:val="20"/>
              </w:rPr>
            </w:pPr>
            <w:r w:rsidRPr="00900319">
              <w:rPr>
                <w:rFonts w:ascii="Calibri" w:hAnsi="Calibri"/>
                <w:sz w:val="20"/>
              </w:rPr>
              <w:lastRenderedPageBreak/>
              <w:t xml:space="preserve">RySG </w:t>
            </w:r>
            <w:r w:rsidRPr="00900319">
              <w:rPr>
                <w:rFonts w:ascii="Calibri" w:hAnsi="Calibri"/>
                <w:sz w:val="14"/>
                <w:szCs w:val="16"/>
              </w:rPr>
              <w:t>(submitted in response to the Preliminary Issue Report)</w:t>
            </w:r>
          </w:p>
        </w:tc>
        <w:tc>
          <w:tcPr>
            <w:tcW w:w="6300" w:type="dxa"/>
          </w:tcPr>
          <w:p w14:paraId="4205A3D1" w14:textId="77777777" w:rsidR="00F20DBC" w:rsidRPr="00900319" w:rsidRDefault="003F639D" w:rsidP="00900319">
            <w:pPr>
              <w:numPr>
                <w:ilvl w:val="0"/>
                <w:numId w:val="18"/>
              </w:numPr>
              <w:ind w:left="303" w:hanging="180"/>
              <w:contextualSpacing/>
              <w:rPr>
                <w:rFonts w:ascii="Calibri" w:hAnsi="Calibri"/>
                <w:sz w:val="20"/>
              </w:rPr>
            </w:pPr>
            <w:r w:rsidRPr="00900319">
              <w:rPr>
                <w:rFonts w:ascii="Calibri" w:hAnsi="Calibri"/>
                <w:sz w:val="20"/>
              </w:rPr>
              <w:t>Registries opinion should be considered especially important since the burden would fall onto them.</w:t>
            </w:r>
          </w:p>
          <w:p w14:paraId="6D6A5580" w14:textId="77777777" w:rsidR="003F639D" w:rsidRPr="009A00C5" w:rsidRDefault="00AC0AA0" w:rsidP="00900319">
            <w:pPr>
              <w:numPr>
                <w:ilvl w:val="0"/>
                <w:numId w:val="18"/>
              </w:numPr>
              <w:ind w:left="303" w:hanging="180"/>
              <w:contextualSpacing/>
              <w:rPr>
                <w:rFonts w:ascii="Calibri" w:hAnsi="Calibri"/>
                <w:sz w:val="20"/>
              </w:rPr>
            </w:pPr>
            <w:r w:rsidRPr="009A00C5">
              <w:rPr>
                <w:rFonts w:ascii="Calibri" w:hAnsi="Calibri"/>
                <w:sz w:val="20"/>
              </w:rPr>
              <w:t xml:space="preserve">Registries are supportive of standardized reporting requirements and allowing for </w:t>
            </w:r>
            <w:r w:rsidR="00783FC3" w:rsidRPr="009A00C5">
              <w:rPr>
                <w:rFonts w:ascii="Calibri" w:hAnsi="Calibri"/>
                <w:sz w:val="20"/>
              </w:rPr>
              <w:t>references</w:t>
            </w:r>
            <w:r w:rsidRPr="009A00C5">
              <w:rPr>
                <w:rFonts w:ascii="Calibri" w:hAnsi="Calibri"/>
                <w:sz w:val="20"/>
              </w:rPr>
              <w:t xml:space="preserve"> to past TDRP cases and dispute decisions</w:t>
            </w:r>
          </w:p>
          <w:p w14:paraId="235F01C5" w14:textId="77777777" w:rsidR="00AC0AA0" w:rsidRPr="009A00C5" w:rsidRDefault="00AC0AA0" w:rsidP="00900319">
            <w:pPr>
              <w:numPr>
                <w:ilvl w:val="0"/>
                <w:numId w:val="18"/>
              </w:numPr>
              <w:ind w:left="303" w:hanging="180"/>
              <w:contextualSpacing/>
              <w:rPr>
                <w:rFonts w:ascii="Calibri" w:hAnsi="Calibri"/>
                <w:b/>
                <w:sz w:val="20"/>
              </w:rPr>
            </w:pPr>
            <w:r w:rsidRPr="009A00C5">
              <w:rPr>
                <w:rFonts w:ascii="Calibri" w:hAnsi="Calibri"/>
                <w:sz w:val="20"/>
              </w:rPr>
              <w:t xml:space="preserve">The importance is to </w:t>
            </w:r>
            <w:r w:rsidRPr="009A00C5">
              <w:rPr>
                <w:rFonts w:ascii="Calibri" w:hAnsi="Calibri"/>
                <w:b/>
                <w:sz w:val="20"/>
              </w:rPr>
              <w:t>standardize the case data</w:t>
            </w:r>
          </w:p>
          <w:p w14:paraId="0ED39632" w14:textId="77777777" w:rsidR="00AC0AA0" w:rsidRPr="00900319" w:rsidRDefault="00AC0AA0" w:rsidP="00900319">
            <w:pPr>
              <w:numPr>
                <w:ilvl w:val="0"/>
                <w:numId w:val="18"/>
              </w:numPr>
              <w:ind w:left="303" w:hanging="180"/>
              <w:contextualSpacing/>
              <w:rPr>
                <w:rFonts w:ascii="Calibri" w:hAnsi="Calibri"/>
                <w:sz w:val="20"/>
              </w:rPr>
            </w:pPr>
            <w:r w:rsidRPr="009A00C5">
              <w:rPr>
                <w:rFonts w:ascii="Calibri" w:hAnsi="Calibri"/>
                <w:b/>
                <w:sz w:val="20"/>
              </w:rPr>
              <w:t xml:space="preserve">With the introduction of new gTLDs the number of registries will </w:t>
            </w:r>
            <w:r w:rsidR="00472320" w:rsidRPr="009A00C5">
              <w:rPr>
                <w:rFonts w:ascii="Calibri" w:hAnsi="Calibri"/>
                <w:b/>
                <w:sz w:val="20"/>
              </w:rPr>
              <w:t>increase</w:t>
            </w:r>
            <w:r w:rsidRPr="009A00C5">
              <w:rPr>
                <w:rFonts w:ascii="Calibri" w:hAnsi="Calibri"/>
                <w:b/>
                <w:sz w:val="20"/>
              </w:rPr>
              <w:t xml:space="preserve"> dramatically </w:t>
            </w:r>
            <w:r w:rsidRPr="00900319">
              <w:rPr>
                <w:rFonts w:ascii="Calibri" w:hAnsi="Calibri"/>
                <w:sz w:val="20"/>
              </w:rPr>
              <w:t>and a situation should be avoided whereby each registry interprets and applies the rules in a different manner</w:t>
            </w:r>
          </w:p>
          <w:p w14:paraId="6635B568" w14:textId="77777777" w:rsidR="00AC0AA0" w:rsidRPr="00900319" w:rsidRDefault="00AC0AA0" w:rsidP="00F652A6">
            <w:pPr>
              <w:numPr>
                <w:ilvl w:val="0"/>
                <w:numId w:val="18"/>
              </w:numPr>
              <w:ind w:left="303" w:hanging="180"/>
              <w:contextualSpacing/>
              <w:rPr>
                <w:rFonts w:ascii="Calibri" w:hAnsi="Calibri"/>
                <w:sz w:val="20"/>
              </w:rPr>
            </w:pPr>
            <w:r w:rsidRPr="00900319">
              <w:rPr>
                <w:rFonts w:ascii="Calibri" w:hAnsi="Calibri"/>
                <w:sz w:val="20"/>
              </w:rPr>
              <w:t xml:space="preserve">So </w:t>
            </w:r>
            <w:r w:rsidRPr="009A00C5">
              <w:rPr>
                <w:rFonts w:ascii="Calibri" w:hAnsi="Calibri"/>
                <w:b/>
                <w:sz w:val="20"/>
              </w:rPr>
              <w:t>the</w:t>
            </w:r>
            <w:r w:rsidR="00472320" w:rsidRPr="009A00C5">
              <w:rPr>
                <w:rFonts w:ascii="Calibri" w:hAnsi="Calibri"/>
                <w:b/>
                <w:sz w:val="20"/>
              </w:rPr>
              <w:t xml:space="preserve"> </w:t>
            </w:r>
            <w:r w:rsidRPr="009A00C5">
              <w:rPr>
                <w:rFonts w:ascii="Calibri" w:hAnsi="Calibri"/>
                <w:b/>
                <w:sz w:val="20"/>
              </w:rPr>
              <w:t>TDRP could be modified</w:t>
            </w:r>
            <w:r w:rsidRPr="00900319">
              <w:rPr>
                <w:rFonts w:ascii="Calibri" w:hAnsi="Calibri"/>
                <w:sz w:val="20"/>
              </w:rPr>
              <w:t xml:space="preserve"> to have a first level dispute among registrars and second level at the </w:t>
            </w:r>
            <w:r w:rsidR="00472320" w:rsidRPr="00900319">
              <w:rPr>
                <w:rFonts w:ascii="Calibri" w:hAnsi="Calibri"/>
                <w:sz w:val="20"/>
              </w:rPr>
              <w:t>dispute</w:t>
            </w:r>
            <w:r w:rsidRPr="00900319">
              <w:rPr>
                <w:rFonts w:ascii="Calibri" w:hAnsi="Calibri"/>
                <w:sz w:val="20"/>
              </w:rPr>
              <w:t xml:space="preserve"> provider level – </w:t>
            </w:r>
            <w:r w:rsidRPr="009A00C5">
              <w:rPr>
                <w:rFonts w:ascii="Calibri" w:hAnsi="Calibri"/>
                <w:b/>
                <w:sz w:val="20"/>
              </w:rPr>
              <w:t>taking the registry level out</w:t>
            </w:r>
          </w:p>
          <w:p w14:paraId="357D4E4B" w14:textId="77777777" w:rsidR="00AC0AA0" w:rsidRPr="00900319" w:rsidRDefault="00AC0AA0" w:rsidP="00F652A6">
            <w:pPr>
              <w:numPr>
                <w:ilvl w:val="0"/>
                <w:numId w:val="18"/>
              </w:numPr>
              <w:ind w:left="303" w:hanging="180"/>
              <w:contextualSpacing/>
              <w:rPr>
                <w:rFonts w:ascii="Calibri" w:hAnsi="Calibri"/>
                <w:sz w:val="20"/>
              </w:rPr>
            </w:pPr>
            <w:r w:rsidRPr="00900319">
              <w:rPr>
                <w:rFonts w:ascii="Calibri" w:hAnsi="Calibri"/>
                <w:sz w:val="20"/>
              </w:rPr>
              <w:t xml:space="preserve">The registry comment demonstrates that thee is a problem and they want to bring this forward but this is not necessarily the correct charter question for this, still, it ought/needs to be dealt with </w:t>
            </w:r>
          </w:p>
          <w:p w14:paraId="23316239" w14:textId="77777777" w:rsidR="00AC0AA0" w:rsidRPr="00900319" w:rsidRDefault="00AC0AA0" w:rsidP="00F652A6">
            <w:pPr>
              <w:numPr>
                <w:ilvl w:val="0"/>
                <w:numId w:val="18"/>
              </w:numPr>
              <w:ind w:left="303" w:hanging="180"/>
              <w:contextualSpacing/>
              <w:rPr>
                <w:rFonts w:ascii="Calibri" w:hAnsi="Calibri"/>
                <w:sz w:val="20"/>
              </w:rPr>
            </w:pPr>
            <w:r w:rsidRPr="00900319">
              <w:rPr>
                <w:rFonts w:ascii="Calibri" w:hAnsi="Calibri"/>
                <w:sz w:val="20"/>
              </w:rPr>
              <w:t xml:space="preserve">Maybe the group ought to take a step back and </w:t>
            </w:r>
            <w:r w:rsidRPr="009A00C5">
              <w:rPr>
                <w:rFonts w:ascii="Calibri" w:hAnsi="Calibri"/>
                <w:b/>
                <w:sz w:val="20"/>
              </w:rPr>
              <w:t xml:space="preserve">look at the bigger TDRP picture; what was this designed for? Who is it for? What </w:t>
            </w:r>
            <w:r w:rsidRPr="009A00C5">
              <w:rPr>
                <w:rFonts w:ascii="Calibri" w:hAnsi="Calibri"/>
                <w:b/>
                <w:sz w:val="20"/>
              </w:rPr>
              <w:lastRenderedPageBreak/>
              <w:t>problems does the TDRP try to solve?</w:t>
            </w:r>
          </w:p>
          <w:p w14:paraId="3891E96B" w14:textId="77777777" w:rsidR="00AC0AA0" w:rsidRDefault="00AC0AA0" w:rsidP="00F652A6">
            <w:pPr>
              <w:numPr>
                <w:ilvl w:val="0"/>
                <w:numId w:val="18"/>
              </w:numPr>
              <w:ind w:left="303" w:hanging="180"/>
              <w:contextualSpacing/>
              <w:rPr>
                <w:rFonts w:ascii="Calibri" w:hAnsi="Calibri"/>
                <w:sz w:val="20"/>
              </w:rPr>
            </w:pPr>
            <w:r w:rsidRPr="00900319">
              <w:rPr>
                <w:rFonts w:ascii="Calibri" w:hAnsi="Calibri"/>
                <w:sz w:val="20"/>
              </w:rPr>
              <w:t>An overhaul might also help to deal with the discrepancy between IRTP related complaints to ICANN compliance and TDRP uses (and resolution) at registry and dispute provider level</w:t>
            </w:r>
          </w:p>
          <w:p w14:paraId="50B47700" w14:textId="77777777" w:rsidR="009A00C5" w:rsidRPr="009A00C5" w:rsidRDefault="009A00C5" w:rsidP="00F652A6">
            <w:pPr>
              <w:numPr>
                <w:ilvl w:val="0"/>
                <w:numId w:val="18"/>
              </w:numPr>
              <w:ind w:left="303" w:hanging="180"/>
              <w:contextualSpacing/>
              <w:rPr>
                <w:rFonts w:ascii="Calibri" w:hAnsi="Calibri"/>
                <w:b/>
                <w:sz w:val="20"/>
              </w:rPr>
            </w:pPr>
            <w:r w:rsidRPr="009A00C5">
              <w:rPr>
                <w:rFonts w:ascii="Calibri" w:hAnsi="Calibri"/>
                <w:b/>
                <w:sz w:val="20"/>
              </w:rPr>
              <w:t>Key discussion points</w:t>
            </w:r>
            <w:r>
              <w:rPr>
                <w:rFonts w:ascii="Calibri" w:hAnsi="Calibri"/>
                <w:sz w:val="20"/>
              </w:rPr>
              <w:t xml:space="preserve">:  </w:t>
            </w:r>
          </w:p>
          <w:p w14:paraId="36461FA1" w14:textId="77777777" w:rsidR="009A00C5" w:rsidRDefault="009A00C5" w:rsidP="009A00C5">
            <w:pPr>
              <w:numPr>
                <w:ilvl w:val="1"/>
                <w:numId w:val="18"/>
              </w:numPr>
              <w:contextualSpacing/>
              <w:rPr>
                <w:rFonts w:ascii="Calibri" w:hAnsi="Calibri"/>
                <w:b/>
                <w:sz w:val="20"/>
              </w:rPr>
            </w:pPr>
            <w:r w:rsidRPr="009A00C5">
              <w:rPr>
                <w:rFonts w:ascii="Calibri" w:hAnsi="Calibri"/>
                <w:b/>
                <w:sz w:val="20"/>
              </w:rPr>
              <w:t>Removing the Registry layer from the process</w:t>
            </w:r>
          </w:p>
          <w:p w14:paraId="3B383B28" w14:textId="77777777" w:rsidR="009A00C5" w:rsidRDefault="009A00C5" w:rsidP="009A00C5">
            <w:pPr>
              <w:numPr>
                <w:ilvl w:val="1"/>
                <w:numId w:val="18"/>
              </w:numPr>
              <w:contextualSpacing/>
              <w:rPr>
                <w:rFonts w:ascii="Calibri" w:hAnsi="Calibri"/>
                <w:b/>
                <w:sz w:val="20"/>
              </w:rPr>
            </w:pPr>
            <w:r>
              <w:rPr>
                <w:rFonts w:ascii="Calibri" w:hAnsi="Calibri"/>
                <w:b/>
                <w:sz w:val="20"/>
              </w:rPr>
              <w:t>Impact many new gTLDs on the process</w:t>
            </w:r>
          </w:p>
          <w:p w14:paraId="774234EF" w14:textId="77777777" w:rsidR="009A00C5" w:rsidRPr="009A00C5" w:rsidRDefault="009A00C5" w:rsidP="009A00C5">
            <w:pPr>
              <w:numPr>
                <w:ilvl w:val="1"/>
                <w:numId w:val="18"/>
              </w:numPr>
              <w:contextualSpacing/>
              <w:rPr>
                <w:rFonts w:ascii="Calibri" w:hAnsi="Calibri"/>
                <w:b/>
                <w:sz w:val="20"/>
              </w:rPr>
            </w:pPr>
            <w:r>
              <w:rPr>
                <w:rFonts w:ascii="Calibri" w:hAnsi="Calibri"/>
                <w:b/>
                <w:sz w:val="20"/>
              </w:rPr>
              <w:t>L</w:t>
            </w:r>
            <w:r w:rsidRPr="009A00C5">
              <w:rPr>
                <w:rFonts w:ascii="Calibri" w:hAnsi="Calibri"/>
                <w:b/>
                <w:sz w:val="20"/>
              </w:rPr>
              <w:t>ook at the bigger TDRP picture; what was this designed for? Who is it for? What problems does the TDRP try to solve?</w:t>
            </w:r>
          </w:p>
          <w:p w14:paraId="41F5B8FF" w14:textId="77777777" w:rsidR="00AC0AA0" w:rsidRPr="00900319" w:rsidRDefault="00AC0AA0" w:rsidP="00AC0AA0">
            <w:pPr>
              <w:contextualSpacing/>
              <w:rPr>
                <w:rFonts w:ascii="Calibri" w:hAnsi="Calibri"/>
                <w:sz w:val="20"/>
              </w:rPr>
            </w:pPr>
          </w:p>
        </w:tc>
        <w:tc>
          <w:tcPr>
            <w:tcW w:w="988" w:type="dxa"/>
            <w:gridSpan w:val="2"/>
          </w:tcPr>
          <w:p w14:paraId="0AC6F85D" w14:textId="77777777" w:rsidR="00F20DBC" w:rsidRPr="00900319" w:rsidRDefault="00F20DBC" w:rsidP="00607B94">
            <w:pPr>
              <w:contextualSpacing/>
              <w:rPr>
                <w:rFonts w:ascii="Calibri" w:hAnsi="Calibri"/>
                <w:b/>
                <w:sz w:val="20"/>
              </w:rPr>
            </w:pPr>
          </w:p>
        </w:tc>
      </w:tr>
      <w:tr w:rsidR="00F20DBC" w:rsidRPr="00900319" w14:paraId="016F80F9" w14:textId="77777777" w:rsidTr="000A0C23">
        <w:tc>
          <w:tcPr>
            <w:tcW w:w="13336" w:type="dxa"/>
            <w:gridSpan w:val="6"/>
            <w:shd w:val="clear" w:color="auto" w:fill="E0E0E0"/>
          </w:tcPr>
          <w:p w14:paraId="4CF8D77C" w14:textId="77777777" w:rsidR="00F20DBC" w:rsidRPr="00900319" w:rsidRDefault="00313823" w:rsidP="00B61E65">
            <w:pPr>
              <w:rPr>
                <w:rFonts w:ascii="Calibri" w:hAnsi="Calibri"/>
                <w:b/>
                <w:sz w:val="20"/>
                <w:szCs w:val="22"/>
              </w:rPr>
            </w:pPr>
            <w:r w:rsidRPr="00900319">
              <w:rPr>
                <w:rFonts w:ascii="Calibri" w:hAnsi="Calibri"/>
                <w:b/>
                <w:sz w:val="20"/>
                <w:szCs w:val="22"/>
              </w:rPr>
              <w:lastRenderedPageBreak/>
              <w:t xml:space="preserve">b) </w:t>
            </w:r>
            <w:r w:rsidR="007E3A53" w:rsidRPr="00900319">
              <w:rPr>
                <w:rFonts w:ascii="Calibri" w:hAnsi="Calibri"/>
                <w:b/>
                <w:sz w:val="20"/>
                <w:szCs w:val="22"/>
              </w:rPr>
              <w:t xml:space="preserve">Should additional provisions be included in the </w:t>
            </w:r>
            <w:hyperlink r:id="rId9" w:history="1">
              <w:r w:rsidR="007E3A53" w:rsidRPr="00900319">
                <w:rPr>
                  <w:rStyle w:val="Hyperlink"/>
                  <w:rFonts w:ascii="Calibri" w:hAnsi="Calibri" w:cs="Verdana"/>
                  <w:b/>
                  <w:sz w:val="20"/>
                  <w:szCs w:val="22"/>
                </w:rPr>
                <w:t>Transfer Dispute Resolution Policy</w:t>
              </w:r>
            </w:hyperlink>
            <w:r w:rsidR="007E3A53" w:rsidRPr="00900319">
              <w:rPr>
                <w:rFonts w:ascii="Calibri" w:hAnsi="Calibri"/>
                <w:b/>
                <w:sz w:val="20"/>
                <w:szCs w:val="22"/>
              </w:rPr>
              <w:t xml:space="preserve"> (TDRP) that set out how to handle disputes when multiple transfers have occurred?</w:t>
            </w:r>
          </w:p>
        </w:tc>
      </w:tr>
      <w:tr w:rsidR="009A00C5" w:rsidRPr="00900319" w14:paraId="5F46CFFF" w14:textId="77777777" w:rsidTr="009D3209">
        <w:tc>
          <w:tcPr>
            <w:tcW w:w="675" w:type="dxa"/>
          </w:tcPr>
          <w:p w14:paraId="2DB38A87" w14:textId="77777777" w:rsidR="00F20DBC" w:rsidRPr="00900319" w:rsidRDefault="00F20DBC" w:rsidP="00607B94">
            <w:pPr>
              <w:numPr>
                <w:ilvl w:val="0"/>
                <w:numId w:val="4"/>
              </w:numPr>
              <w:contextualSpacing/>
              <w:rPr>
                <w:rFonts w:ascii="Calibri" w:hAnsi="Calibri"/>
                <w:b/>
                <w:sz w:val="20"/>
              </w:rPr>
            </w:pPr>
          </w:p>
        </w:tc>
        <w:tc>
          <w:tcPr>
            <w:tcW w:w="4563" w:type="dxa"/>
          </w:tcPr>
          <w:p w14:paraId="5BD62E1D" w14:textId="77777777" w:rsidR="00F20DBC" w:rsidRPr="00900319" w:rsidRDefault="007E3A53" w:rsidP="00313823">
            <w:pPr>
              <w:keepNext/>
              <w:spacing w:line="276" w:lineRule="auto"/>
              <w:rPr>
                <w:rFonts w:ascii="Calibri" w:hAnsi="Calibri" w:cs="Verdana"/>
                <w:color w:val="1F497D"/>
                <w:sz w:val="20"/>
              </w:rPr>
            </w:pPr>
            <w:r w:rsidRPr="00900319">
              <w:rPr>
                <w:rFonts w:ascii="Calibri" w:hAnsi="Calibri" w:cs="Verdana"/>
                <w:sz w:val="20"/>
                <w:szCs w:val="22"/>
              </w:rPr>
              <w:t xml:space="preserve">Additional provisions should be included Multiple transfers in the </w:t>
            </w:r>
            <w:hyperlink r:id="rId10" w:history="1">
              <w:r w:rsidRPr="00900319">
                <w:rPr>
                  <w:rFonts w:ascii="Calibri" w:hAnsi="Calibri" w:cs="Verdana"/>
                  <w:sz w:val="20"/>
                  <w:szCs w:val="22"/>
                </w:rPr>
                <w:t>Transfer Dispute Resolution Policy</w:t>
              </w:r>
            </w:hyperlink>
            <w:r w:rsidRPr="00900319">
              <w:rPr>
                <w:rFonts w:ascii="Calibri" w:hAnsi="Calibri" w:cs="Verdana"/>
                <w:sz w:val="20"/>
                <w:szCs w:val="22"/>
              </w:rPr>
              <w:t xml:space="preserve"> (TDRP) that set out how to handle disputes when multiple transfers have occurred. As they could help clarify the process and facilitate the handling of</w:t>
            </w:r>
            <w:r w:rsidR="00313823" w:rsidRPr="00900319">
              <w:rPr>
                <w:rFonts w:ascii="Calibri" w:hAnsi="Calibri" w:cs="Verdana"/>
                <w:sz w:val="20"/>
                <w:szCs w:val="22"/>
              </w:rPr>
              <w:t xml:space="preserve"> </w:t>
            </w:r>
            <w:r w:rsidRPr="00900319">
              <w:rPr>
                <w:rFonts w:ascii="Calibri" w:hAnsi="Calibri" w:cs="Verdana"/>
                <w:sz w:val="20"/>
                <w:szCs w:val="22"/>
              </w:rPr>
              <w:t>disputes, Multiple transfers are used in domain hijack situations, and also since the aftermarket has developed since the policy was written a third party can easily purchase a hijacked domain in good faith.</w:t>
            </w:r>
            <w:r w:rsidRPr="00900319">
              <w:rPr>
                <w:rFonts w:ascii="Calibri" w:hAnsi="Calibri" w:cs="Verdana"/>
                <w:color w:val="1F497D"/>
                <w:sz w:val="20"/>
              </w:rPr>
              <w:t xml:space="preserve"> </w:t>
            </w:r>
          </w:p>
        </w:tc>
        <w:tc>
          <w:tcPr>
            <w:tcW w:w="810" w:type="dxa"/>
          </w:tcPr>
          <w:p w14:paraId="42B40868" w14:textId="77777777" w:rsidR="00F20DBC" w:rsidRPr="00900319" w:rsidRDefault="00313823" w:rsidP="004541B3">
            <w:pPr>
              <w:contextualSpacing/>
              <w:rPr>
                <w:rFonts w:ascii="Calibri" w:hAnsi="Calibri"/>
                <w:sz w:val="20"/>
              </w:rPr>
            </w:pPr>
            <w:r w:rsidRPr="00900319">
              <w:rPr>
                <w:rFonts w:ascii="Calibri" w:hAnsi="Calibri"/>
                <w:sz w:val="20"/>
              </w:rPr>
              <w:t>BC</w:t>
            </w:r>
          </w:p>
        </w:tc>
        <w:tc>
          <w:tcPr>
            <w:tcW w:w="6632" w:type="dxa"/>
            <w:gridSpan w:val="2"/>
          </w:tcPr>
          <w:p w14:paraId="0FB3554D" w14:textId="77777777" w:rsidR="00611E73" w:rsidRPr="00900319" w:rsidRDefault="00611E73" w:rsidP="001A769F">
            <w:pPr>
              <w:contextualSpacing/>
              <w:rPr>
                <w:rFonts w:ascii="Calibri" w:hAnsi="Calibri"/>
                <w:sz w:val="20"/>
              </w:rPr>
            </w:pPr>
          </w:p>
          <w:p w14:paraId="6DDC2471" w14:textId="77777777" w:rsidR="00526548" w:rsidRPr="00900319" w:rsidRDefault="00526548" w:rsidP="00F652A6">
            <w:pPr>
              <w:numPr>
                <w:ilvl w:val="0"/>
                <w:numId w:val="16"/>
              </w:numPr>
              <w:ind w:left="303" w:hanging="180"/>
              <w:contextualSpacing/>
              <w:rPr>
                <w:rFonts w:ascii="Calibri" w:hAnsi="Calibri"/>
                <w:sz w:val="20"/>
              </w:rPr>
            </w:pPr>
            <w:r w:rsidRPr="00900319">
              <w:rPr>
                <w:rFonts w:ascii="Calibri" w:hAnsi="Calibri"/>
                <w:sz w:val="20"/>
              </w:rPr>
              <w:t xml:space="preserve">multi-transfers are a problem </w:t>
            </w:r>
          </w:p>
          <w:p w14:paraId="316EE91B" w14:textId="77777777" w:rsidR="007A106E" w:rsidRPr="00900319" w:rsidRDefault="007A106E" w:rsidP="00F652A6">
            <w:pPr>
              <w:numPr>
                <w:ilvl w:val="0"/>
                <w:numId w:val="16"/>
              </w:numPr>
              <w:ind w:left="303" w:hanging="180"/>
              <w:contextualSpacing/>
              <w:rPr>
                <w:rFonts w:ascii="Calibri" w:hAnsi="Calibri"/>
                <w:sz w:val="20"/>
              </w:rPr>
            </w:pPr>
            <w:r w:rsidRPr="00900319">
              <w:rPr>
                <w:rFonts w:ascii="Calibri" w:hAnsi="Calibri"/>
                <w:sz w:val="20"/>
              </w:rPr>
              <w:t xml:space="preserve">situation often also </w:t>
            </w:r>
            <w:r w:rsidR="00900319" w:rsidRPr="00900319">
              <w:rPr>
                <w:rFonts w:ascii="Calibri" w:hAnsi="Calibri"/>
                <w:sz w:val="20"/>
              </w:rPr>
              <w:t>referred</w:t>
            </w:r>
            <w:r w:rsidRPr="00900319">
              <w:rPr>
                <w:rFonts w:ascii="Calibri" w:hAnsi="Calibri"/>
                <w:sz w:val="20"/>
              </w:rPr>
              <w:t xml:space="preserve"> to as ‘</w:t>
            </w:r>
            <w:r w:rsidR="00900319" w:rsidRPr="00900319">
              <w:rPr>
                <w:rFonts w:ascii="Calibri" w:hAnsi="Calibri"/>
                <w:sz w:val="20"/>
              </w:rPr>
              <w:t>registrar</w:t>
            </w:r>
            <w:r w:rsidRPr="00900319">
              <w:rPr>
                <w:rFonts w:ascii="Calibri" w:hAnsi="Calibri"/>
                <w:sz w:val="20"/>
              </w:rPr>
              <w:t xml:space="preserve"> hopping’ or ‘domain name </w:t>
            </w:r>
            <w:r w:rsidR="00900319" w:rsidRPr="00900319">
              <w:rPr>
                <w:rFonts w:ascii="Calibri" w:hAnsi="Calibri"/>
                <w:sz w:val="20"/>
              </w:rPr>
              <w:t>laundering</w:t>
            </w:r>
            <w:r w:rsidRPr="00900319">
              <w:rPr>
                <w:rFonts w:ascii="Calibri" w:hAnsi="Calibri"/>
                <w:sz w:val="20"/>
              </w:rPr>
              <w:t>’</w:t>
            </w:r>
          </w:p>
          <w:p w14:paraId="06F17393" w14:textId="77777777" w:rsidR="007A106E" w:rsidRPr="00900319" w:rsidRDefault="007A106E" w:rsidP="00F652A6">
            <w:pPr>
              <w:numPr>
                <w:ilvl w:val="0"/>
                <w:numId w:val="16"/>
              </w:numPr>
              <w:ind w:left="303" w:hanging="180"/>
              <w:contextualSpacing/>
              <w:rPr>
                <w:rFonts w:ascii="Calibri" w:hAnsi="Calibri"/>
                <w:sz w:val="20"/>
              </w:rPr>
            </w:pPr>
            <w:r w:rsidRPr="00900319">
              <w:rPr>
                <w:rFonts w:ascii="Calibri" w:hAnsi="Calibri"/>
                <w:sz w:val="20"/>
              </w:rPr>
              <w:t>the BC accurately describe the problem but they don’t offer any specific remedies at this point</w:t>
            </w:r>
          </w:p>
          <w:p w14:paraId="77EB7BCE" w14:textId="77777777" w:rsidR="007A106E" w:rsidRPr="00900319" w:rsidRDefault="007A106E" w:rsidP="00F652A6">
            <w:pPr>
              <w:numPr>
                <w:ilvl w:val="0"/>
                <w:numId w:val="16"/>
              </w:numPr>
              <w:ind w:left="303" w:hanging="180"/>
              <w:contextualSpacing/>
              <w:rPr>
                <w:rFonts w:ascii="Calibri" w:hAnsi="Calibri"/>
                <w:sz w:val="20"/>
              </w:rPr>
            </w:pPr>
            <w:r w:rsidRPr="00900319">
              <w:rPr>
                <w:rFonts w:ascii="Calibri" w:hAnsi="Calibri"/>
                <w:sz w:val="20"/>
              </w:rPr>
              <w:t xml:space="preserve">there is a provision that allows a registrar to reject a transfer request if it’s within </w:t>
            </w:r>
            <w:r w:rsidRPr="006C6FBD">
              <w:rPr>
                <w:rFonts w:ascii="Calibri" w:hAnsi="Calibri"/>
                <w:b/>
                <w:sz w:val="20"/>
              </w:rPr>
              <w:t>60 days of a previous transfer request</w:t>
            </w:r>
            <w:r w:rsidRPr="00900319">
              <w:rPr>
                <w:rFonts w:ascii="Calibri" w:hAnsi="Calibri"/>
                <w:sz w:val="20"/>
              </w:rPr>
              <w:t xml:space="preserve"> (optional not mandatory provision)</w:t>
            </w:r>
          </w:p>
          <w:p w14:paraId="1FF990E3" w14:textId="77777777" w:rsidR="007A106E" w:rsidRPr="00900319" w:rsidRDefault="007A106E" w:rsidP="00F652A6">
            <w:pPr>
              <w:numPr>
                <w:ilvl w:val="0"/>
                <w:numId w:val="16"/>
              </w:numPr>
              <w:ind w:left="303" w:hanging="180"/>
              <w:contextualSpacing/>
              <w:rPr>
                <w:rFonts w:ascii="Calibri" w:hAnsi="Calibri"/>
                <w:sz w:val="20"/>
              </w:rPr>
            </w:pPr>
            <w:r w:rsidRPr="00900319">
              <w:rPr>
                <w:rFonts w:ascii="Calibri" w:hAnsi="Calibri"/>
                <w:sz w:val="20"/>
              </w:rPr>
              <w:t>some of these points have already been discussed in IRTP A and B</w:t>
            </w:r>
          </w:p>
          <w:p w14:paraId="44382277" w14:textId="77777777" w:rsidR="007A106E" w:rsidRPr="00900319" w:rsidRDefault="007A106E" w:rsidP="00F652A6">
            <w:pPr>
              <w:numPr>
                <w:ilvl w:val="0"/>
                <w:numId w:val="16"/>
              </w:numPr>
              <w:ind w:left="303" w:hanging="180"/>
              <w:contextualSpacing/>
              <w:rPr>
                <w:rFonts w:ascii="Calibri" w:hAnsi="Calibri"/>
                <w:sz w:val="20"/>
              </w:rPr>
            </w:pPr>
            <w:r w:rsidRPr="00900319">
              <w:rPr>
                <w:rFonts w:ascii="Calibri" w:hAnsi="Calibri"/>
                <w:sz w:val="20"/>
              </w:rPr>
              <w:t>the good faith of people who buy domains on the after-market should also be born in mind when addressing this issue</w:t>
            </w:r>
          </w:p>
          <w:p w14:paraId="388F0C71" w14:textId="77777777" w:rsidR="007A106E" w:rsidRPr="00900319" w:rsidRDefault="007A106E" w:rsidP="00F652A6">
            <w:pPr>
              <w:numPr>
                <w:ilvl w:val="0"/>
                <w:numId w:val="16"/>
              </w:numPr>
              <w:ind w:left="303" w:hanging="180"/>
              <w:contextualSpacing/>
              <w:rPr>
                <w:rFonts w:ascii="Calibri" w:hAnsi="Calibri"/>
                <w:sz w:val="20"/>
              </w:rPr>
            </w:pPr>
            <w:r w:rsidRPr="00900319">
              <w:rPr>
                <w:rFonts w:ascii="Calibri" w:hAnsi="Calibri"/>
                <w:sz w:val="20"/>
              </w:rPr>
              <w:t xml:space="preserve">there is an </w:t>
            </w:r>
            <w:r w:rsidRPr="006C6FBD">
              <w:rPr>
                <w:rFonts w:ascii="Calibri" w:hAnsi="Calibri"/>
                <w:b/>
                <w:sz w:val="20"/>
              </w:rPr>
              <w:t>issue with claw-back</w:t>
            </w:r>
            <w:r w:rsidRPr="00900319">
              <w:rPr>
                <w:rFonts w:ascii="Calibri" w:hAnsi="Calibri"/>
                <w:sz w:val="20"/>
              </w:rPr>
              <w:t xml:space="preserve"> whereby a domain was hijacked, sold on and then has been sold on legitimately but the original owner then brings a TDRP against the current one and the TDRP has to ‘claw back’ the chain – with several (presumably innocent) name holders and registrars involved </w:t>
            </w:r>
          </w:p>
          <w:p w14:paraId="62DD2364" w14:textId="77777777" w:rsidR="007A106E" w:rsidRPr="00900319" w:rsidRDefault="007A106E" w:rsidP="00F652A6">
            <w:pPr>
              <w:numPr>
                <w:ilvl w:val="0"/>
                <w:numId w:val="16"/>
              </w:numPr>
              <w:ind w:left="303" w:hanging="180"/>
              <w:contextualSpacing/>
              <w:rPr>
                <w:rFonts w:ascii="Calibri" w:hAnsi="Calibri"/>
                <w:sz w:val="20"/>
              </w:rPr>
            </w:pPr>
            <w:r w:rsidRPr="00900319">
              <w:rPr>
                <w:rFonts w:ascii="Calibri" w:hAnsi="Calibri"/>
                <w:sz w:val="20"/>
              </w:rPr>
              <w:t>this means that the ‘good faith purchaser’ needs protection too</w:t>
            </w:r>
          </w:p>
          <w:p w14:paraId="58A39316" w14:textId="77777777" w:rsidR="007A106E" w:rsidRPr="00900319" w:rsidRDefault="007A106E" w:rsidP="00F652A6">
            <w:pPr>
              <w:numPr>
                <w:ilvl w:val="0"/>
                <w:numId w:val="16"/>
              </w:numPr>
              <w:ind w:left="303" w:hanging="180"/>
              <w:contextualSpacing/>
              <w:rPr>
                <w:rFonts w:ascii="Calibri" w:hAnsi="Calibri"/>
                <w:sz w:val="20"/>
              </w:rPr>
            </w:pPr>
            <w:r w:rsidRPr="00900319">
              <w:rPr>
                <w:rFonts w:ascii="Calibri" w:hAnsi="Calibri"/>
                <w:sz w:val="20"/>
              </w:rPr>
              <w:t xml:space="preserve">maybe </w:t>
            </w:r>
            <w:r w:rsidRPr="006C6FBD">
              <w:rPr>
                <w:rFonts w:ascii="Calibri" w:hAnsi="Calibri"/>
                <w:b/>
                <w:sz w:val="20"/>
              </w:rPr>
              <w:t>add to the provision that anybody initiating a TDRP can contact any registrar with whom</w:t>
            </w:r>
            <w:r w:rsidRPr="00900319">
              <w:rPr>
                <w:rFonts w:ascii="Calibri" w:hAnsi="Calibri"/>
                <w:sz w:val="20"/>
              </w:rPr>
              <w:t xml:space="preserve"> </w:t>
            </w:r>
            <w:r w:rsidRPr="006C6FBD">
              <w:rPr>
                <w:rFonts w:ascii="Calibri" w:hAnsi="Calibri"/>
                <w:b/>
                <w:sz w:val="20"/>
              </w:rPr>
              <w:t xml:space="preserve">the domain had been registered </w:t>
            </w:r>
            <w:r w:rsidR="006C6FBD" w:rsidRPr="006C6FBD">
              <w:rPr>
                <w:rFonts w:ascii="Calibri" w:hAnsi="Calibri"/>
                <w:b/>
                <w:sz w:val="20"/>
              </w:rPr>
              <w:t>i</w:t>
            </w:r>
            <w:r w:rsidRPr="006C6FBD">
              <w:rPr>
                <w:rFonts w:ascii="Calibri" w:hAnsi="Calibri"/>
                <w:b/>
                <w:sz w:val="20"/>
              </w:rPr>
              <w:t>n the past 6 months (or similar)</w:t>
            </w:r>
            <w:r w:rsidRPr="00900319">
              <w:rPr>
                <w:rFonts w:ascii="Calibri" w:hAnsi="Calibri"/>
                <w:sz w:val="20"/>
              </w:rPr>
              <w:t xml:space="preserve"> and add a lock to the domain name as soon as the TDRP is initiated</w:t>
            </w:r>
          </w:p>
        </w:tc>
        <w:tc>
          <w:tcPr>
            <w:tcW w:w="656" w:type="dxa"/>
          </w:tcPr>
          <w:p w14:paraId="164E9214" w14:textId="77777777" w:rsidR="00F20DBC" w:rsidRPr="00900319" w:rsidRDefault="00F20DBC" w:rsidP="007A106E">
            <w:pPr>
              <w:ind w:left="360"/>
              <w:contextualSpacing/>
              <w:rPr>
                <w:rFonts w:ascii="Calibri" w:hAnsi="Calibri"/>
                <w:b/>
                <w:sz w:val="20"/>
              </w:rPr>
            </w:pPr>
          </w:p>
        </w:tc>
      </w:tr>
      <w:tr w:rsidR="009A00C5" w:rsidRPr="00900319" w14:paraId="4E076348" w14:textId="77777777" w:rsidTr="009D3209">
        <w:tc>
          <w:tcPr>
            <w:tcW w:w="675" w:type="dxa"/>
          </w:tcPr>
          <w:p w14:paraId="3AA65576" w14:textId="77777777" w:rsidR="00F20DBC" w:rsidRPr="00900319" w:rsidRDefault="00F20DBC" w:rsidP="00607B94">
            <w:pPr>
              <w:numPr>
                <w:ilvl w:val="0"/>
                <w:numId w:val="4"/>
              </w:numPr>
              <w:contextualSpacing/>
              <w:rPr>
                <w:rFonts w:ascii="Calibri" w:hAnsi="Calibri"/>
                <w:b/>
                <w:sz w:val="20"/>
              </w:rPr>
            </w:pPr>
          </w:p>
        </w:tc>
        <w:tc>
          <w:tcPr>
            <w:tcW w:w="4563" w:type="dxa"/>
          </w:tcPr>
          <w:p w14:paraId="1A2951F5" w14:textId="77777777" w:rsidR="00F20DBC" w:rsidRPr="00900319" w:rsidRDefault="00313823" w:rsidP="00313823">
            <w:pPr>
              <w:widowControl w:val="0"/>
              <w:autoSpaceDE w:val="0"/>
              <w:autoSpaceDN w:val="0"/>
              <w:adjustRightInd w:val="0"/>
              <w:spacing w:after="240"/>
              <w:rPr>
                <w:rFonts w:ascii="Calibri" w:hAnsi="Calibri" w:cs="Verdana"/>
                <w:sz w:val="20"/>
                <w:szCs w:val="22"/>
              </w:rPr>
            </w:pPr>
            <w:r w:rsidRPr="00900319">
              <w:rPr>
                <w:rFonts w:ascii="Calibri" w:hAnsi="Calibri" w:cs="Verdana"/>
                <w:sz w:val="20"/>
                <w:szCs w:val="22"/>
              </w:rPr>
              <w:t>Under the TDRP, a dispute must be filed within six months of the violation date. Consistent application of the 60 day restriction on inter- registrar transfers after a transfer should help to reduce the instances of multiple transfers. The RySG would support consideration of a modification to the TDRP to clarify the impact of a fraudulent transfer on subsequent transfers.</w:t>
            </w:r>
          </w:p>
        </w:tc>
        <w:tc>
          <w:tcPr>
            <w:tcW w:w="810" w:type="dxa"/>
          </w:tcPr>
          <w:p w14:paraId="3E39DF6C" w14:textId="77777777" w:rsidR="00F20DBC" w:rsidRPr="00900319" w:rsidRDefault="00313823" w:rsidP="00607B94">
            <w:pPr>
              <w:contextualSpacing/>
              <w:rPr>
                <w:rFonts w:ascii="Calibri" w:hAnsi="Calibri"/>
                <w:sz w:val="20"/>
              </w:rPr>
            </w:pPr>
            <w:r w:rsidRPr="00900319">
              <w:rPr>
                <w:rFonts w:ascii="Calibri" w:hAnsi="Calibri"/>
                <w:sz w:val="20"/>
              </w:rPr>
              <w:t xml:space="preserve">RySG </w:t>
            </w:r>
            <w:r w:rsidRPr="00900319">
              <w:rPr>
                <w:rFonts w:ascii="Calibri" w:hAnsi="Calibri"/>
                <w:sz w:val="14"/>
                <w:szCs w:val="16"/>
              </w:rPr>
              <w:t>(submitted in response to the Preliminary Issue Report)</w:t>
            </w:r>
          </w:p>
        </w:tc>
        <w:tc>
          <w:tcPr>
            <w:tcW w:w="6632" w:type="dxa"/>
            <w:gridSpan w:val="2"/>
          </w:tcPr>
          <w:p w14:paraId="4D3D0DA5" w14:textId="77777777" w:rsidR="00F20DBC" w:rsidRPr="00900319" w:rsidRDefault="00B7275F" w:rsidP="00F652A6">
            <w:pPr>
              <w:numPr>
                <w:ilvl w:val="0"/>
                <w:numId w:val="20"/>
              </w:numPr>
              <w:ind w:left="303" w:hanging="180"/>
              <w:contextualSpacing/>
              <w:rPr>
                <w:rFonts w:ascii="Calibri" w:hAnsi="Calibri"/>
                <w:sz w:val="20"/>
              </w:rPr>
            </w:pPr>
            <w:r w:rsidRPr="00900319">
              <w:rPr>
                <w:rFonts w:ascii="Calibri" w:hAnsi="Calibri"/>
                <w:sz w:val="20"/>
              </w:rPr>
              <w:t xml:space="preserve">Maybe the nest course of action is to have a strong recommendation for a best practice </w:t>
            </w:r>
            <w:r w:rsidR="007E477D" w:rsidRPr="00900319">
              <w:rPr>
                <w:rFonts w:ascii="Calibri" w:hAnsi="Calibri"/>
                <w:sz w:val="20"/>
              </w:rPr>
              <w:t>and further education of registrants as well as registrars – so that the latter support this wherever possible</w:t>
            </w:r>
          </w:p>
          <w:p w14:paraId="3A4163DC" w14:textId="77777777" w:rsidR="007E477D" w:rsidRPr="00900319" w:rsidRDefault="007E477D" w:rsidP="00F652A6">
            <w:pPr>
              <w:numPr>
                <w:ilvl w:val="0"/>
                <w:numId w:val="20"/>
              </w:numPr>
              <w:ind w:left="303" w:hanging="180"/>
              <w:contextualSpacing/>
              <w:rPr>
                <w:rFonts w:ascii="Calibri" w:hAnsi="Calibri"/>
                <w:sz w:val="20"/>
              </w:rPr>
            </w:pPr>
            <w:r w:rsidRPr="00900319">
              <w:rPr>
                <w:rFonts w:ascii="Calibri" w:hAnsi="Calibri"/>
                <w:sz w:val="20"/>
              </w:rPr>
              <w:t xml:space="preserve">TDRP should </w:t>
            </w:r>
            <w:r w:rsidRPr="006C6FBD">
              <w:rPr>
                <w:rFonts w:ascii="Calibri" w:hAnsi="Calibri"/>
                <w:b/>
                <w:sz w:val="20"/>
              </w:rPr>
              <w:t>lock a domain name against further transfers</w:t>
            </w:r>
            <w:r w:rsidRPr="00900319">
              <w:rPr>
                <w:rFonts w:ascii="Calibri" w:hAnsi="Calibri"/>
                <w:sz w:val="20"/>
              </w:rPr>
              <w:t xml:space="preserve"> until the dispute is resolved</w:t>
            </w:r>
          </w:p>
          <w:p w14:paraId="79A0BE7E" w14:textId="77777777" w:rsidR="007E477D" w:rsidRPr="006C6FBD" w:rsidRDefault="007E477D" w:rsidP="00F652A6">
            <w:pPr>
              <w:numPr>
                <w:ilvl w:val="0"/>
                <w:numId w:val="20"/>
              </w:numPr>
              <w:ind w:left="303" w:hanging="180"/>
              <w:contextualSpacing/>
              <w:rPr>
                <w:rFonts w:ascii="Calibri" w:hAnsi="Calibri"/>
                <w:b/>
                <w:sz w:val="20"/>
              </w:rPr>
            </w:pPr>
            <w:r w:rsidRPr="00900319">
              <w:rPr>
                <w:rFonts w:ascii="Calibri" w:hAnsi="Calibri"/>
                <w:sz w:val="20"/>
              </w:rPr>
              <w:t xml:space="preserve">Maybe the TDRP should be expanded so that </w:t>
            </w:r>
            <w:r w:rsidRPr="006C6FBD">
              <w:rPr>
                <w:rFonts w:ascii="Calibri" w:hAnsi="Calibri"/>
                <w:b/>
                <w:sz w:val="20"/>
              </w:rPr>
              <w:t>all</w:t>
            </w:r>
            <w:r w:rsidRPr="00900319">
              <w:rPr>
                <w:rFonts w:ascii="Calibri" w:hAnsi="Calibri"/>
                <w:sz w:val="20"/>
              </w:rPr>
              <w:t xml:space="preserve"> </w:t>
            </w:r>
            <w:r w:rsidRPr="006C6FBD">
              <w:rPr>
                <w:rFonts w:ascii="Calibri" w:hAnsi="Calibri"/>
                <w:b/>
                <w:sz w:val="20"/>
              </w:rPr>
              <w:t>registrars that were in a dispute transfer chain</w:t>
            </w:r>
            <w:r w:rsidRPr="00900319">
              <w:rPr>
                <w:rFonts w:ascii="Calibri" w:hAnsi="Calibri"/>
                <w:sz w:val="20"/>
              </w:rPr>
              <w:t xml:space="preserve"> </w:t>
            </w:r>
            <w:r w:rsidRPr="006C6FBD">
              <w:rPr>
                <w:rFonts w:ascii="Calibri" w:hAnsi="Calibri"/>
                <w:b/>
                <w:sz w:val="20"/>
              </w:rPr>
              <w:t>would be required to provide information relevant to the case</w:t>
            </w:r>
          </w:p>
          <w:p w14:paraId="26B8E43B" w14:textId="77777777" w:rsidR="004331FF" w:rsidRPr="00900319" w:rsidRDefault="004331FF" w:rsidP="00F652A6">
            <w:pPr>
              <w:numPr>
                <w:ilvl w:val="0"/>
                <w:numId w:val="20"/>
              </w:numPr>
              <w:ind w:left="303" w:hanging="180"/>
              <w:contextualSpacing/>
              <w:rPr>
                <w:rFonts w:ascii="Calibri" w:hAnsi="Calibri"/>
                <w:sz w:val="20"/>
              </w:rPr>
            </w:pPr>
            <w:r w:rsidRPr="006C6FBD">
              <w:rPr>
                <w:rFonts w:ascii="Calibri" w:hAnsi="Calibri"/>
                <w:b/>
                <w:sz w:val="20"/>
              </w:rPr>
              <w:t>Registrars that were involved in a contested chain could be compelled to make available all relevant data</w:t>
            </w:r>
            <w:r w:rsidRPr="00900319">
              <w:rPr>
                <w:rFonts w:ascii="Calibri" w:hAnsi="Calibri"/>
                <w:sz w:val="20"/>
              </w:rPr>
              <w:t xml:space="preserve"> that they have on record, at least two FOAs, log files and any other Whois or customer contact information. Maybe the TEAC process of IRTP B could be a model – or at least a jumping-off point – for a similar TDRP model</w:t>
            </w:r>
          </w:p>
          <w:p w14:paraId="1E187A09" w14:textId="77777777" w:rsidR="004331FF" w:rsidRDefault="00075835" w:rsidP="00F652A6">
            <w:pPr>
              <w:numPr>
                <w:ilvl w:val="0"/>
                <w:numId w:val="20"/>
              </w:numPr>
              <w:ind w:left="303" w:hanging="180"/>
              <w:contextualSpacing/>
              <w:rPr>
                <w:rFonts w:ascii="Calibri" w:hAnsi="Calibri"/>
                <w:sz w:val="20"/>
              </w:rPr>
            </w:pPr>
            <w:r w:rsidRPr="00900319">
              <w:rPr>
                <w:rFonts w:ascii="Calibri" w:hAnsi="Calibri"/>
                <w:sz w:val="20"/>
              </w:rPr>
              <w:t xml:space="preserve">Group also need to </w:t>
            </w:r>
            <w:r w:rsidRPr="006C6FBD">
              <w:rPr>
                <w:rFonts w:ascii="Calibri" w:hAnsi="Calibri"/>
                <w:b/>
                <w:sz w:val="20"/>
              </w:rPr>
              <w:t>define how many transfers are too many</w:t>
            </w:r>
            <w:r w:rsidRPr="00900319">
              <w:rPr>
                <w:rFonts w:ascii="Calibri" w:hAnsi="Calibri"/>
                <w:sz w:val="20"/>
              </w:rPr>
              <w:t xml:space="preserve"> in what period of time</w:t>
            </w:r>
          </w:p>
          <w:p w14:paraId="2C0E7380" w14:textId="77777777" w:rsidR="006C6FBD" w:rsidRPr="006C6FBD" w:rsidRDefault="006C6FBD" w:rsidP="00F652A6">
            <w:pPr>
              <w:numPr>
                <w:ilvl w:val="0"/>
                <w:numId w:val="20"/>
              </w:numPr>
              <w:ind w:left="303" w:hanging="180"/>
              <w:contextualSpacing/>
              <w:rPr>
                <w:rFonts w:ascii="Calibri" w:hAnsi="Calibri"/>
                <w:b/>
                <w:sz w:val="20"/>
              </w:rPr>
            </w:pPr>
            <w:r w:rsidRPr="006C6FBD">
              <w:rPr>
                <w:rFonts w:ascii="Calibri" w:hAnsi="Calibri"/>
                <w:b/>
                <w:sz w:val="20"/>
              </w:rPr>
              <w:t>Key discussion points:</w:t>
            </w:r>
          </w:p>
          <w:p w14:paraId="4171D33C" w14:textId="77777777" w:rsidR="006C6FBD" w:rsidRPr="006C6FBD" w:rsidRDefault="006C6FBD" w:rsidP="006C6FBD">
            <w:pPr>
              <w:numPr>
                <w:ilvl w:val="1"/>
                <w:numId w:val="20"/>
              </w:numPr>
              <w:contextualSpacing/>
              <w:rPr>
                <w:rFonts w:ascii="Calibri" w:hAnsi="Calibri"/>
                <w:b/>
                <w:sz w:val="20"/>
              </w:rPr>
            </w:pPr>
            <w:r w:rsidRPr="006C6FBD">
              <w:rPr>
                <w:rFonts w:ascii="Calibri" w:hAnsi="Calibri"/>
                <w:b/>
                <w:sz w:val="20"/>
              </w:rPr>
              <w:t>Locking and lock-interval</w:t>
            </w:r>
          </w:p>
          <w:p w14:paraId="46C1878D" w14:textId="77777777" w:rsidR="006C6FBD" w:rsidRPr="006C6FBD" w:rsidRDefault="006C6FBD" w:rsidP="006C6FBD">
            <w:pPr>
              <w:numPr>
                <w:ilvl w:val="1"/>
                <w:numId w:val="20"/>
              </w:numPr>
              <w:contextualSpacing/>
              <w:rPr>
                <w:rFonts w:ascii="Calibri" w:hAnsi="Calibri"/>
                <w:b/>
                <w:sz w:val="20"/>
              </w:rPr>
            </w:pPr>
            <w:r w:rsidRPr="006C6FBD">
              <w:rPr>
                <w:rFonts w:ascii="Calibri" w:hAnsi="Calibri"/>
                <w:b/>
                <w:sz w:val="20"/>
              </w:rPr>
              <w:t>Claw-back</w:t>
            </w:r>
          </w:p>
          <w:p w14:paraId="097A1580" w14:textId="77777777" w:rsidR="006C6FBD" w:rsidRPr="006C6FBD" w:rsidRDefault="006C6FBD" w:rsidP="006C6FBD">
            <w:pPr>
              <w:numPr>
                <w:ilvl w:val="1"/>
                <w:numId w:val="20"/>
              </w:numPr>
              <w:contextualSpacing/>
              <w:rPr>
                <w:rFonts w:ascii="Calibri" w:hAnsi="Calibri"/>
                <w:b/>
                <w:sz w:val="20"/>
              </w:rPr>
            </w:pPr>
            <w:r>
              <w:rPr>
                <w:rFonts w:ascii="Calibri" w:hAnsi="Calibri"/>
                <w:b/>
                <w:sz w:val="20"/>
              </w:rPr>
              <w:t>A</w:t>
            </w:r>
            <w:r w:rsidRPr="006C6FBD">
              <w:rPr>
                <w:rFonts w:ascii="Calibri" w:hAnsi="Calibri"/>
                <w:b/>
                <w:sz w:val="20"/>
              </w:rPr>
              <w:t xml:space="preserve"> provision that anybody initiating a TDRP can contact any registrar with whom the domain had been registered in the past 6 months (or similar)</w:t>
            </w:r>
          </w:p>
          <w:p w14:paraId="2B978AD8" w14:textId="77777777" w:rsidR="006C6FBD" w:rsidRPr="006C6FBD" w:rsidRDefault="006C6FBD" w:rsidP="006C6FBD">
            <w:pPr>
              <w:numPr>
                <w:ilvl w:val="1"/>
                <w:numId w:val="20"/>
              </w:numPr>
              <w:contextualSpacing/>
              <w:rPr>
                <w:rFonts w:ascii="Calibri" w:hAnsi="Calibri"/>
                <w:b/>
                <w:sz w:val="20"/>
              </w:rPr>
            </w:pPr>
            <w:r w:rsidRPr="006C6FBD">
              <w:rPr>
                <w:rFonts w:ascii="Calibri" w:hAnsi="Calibri"/>
                <w:b/>
                <w:sz w:val="20"/>
              </w:rPr>
              <w:t>all registrars that were in a dispute transfer chain would be required to provide information relevant to the case</w:t>
            </w:r>
          </w:p>
          <w:p w14:paraId="6FB654E9" w14:textId="77777777" w:rsidR="006C6FBD" w:rsidRPr="006C6FBD" w:rsidRDefault="006C6FBD" w:rsidP="006C6FBD">
            <w:pPr>
              <w:numPr>
                <w:ilvl w:val="1"/>
                <w:numId w:val="20"/>
              </w:numPr>
              <w:contextualSpacing/>
              <w:rPr>
                <w:rFonts w:ascii="Calibri" w:hAnsi="Calibri"/>
                <w:b/>
                <w:sz w:val="20"/>
              </w:rPr>
            </w:pPr>
            <w:r w:rsidRPr="006C6FBD">
              <w:rPr>
                <w:rFonts w:ascii="Calibri" w:hAnsi="Calibri"/>
                <w:b/>
                <w:sz w:val="20"/>
              </w:rPr>
              <w:t>define how many transfers are too many in what period of time</w:t>
            </w:r>
          </w:p>
          <w:p w14:paraId="40E463AF" w14:textId="77777777" w:rsidR="00075835" w:rsidRPr="00900319" w:rsidRDefault="00075835" w:rsidP="004331FF">
            <w:pPr>
              <w:contextualSpacing/>
              <w:rPr>
                <w:rFonts w:ascii="Calibri" w:hAnsi="Calibri"/>
                <w:sz w:val="20"/>
              </w:rPr>
            </w:pPr>
          </w:p>
          <w:p w14:paraId="14D0FFED" w14:textId="77777777" w:rsidR="004331FF" w:rsidRPr="00900319" w:rsidRDefault="004331FF" w:rsidP="004331FF">
            <w:pPr>
              <w:contextualSpacing/>
              <w:rPr>
                <w:rFonts w:ascii="Calibri" w:hAnsi="Calibri"/>
                <w:sz w:val="20"/>
              </w:rPr>
            </w:pPr>
          </w:p>
          <w:p w14:paraId="30F6E849" w14:textId="77777777" w:rsidR="007E477D" w:rsidRPr="00900319" w:rsidRDefault="004331FF" w:rsidP="004331FF">
            <w:pPr>
              <w:contextualSpacing/>
              <w:rPr>
                <w:rFonts w:ascii="Calibri" w:hAnsi="Calibri"/>
                <w:sz w:val="20"/>
              </w:rPr>
            </w:pPr>
            <w:r w:rsidRPr="00900319">
              <w:rPr>
                <w:rFonts w:ascii="Calibri" w:hAnsi="Calibri"/>
                <w:sz w:val="20"/>
              </w:rPr>
              <w:t xml:space="preserve"> </w:t>
            </w:r>
          </w:p>
        </w:tc>
        <w:tc>
          <w:tcPr>
            <w:tcW w:w="656" w:type="dxa"/>
          </w:tcPr>
          <w:p w14:paraId="0B3A1369" w14:textId="77777777" w:rsidR="00F20DBC" w:rsidRPr="00900319" w:rsidRDefault="00F20DBC" w:rsidP="00607B94">
            <w:pPr>
              <w:contextualSpacing/>
              <w:rPr>
                <w:rFonts w:ascii="Calibri" w:hAnsi="Calibri"/>
                <w:b/>
                <w:sz w:val="20"/>
              </w:rPr>
            </w:pPr>
          </w:p>
        </w:tc>
      </w:tr>
      <w:tr w:rsidR="00F20DBC" w:rsidRPr="00900319" w14:paraId="0CA7DA3D" w14:textId="77777777" w:rsidTr="000A0C23">
        <w:tc>
          <w:tcPr>
            <w:tcW w:w="13336" w:type="dxa"/>
            <w:gridSpan w:val="6"/>
            <w:shd w:val="clear" w:color="auto" w:fill="E0E0E0"/>
          </w:tcPr>
          <w:p w14:paraId="0C78AD95" w14:textId="77777777" w:rsidR="00F20DBC" w:rsidRPr="00900319" w:rsidRDefault="00313823" w:rsidP="004541B3">
            <w:pPr>
              <w:contextualSpacing/>
              <w:rPr>
                <w:rFonts w:ascii="Calibri" w:hAnsi="Calibri"/>
                <w:b/>
                <w:sz w:val="20"/>
                <w:szCs w:val="22"/>
              </w:rPr>
            </w:pPr>
            <w:r w:rsidRPr="00900319">
              <w:rPr>
                <w:rFonts w:ascii="Calibri" w:hAnsi="Calibri" w:cs="Verdana"/>
                <w:b/>
                <w:sz w:val="20"/>
              </w:rPr>
              <w:t xml:space="preserve">c) </w:t>
            </w:r>
            <w:r w:rsidR="007E3A53" w:rsidRPr="00900319">
              <w:rPr>
                <w:rFonts w:ascii="Calibri" w:hAnsi="Calibri" w:cs="Verdana"/>
                <w:b/>
                <w:sz w:val="20"/>
              </w:rPr>
              <w:t>Should dispute options for registrants be developed and implanted as part of the IRTP (currently registrants depend on registrars to initiate a dispute on their behalf)?</w:t>
            </w:r>
          </w:p>
        </w:tc>
      </w:tr>
      <w:tr w:rsidR="009A00C5" w:rsidRPr="00900319" w14:paraId="665104A8" w14:textId="77777777" w:rsidTr="009D3209">
        <w:tc>
          <w:tcPr>
            <w:tcW w:w="675" w:type="dxa"/>
          </w:tcPr>
          <w:p w14:paraId="1E6C16FA" w14:textId="77777777" w:rsidR="00F20DBC" w:rsidRPr="00900319" w:rsidRDefault="00F20DBC" w:rsidP="004439A3">
            <w:pPr>
              <w:numPr>
                <w:ilvl w:val="0"/>
                <w:numId w:val="4"/>
              </w:numPr>
              <w:contextualSpacing/>
              <w:rPr>
                <w:rFonts w:ascii="Calibri" w:hAnsi="Calibri"/>
                <w:b/>
                <w:sz w:val="20"/>
              </w:rPr>
            </w:pPr>
          </w:p>
        </w:tc>
        <w:tc>
          <w:tcPr>
            <w:tcW w:w="4563" w:type="dxa"/>
          </w:tcPr>
          <w:p w14:paraId="33BA2CDE" w14:textId="77777777" w:rsidR="00F20DBC" w:rsidRPr="00900319" w:rsidRDefault="007E3A53" w:rsidP="004439A3">
            <w:pPr>
              <w:pStyle w:val="ListParagraph"/>
              <w:ind w:left="0"/>
              <w:rPr>
                <w:rFonts w:ascii="Calibri" w:hAnsi="Calibri"/>
                <w:sz w:val="20"/>
              </w:rPr>
            </w:pPr>
            <w:r w:rsidRPr="00900319">
              <w:rPr>
                <w:rFonts w:ascii="Calibri" w:hAnsi="Calibri" w:cs="Verdana"/>
                <w:sz w:val="20"/>
              </w:rPr>
              <w:t xml:space="preserve">The BC believes that </w:t>
            </w:r>
            <w:r w:rsidRPr="000A0C23">
              <w:rPr>
                <w:rFonts w:ascii="Calibri" w:hAnsi="Calibri" w:cs="Verdana"/>
                <w:b/>
                <w:sz w:val="20"/>
              </w:rPr>
              <w:t>there must be a mechanism for registrants to initiate proceedings when registrars decline to initiate them</w:t>
            </w:r>
          </w:p>
        </w:tc>
        <w:tc>
          <w:tcPr>
            <w:tcW w:w="810" w:type="dxa"/>
          </w:tcPr>
          <w:p w14:paraId="08581565" w14:textId="77777777" w:rsidR="00F20DBC" w:rsidRPr="00900319" w:rsidRDefault="00313823" w:rsidP="004439A3">
            <w:pPr>
              <w:contextualSpacing/>
              <w:rPr>
                <w:rFonts w:ascii="Calibri" w:hAnsi="Calibri"/>
                <w:sz w:val="20"/>
              </w:rPr>
            </w:pPr>
            <w:r w:rsidRPr="00900319">
              <w:rPr>
                <w:rFonts w:ascii="Calibri" w:hAnsi="Calibri"/>
                <w:sz w:val="20"/>
              </w:rPr>
              <w:t>BC</w:t>
            </w:r>
          </w:p>
        </w:tc>
        <w:tc>
          <w:tcPr>
            <w:tcW w:w="6300" w:type="dxa"/>
          </w:tcPr>
          <w:p w14:paraId="363987E1" w14:textId="77777777" w:rsidR="00230FE3" w:rsidRDefault="00230FE3" w:rsidP="00900319">
            <w:pPr>
              <w:numPr>
                <w:ilvl w:val="0"/>
                <w:numId w:val="21"/>
              </w:numPr>
              <w:tabs>
                <w:tab w:val="left" w:pos="162"/>
              </w:tabs>
              <w:ind w:left="342" w:hanging="180"/>
              <w:contextualSpacing/>
              <w:rPr>
                <w:rFonts w:ascii="Calibri" w:hAnsi="Calibri"/>
                <w:sz w:val="20"/>
              </w:rPr>
            </w:pPr>
            <w:r w:rsidRPr="00900319">
              <w:rPr>
                <w:rFonts w:ascii="Calibri" w:hAnsi="Calibri"/>
                <w:sz w:val="20"/>
              </w:rPr>
              <w:t xml:space="preserve">The </w:t>
            </w:r>
            <w:r w:rsidR="00900319" w:rsidRPr="00900319">
              <w:rPr>
                <w:rFonts w:ascii="Calibri" w:hAnsi="Calibri"/>
                <w:sz w:val="20"/>
              </w:rPr>
              <w:t>conflict</w:t>
            </w:r>
            <w:r w:rsidRPr="00900319">
              <w:rPr>
                <w:rFonts w:ascii="Calibri" w:hAnsi="Calibri"/>
                <w:sz w:val="20"/>
              </w:rPr>
              <w:t xml:space="preserve"> between administrative contact and registered name holder should be addressed in this respect: how to set best practice rules on </w:t>
            </w:r>
            <w:r w:rsidRPr="000A0C23">
              <w:rPr>
                <w:rFonts w:ascii="Calibri" w:hAnsi="Calibri"/>
                <w:b/>
                <w:sz w:val="20"/>
              </w:rPr>
              <w:t>who should be the final authority on domain transfers</w:t>
            </w:r>
            <w:r w:rsidRPr="00900319">
              <w:rPr>
                <w:rFonts w:ascii="Calibri" w:hAnsi="Calibri"/>
                <w:sz w:val="20"/>
              </w:rPr>
              <w:t>?</w:t>
            </w:r>
          </w:p>
          <w:p w14:paraId="581E8174" w14:textId="77777777" w:rsidR="00F20DBC" w:rsidRPr="00900319" w:rsidRDefault="00F20DBC" w:rsidP="000A0C23">
            <w:pPr>
              <w:numPr>
                <w:ilvl w:val="0"/>
                <w:numId w:val="21"/>
              </w:numPr>
              <w:tabs>
                <w:tab w:val="left" w:pos="162"/>
              </w:tabs>
              <w:ind w:left="342" w:hanging="180"/>
              <w:contextualSpacing/>
              <w:rPr>
                <w:rFonts w:ascii="Calibri" w:hAnsi="Calibri"/>
                <w:sz w:val="20"/>
              </w:rPr>
            </w:pPr>
          </w:p>
        </w:tc>
        <w:tc>
          <w:tcPr>
            <w:tcW w:w="988" w:type="dxa"/>
            <w:gridSpan w:val="2"/>
          </w:tcPr>
          <w:p w14:paraId="25591A41" w14:textId="77777777" w:rsidR="00F20DBC" w:rsidRPr="00900319" w:rsidRDefault="00F20DBC" w:rsidP="004439A3">
            <w:pPr>
              <w:contextualSpacing/>
              <w:rPr>
                <w:rFonts w:ascii="Calibri" w:hAnsi="Calibri"/>
                <w:b/>
                <w:sz w:val="20"/>
              </w:rPr>
            </w:pPr>
          </w:p>
        </w:tc>
      </w:tr>
      <w:tr w:rsidR="009A00C5" w:rsidRPr="00900319" w14:paraId="113D4FEB" w14:textId="77777777" w:rsidTr="009D3209">
        <w:tc>
          <w:tcPr>
            <w:tcW w:w="675" w:type="dxa"/>
          </w:tcPr>
          <w:p w14:paraId="4D2C8117" w14:textId="77777777" w:rsidR="00D9725D" w:rsidRPr="00900319" w:rsidRDefault="00D9725D" w:rsidP="0095711C">
            <w:pPr>
              <w:numPr>
                <w:ilvl w:val="0"/>
                <w:numId w:val="4"/>
              </w:numPr>
              <w:contextualSpacing/>
              <w:rPr>
                <w:rFonts w:ascii="Calibri" w:hAnsi="Calibri"/>
                <w:b/>
                <w:sz w:val="20"/>
              </w:rPr>
            </w:pPr>
          </w:p>
        </w:tc>
        <w:tc>
          <w:tcPr>
            <w:tcW w:w="4563" w:type="dxa"/>
          </w:tcPr>
          <w:p w14:paraId="3F6123F3" w14:textId="77777777" w:rsidR="00D9725D" w:rsidRPr="00900319" w:rsidRDefault="00313823" w:rsidP="00313823">
            <w:pPr>
              <w:widowControl w:val="0"/>
              <w:autoSpaceDE w:val="0"/>
              <w:autoSpaceDN w:val="0"/>
              <w:adjustRightInd w:val="0"/>
              <w:spacing w:after="240"/>
              <w:rPr>
                <w:rFonts w:ascii="Calibri" w:hAnsi="Calibri" w:cs="Verdana"/>
                <w:sz w:val="20"/>
              </w:rPr>
            </w:pPr>
            <w:r w:rsidRPr="00900319">
              <w:rPr>
                <w:rFonts w:ascii="Calibri" w:hAnsi="Calibri" w:cs="Verdana"/>
                <w:sz w:val="20"/>
              </w:rPr>
              <w:t xml:space="preserve">The RySG supports </w:t>
            </w:r>
            <w:r w:rsidRPr="000A0C23">
              <w:rPr>
                <w:rFonts w:ascii="Calibri" w:hAnsi="Calibri" w:cs="Verdana"/>
                <w:b/>
                <w:sz w:val="20"/>
              </w:rPr>
              <w:t>dispute options for registrants</w:t>
            </w:r>
            <w:r w:rsidRPr="00900319">
              <w:rPr>
                <w:rFonts w:ascii="Calibri" w:hAnsi="Calibri" w:cs="Verdana"/>
                <w:sz w:val="20"/>
              </w:rPr>
              <w:t>. There should be clear avenues for registrants to make a complaint or file a dispute case, but the first option should always be to go through the registrar. Because the potential for gaming is high, careful consideration should be made in determining secondary options if the registrar is unresponsive. Just one potential issue associated with a direct dispute mechanism for registrants is the inability of parties other than the registrar to authenticate the registrant.</w:t>
            </w:r>
          </w:p>
        </w:tc>
        <w:tc>
          <w:tcPr>
            <w:tcW w:w="810" w:type="dxa"/>
          </w:tcPr>
          <w:p w14:paraId="0CACFDE4" w14:textId="77777777" w:rsidR="00D9725D" w:rsidRPr="00900319" w:rsidRDefault="00313823" w:rsidP="00313823">
            <w:pPr>
              <w:contextualSpacing/>
              <w:rPr>
                <w:rFonts w:ascii="Calibri" w:hAnsi="Calibri"/>
                <w:sz w:val="20"/>
              </w:rPr>
            </w:pPr>
            <w:r w:rsidRPr="00900319">
              <w:rPr>
                <w:rFonts w:ascii="Calibri" w:hAnsi="Calibri"/>
                <w:sz w:val="20"/>
              </w:rPr>
              <w:t xml:space="preserve">RySG </w:t>
            </w:r>
            <w:r w:rsidRPr="00900319">
              <w:rPr>
                <w:rFonts w:ascii="Calibri" w:hAnsi="Calibri"/>
                <w:sz w:val="14"/>
                <w:szCs w:val="16"/>
              </w:rPr>
              <w:t>(submitted in response to the Preliminary Issue Report)</w:t>
            </w:r>
          </w:p>
        </w:tc>
        <w:tc>
          <w:tcPr>
            <w:tcW w:w="6300" w:type="dxa"/>
          </w:tcPr>
          <w:p w14:paraId="6394DAC9" w14:textId="77777777" w:rsidR="00D9725D" w:rsidRPr="00900319" w:rsidRDefault="00EB189D" w:rsidP="00900319">
            <w:pPr>
              <w:numPr>
                <w:ilvl w:val="0"/>
                <w:numId w:val="16"/>
              </w:numPr>
              <w:ind w:left="342" w:hanging="180"/>
              <w:contextualSpacing/>
              <w:rPr>
                <w:rFonts w:ascii="Calibri" w:hAnsi="Calibri"/>
                <w:sz w:val="20"/>
              </w:rPr>
            </w:pPr>
            <w:r w:rsidRPr="00900319">
              <w:rPr>
                <w:rFonts w:ascii="Calibri" w:hAnsi="Calibri"/>
                <w:sz w:val="20"/>
              </w:rPr>
              <w:t xml:space="preserve">there is a problem with transfer being </w:t>
            </w:r>
            <w:r w:rsidR="00472320" w:rsidRPr="00900319">
              <w:rPr>
                <w:rFonts w:ascii="Calibri" w:hAnsi="Calibri"/>
                <w:sz w:val="20"/>
              </w:rPr>
              <w:t>authorized</w:t>
            </w:r>
            <w:r w:rsidRPr="00900319">
              <w:rPr>
                <w:rFonts w:ascii="Calibri" w:hAnsi="Calibri"/>
                <w:sz w:val="20"/>
              </w:rPr>
              <w:t xml:space="preserve"> by admin contact and not registrant (dealt with in Charter question ‘b’ of IRTP B.</w:t>
            </w:r>
          </w:p>
          <w:p w14:paraId="609A2B62" w14:textId="77777777" w:rsidR="005D7D19" w:rsidRPr="00900319" w:rsidRDefault="005D7D19" w:rsidP="00900319">
            <w:pPr>
              <w:numPr>
                <w:ilvl w:val="0"/>
                <w:numId w:val="16"/>
              </w:numPr>
              <w:ind w:left="342" w:hanging="180"/>
              <w:contextualSpacing/>
              <w:rPr>
                <w:rFonts w:ascii="Calibri" w:hAnsi="Calibri"/>
                <w:sz w:val="20"/>
              </w:rPr>
            </w:pPr>
            <w:r w:rsidRPr="00900319">
              <w:rPr>
                <w:rFonts w:ascii="Calibri" w:hAnsi="Calibri"/>
                <w:sz w:val="20"/>
              </w:rPr>
              <w:t xml:space="preserve">also assess the problems with the access to </w:t>
            </w:r>
            <w:r w:rsidR="00472320" w:rsidRPr="00900319">
              <w:rPr>
                <w:rFonts w:ascii="Calibri" w:hAnsi="Calibri"/>
                <w:sz w:val="20"/>
              </w:rPr>
              <w:t>registrant</w:t>
            </w:r>
            <w:r w:rsidRPr="00900319">
              <w:rPr>
                <w:rFonts w:ascii="Calibri" w:hAnsi="Calibri"/>
                <w:sz w:val="20"/>
              </w:rPr>
              <w:t xml:space="preserve"> contact details in thin vs</w:t>
            </w:r>
            <w:r w:rsidR="00472320">
              <w:rPr>
                <w:rFonts w:ascii="Calibri" w:hAnsi="Calibri"/>
                <w:sz w:val="20"/>
              </w:rPr>
              <w:t>.</w:t>
            </w:r>
            <w:r w:rsidRPr="00900319">
              <w:rPr>
                <w:rFonts w:ascii="Calibri" w:hAnsi="Calibri"/>
                <w:sz w:val="20"/>
              </w:rPr>
              <w:t xml:space="preserve"> thick </w:t>
            </w:r>
            <w:r w:rsidR="00472320" w:rsidRPr="00900319">
              <w:rPr>
                <w:rFonts w:ascii="Calibri" w:hAnsi="Calibri"/>
                <w:sz w:val="20"/>
              </w:rPr>
              <w:t>Whois</w:t>
            </w:r>
            <w:r w:rsidRPr="00900319">
              <w:rPr>
                <w:rFonts w:ascii="Calibri" w:hAnsi="Calibri"/>
                <w:sz w:val="20"/>
              </w:rPr>
              <w:t xml:space="preserve"> models.</w:t>
            </w:r>
          </w:p>
          <w:p w14:paraId="157F2AB1" w14:textId="77777777" w:rsidR="005D7D19" w:rsidRDefault="005D7D19" w:rsidP="00900319">
            <w:pPr>
              <w:numPr>
                <w:ilvl w:val="0"/>
                <w:numId w:val="16"/>
              </w:numPr>
              <w:ind w:left="342" w:hanging="180"/>
              <w:contextualSpacing/>
              <w:rPr>
                <w:rFonts w:ascii="Calibri" w:hAnsi="Calibri"/>
                <w:sz w:val="20"/>
              </w:rPr>
            </w:pPr>
            <w:r w:rsidRPr="00900319">
              <w:rPr>
                <w:rFonts w:ascii="Calibri" w:hAnsi="Calibri"/>
                <w:sz w:val="20"/>
              </w:rPr>
              <w:t xml:space="preserve">Possible re-assess of this question </w:t>
            </w:r>
            <w:r w:rsidRPr="000A0C23">
              <w:rPr>
                <w:rFonts w:ascii="Calibri" w:hAnsi="Calibri"/>
                <w:b/>
                <w:sz w:val="20"/>
              </w:rPr>
              <w:t xml:space="preserve">once the thick </w:t>
            </w:r>
            <w:r w:rsidR="00472320" w:rsidRPr="000A0C23">
              <w:rPr>
                <w:rFonts w:ascii="Calibri" w:hAnsi="Calibri"/>
                <w:b/>
                <w:sz w:val="20"/>
              </w:rPr>
              <w:t>Whois</w:t>
            </w:r>
            <w:r w:rsidRPr="000A0C23">
              <w:rPr>
                <w:rFonts w:ascii="Calibri" w:hAnsi="Calibri"/>
                <w:b/>
                <w:sz w:val="20"/>
              </w:rPr>
              <w:t xml:space="preserve"> PDP is concluded</w:t>
            </w:r>
            <w:r w:rsidRPr="00900319">
              <w:rPr>
                <w:rFonts w:ascii="Calibri" w:hAnsi="Calibri"/>
                <w:sz w:val="20"/>
              </w:rPr>
              <w:t>.</w:t>
            </w:r>
          </w:p>
          <w:p w14:paraId="4A9584D8" w14:textId="77777777" w:rsidR="000A0C23" w:rsidRPr="009D3209" w:rsidRDefault="000A0C23" w:rsidP="00900319">
            <w:pPr>
              <w:numPr>
                <w:ilvl w:val="0"/>
                <w:numId w:val="16"/>
              </w:numPr>
              <w:ind w:left="342" w:hanging="180"/>
              <w:contextualSpacing/>
              <w:rPr>
                <w:rFonts w:ascii="Calibri" w:hAnsi="Calibri"/>
                <w:b/>
                <w:sz w:val="20"/>
              </w:rPr>
            </w:pPr>
            <w:r w:rsidRPr="009D3209">
              <w:rPr>
                <w:rFonts w:ascii="Calibri" w:hAnsi="Calibri"/>
                <w:b/>
                <w:sz w:val="20"/>
              </w:rPr>
              <w:t>Key discussion points:</w:t>
            </w:r>
          </w:p>
          <w:p w14:paraId="65162350" w14:textId="77777777" w:rsidR="000A0C23" w:rsidRPr="009D3209" w:rsidRDefault="000A0C23" w:rsidP="000A0C23">
            <w:pPr>
              <w:numPr>
                <w:ilvl w:val="1"/>
                <w:numId w:val="16"/>
              </w:numPr>
              <w:contextualSpacing/>
              <w:rPr>
                <w:rFonts w:ascii="Calibri" w:hAnsi="Calibri"/>
                <w:b/>
                <w:sz w:val="20"/>
              </w:rPr>
            </w:pPr>
            <w:r w:rsidRPr="009D3209">
              <w:rPr>
                <w:rFonts w:ascii="Calibri" w:hAnsi="Calibri" w:cs="Verdana"/>
                <w:b/>
                <w:sz w:val="20"/>
              </w:rPr>
              <w:t>A mechanism for registrants to initiate proceedings when registrars decline to initiate them</w:t>
            </w:r>
          </w:p>
          <w:p w14:paraId="1D55B3E5" w14:textId="77777777" w:rsidR="000A0C23" w:rsidRPr="009D3209" w:rsidRDefault="000A0C23" w:rsidP="000A0C23">
            <w:pPr>
              <w:numPr>
                <w:ilvl w:val="1"/>
                <w:numId w:val="16"/>
              </w:numPr>
              <w:contextualSpacing/>
              <w:rPr>
                <w:rFonts w:ascii="Calibri" w:hAnsi="Calibri"/>
                <w:b/>
                <w:sz w:val="20"/>
              </w:rPr>
            </w:pPr>
            <w:r w:rsidRPr="009D3209">
              <w:rPr>
                <w:rFonts w:ascii="Calibri" w:hAnsi="Calibri" w:cs="Verdana"/>
                <w:b/>
                <w:sz w:val="20"/>
              </w:rPr>
              <w:t>Should this be aimed at a mechanism to initiate a dispute directly with the 2</w:t>
            </w:r>
            <w:r w:rsidRPr="009D3209">
              <w:rPr>
                <w:rFonts w:ascii="Calibri" w:hAnsi="Calibri" w:cs="Verdana"/>
                <w:b/>
                <w:sz w:val="20"/>
                <w:vertAlign w:val="superscript"/>
              </w:rPr>
              <w:t>nd</w:t>
            </w:r>
            <w:r w:rsidRPr="009D3209">
              <w:rPr>
                <w:rFonts w:ascii="Calibri" w:hAnsi="Calibri" w:cs="Verdana"/>
                <w:b/>
                <w:sz w:val="20"/>
              </w:rPr>
              <w:t xml:space="preserve"> level provider?</w:t>
            </w:r>
          </w:p>
          <w:p w14:paraId="7BE30705" w14:textId="77777777" w:rsidR="000A0C23" w:rsidRPr="00900319" w:rsidRDefault="000A0C23" w:rsidP="000A0C23">
            <w:pPr>
              <w:numPr>
                <w:ilvl w:val="1"/>
                <w:numId w:val="16"/>
              </w:numPr>
              <w:contextualSpacing/>
              <w:rPr>
                <w:rFonts w:ascii="Calibri" w:hAnsi="Calibri"/>
                <w:sz w:val="20"/>
              </w:rPr>
            </w:pPr>
            <w:r w:rsidRPr="009D3209">
              <w:rPr>
                <w:rFonts w:ascii="Calibri" w:hAnsi="Calibri" w:cs="Verdana"/>
                <w:b/>
                <w:sz w:val="20"/>
              </w:rPr>
              <w:t>The inability of parties other than the registrar to authenticate the registrant (applies more to thin Whois – which may be impacted by the results of the Thick Whois PDP)</w:t>
            </w:r>
          </w:p>
        </w:tc>
        <w:tc>
          <w:tcPr>
            <w:tcW w:w="988" w:type="dxa"/>
            <w:gridSpan w:val="2"/>
          </w:tcPr>
          <w:p w14:paraId="4F9138CF" w14:textId="77777777" w:rsidR="00D9725D" w:rsidRPr="00900319" w:rsidRDefault="00D9725D" w:rsidP="004439A3">
            <w:pPr>
              <w:contextualSpacing/>
              <w:rPr>
                <w:rFonts w:ascii="Calibri" w:hAnsi="Calibri"/>
                <w:b/>
                <w:sz w:val="20"/>
              </w:rPr>
            </w:pPr>
          </w:p>
        </w:tc>
      </w:tr>
      <w:tr w:rsidR="00D9725D" w:rsidRPr="00900319" w14:paraId="564E796D" w14:textId="77777777" w:rsidTr="000A0C23">
        <w:tc>
          <w:tcPr>
            <w:tcW w:w="13336" w:type="dxa"/>
            <w:gridSpan w:val="6"/>
            <w:shd w:val="clear" w:color="auto" w:fill="E0E0E0"/>
          </w:tcPr>
          <w:p w14:paraId="782FA15E" w14:textId="77777777" w:rsidR="00D9725D" w:rsidRPr="00900319" w:rsidRDefault="00313823" w:rsidP="00313823">
            <w:pPr>
              <w:contextualSpacing/>
              <w:rPr>
                <w:sz w:val="22"/>
              </w:rPr>
            </w:pPr>
            <w:r w:rsidRPr="00900319">
              <w:rPr>
                <w:rFonts w:ascii="Calibri" w:hAnsi="Calibri" w:cs="Verdana"/>
                <w:b/>
                <w:sz w:val="20"/>
              </w:rPr>
              <w:t xml:space="preserve">d) </w:t>
            </w:r>
            <w:r w:rsidR="007E3A53" w:rsidRPr="00900319">
              <w:rPr>
                <w:rFonts w:ascii="Calibri" w:hAnsi="Calibri" w:cs="Verdana"/>
                <w:b/>
                <w:sz w:val="20"/>
              </w:rPr>
              <w:t>Should certain requirements and best practices be put into place for registrars to make information on transfer dispute resolution options available to registrants?</w:t>
            </w:r>
          </w:p>
        </w:tc>
      </w:tr>
      <w:tr w:rsidR="009A00C5" w:rsidRPr="00900319" w14:paraId="25551980" w14:textId="77777777" w:rsidTr="009D3209">
        <w:tc>
          <w:tcPr>
            <w:tcW w:w="675" w:type="dxa"/>
          </w:tcPr>
          <w:p w14:paraId="1B952231" w14:textId="77777777" w:rsidR="00D9725D" w:rsidRPr="00900319" w:rsidRDefault="00D9725D" w:rsidP="004439A3">
            <w:pPr>
              <w:numPr>
                <w:ilvl w:val="0"/>
                <w:numId w:val="4"/>
              </w:numPr>
              <w:contextualSpacing/>
              <w:rPr>
                <w:rFonts w:ascii="Calibri" w:hAnsi="Calibri"/>
                <w:b/>
                <w:sz w:val="20"/>
              </w:rPr>
            </w:pPr>
          </w:p>
        </w:tc>
        <w:tc>
          <w:tcPr>
            <w:tcW w:w="4563" w:type="dxa"/>
          </w:tcPr>
          <w:p w14:paraId="434D723D" w14:textId="77777777" w:rsidR="00D9725D" w:rsidRPr="00900319" w:rsidRDefault="007E3A53" w:rsidP="00313823">
            <w:pPr>
              <w:keepNext/>
              <w:spacing w:line="276" w:lineRule="auto"/>
              <w:rPr>
                <w:rFonts w:ascii="Calibri" w:hAnsi="Calibri"/>
                <w:sz w:val="20"/>
              </w:rPr>
            </w:pPr>
            <w:r w:rsidRPr="00900319">
              <w:rPr>
                <w:rFonts w:ascii="Calibri" w:hAnsi="Calibri" w:cs="Verdana"/>
                <w:sz w:val="20"/>
              </w:rPr>
              <w:t>In the interests of consumer protection the BC recommends establishing requirements for registrars to publish information pertaining to transfer dispute resolution options available to registrants.</w:t>
            </w:r>
          </w:p>
        </w:tc>
        <w:tc>
          <w:tcPr>
            <w:tcW w:w="810" w:type="dxa"/>
          </w:tcPr>
          <w:p w14:paraId="0D247018" w14:textId="77777777" w:rsidR="00D9725D" w:rsidRPr="00900319" w:rsidRDefault="00313823" w:rsidP="004439A3">
            <w:pPr>
              <w:contextualSpacing/>
              <w:rPr>
                <w:rFonts w:ascii="Calibri" w:hAnsi="Calibri"/>
                <w:sz w:val="20"/>
              </w:rPr>
            </w:pPr>
            <w:r w:rsidRPr="00900319">
              <w:rPr>
                <w:rFonts w:ascii="Calibri" w:hAnsi="Calibri"/>
                <w:sz w:val="20"/>
              </w:rPr>
              <w:t>BC</w:t>
            </w:r>
          </w:p>
        </w:tc>
        <w:tc>
          <w:tcPr>
            <w:tcW w:w="6300" w:type="dxa"/>
          </w:tcPr>
          <w:p w14:paraId="49ED0BB4" w14:textId="77777777" w:rsidR="00230FE3" w:rsidRPr="00900319" w:rsidRDefault="00230FE3" w:rsidP="00230FE3">
            <w:pPr>
              <w:contextualSpacing/>
              <w:rPr>
                <w:rFonts w:ascii="Calibri" w:hAnsi="Calibri"/>
                <w:sz w:val="20"/>
              </w:rPr>
            </w:pPr>
          </w:p>
        </w:tc>
        <w:tc>
          <w:tcPr>
            <w:tcW w:w="988" w:type="dxa"/>
            <w:gridSpan w:val="2"/>
          </w:tcPr>
          <w:p w14:paraId="25E6E111" w14:textId="77777777" w:rsidR="00D9725D" w:rsidRPr="00900319" w:rsidRDefault="00D9725D" w:rsidP="004439A3">
            <w:pPr>
              <w:contextualSpacing/>
              <w:rPr>
                <w:rFonts w:ascii="Calibri" w:hAnsi="Calibri"/>
                <w:b/>
                <w:sz w:val="20"/>
              </w:rPr>
            </w:pPr>
          </w:p>
        </w:tc>
      </w:tr>
      <w:tr w:rsidR="009A00C5" w:rsidRPr="00900319" w14:paraId="2B1137D2" w14:textId="77777777" w:rsidTr="009D3209">
        <w:tc>
          <w:tcPr>
            <w:tcW w:w="675" w:type="dxa"/>
          </w:tcPr>
          <w:p w14:paraId="4CC0128D" w14:textId="77777777" w:rsidR="00D9725D" w:rsidRPr="00900319" w:rsidRDefault="00D9725D" w:rsidP="004439A3">
            <w:pPr>
              <w:numPr>
                <w:ilvl w:val="0"/>
                <w:numId w:val="4"/>
              </w:numPr>
              <w:contextualSpacing/>
              <w:rPr>
                <w:rFonts w:ascii="Calibri" w:hAnsi="Calibri"/>
                <w:b/>
                <w:sz w:val="20"/>
              </w:rPr>
            </w:pPr>
          </w:p>
        </w:tc>
        <w:tc>
          <w:tcPr>
            <w:tcW w:w="4563" w:type="dxa"/>
          </w:tcPr>
          <w:p w14:paraId="7F9476E6" w14:textId="77777777" w:rsidR="00D9725D" w:rsidRPr="00900319" w:rsidRDefault="008A7CDE" w:rsidP="008A7CDE">
            <w:pPr>
              <w:widowControl w:val="0"/>
              <w:autoSpaceDE w:val="0"/>
              <w:autoSpaceDN w:val="0"/>
              <w:adjustRightInd w:val="0"/>
              <w:spacing w:after="240"/>
              <w:rPr>
                <w:rFonts w:ascii="Calibri" w:hAnsi="Calibri" w:cs="Verdana"/>
                <w:sz w:val="20"/>
              </w:rPr>
            </w:pPr>
            <w:r w:rsidRPr="00900319">
              <w:rPr>
                <w:rFonts w:ascii="Calibri" w:hAnsi="Calibri" w:cs="Verdana"/>
                <w:sz w:val="20"/>
              </w:rPr>
              <w:t>The RySG commends ICANN on the steps that they have taken to provide information to registrants on the transfer process in the form of information on their website including frequently asked questions, one of which includes a link to the Transfer Dispute Resolution Policy. The RySG is supportive of establishing best practices, and perhaps requirements, for making information on how to initiate a transfer, as well as transfer dispute options available to registrants via the registrar. Most registrants should know who their registrar is so registrar web sites would be a logical place where registrants would go for answers to questions relating to transferring their domain name. It is the RySG’s opinion that information for registrants on how to file a dispute should they feel that their domain name was transferred without their authorization, or if their registrar of record is prohibiting the transfer of their domain name for a reason that is in direct conflict with the IRTP, also be included. Implementation of agreed upon best practices could be as simple as requiring all registrars to provide a link on their web site to the best practices that could be hosted and maintained by ICANN.</w:t>
            </w:r>
          </w:p>
        </w:tc>
        <w:tc>
          <w:tcPr>
            <w:tcW w:w="810" w:type="dxa"/>
          </w:tcPr>
          <w:p w14:paraId="7DA240EC" w14:textId="77777777" w:rsidR="00D9725D" w:rsidRPr="00900319" w:rsidRDefault="00313823" w:rsidP="004439A3">
            <w:pPr>
              <w:contextualSpacing/>
              <w:rPr>
                <w:rFonts w:ascii="Calibri" w:hAnsi="Calibri"/>
                <w:sz w:val="20"/>
              </w:rPr>
            </w:pPr>
            <w:r w:rsidRPr="00900319">
              <w:rPr>
                <w:rFonts w:ascii="Calibri" w:hAnsi="Calibri"/>
                <w:sz w:val="20"/>
              </w:rPr>
              <w:t xml:space="preserve">RySG </w:t>
            </w:r>
            <w:r w:rsidRPr="00900319">
              <w:rPr>
                <w:rFonts w:ascii="Calibri" w:hAnsi="Calibri"/>
                <w:sz w:val="14"/>
                <w:szCs w:val="16"/>
              </w:rPr>
              <w:t>(submitted in response to the Preliminary Issue Report)</w:t>
            </w:r>
          </w:p>
        </w:tc>
        <w:tc>
          <w:tcPr>
            <w:tcW w:w="6300" w:type="dxa"/>
          </w:tcPr>
          <w:p w14:paraId="54A1A92D" w14:textId="77777777" w:rsidR="00342264" w:rsidRPr="00342264" w:rsidRDefault="00342264" w:rsidP="00342264">
            <w:pPr>
              <w:widowControl w:val="0"/>
              <w:autoSpaceDE w:val="0"/>
              <w:autoSpaceDN w:val="0"/>
              <w:adjustRightInd w:val="0"/>
              <w:rPr>
                <w:rFonts w:ascii="Calibri" w:hAnsi="Calibri"/>
                <w:sz w:val="20"/>
              </w:rPr>
            </w:pPr>
            <w:r>
              <w:rPr>
                <w:rFonts w:ascii="Calibri" w:hAnsi="Calibri"/>
                <w:sz w:val="20"/>
              </w:rPr>
              <w:t xml:space="preserve">- </w:t>
            </w:r>
            <w:r w:rsidRPr="00342264">
              <w:rPr>
                <w:rFonts w:ascii="Calibri" w:hAnsi="Calibri"/>
                <w:sz w:val="20"/>
              </w:rPr>
              <w:t>Improving the publishing of information - by requiring registrars to make info to dispute resolution available - falls into a general bucket to improve the information that is available to the registrants</w:t>
            </w:r>
          </w:p>
          <w:p w14:paraId="58E3FE89" w14:textId="77777777" w:rsidR="00342264" w:rsidRPr="00342264" w:rsidRDefault="00342264" w:rsidP="00342264">
            <w:pPr>
              <w:widowControl w:val="0"/>
              <w:autoSpaceDE w:val="0"/>
              <w:autoSpaceDN w:val="0"/>
              <w:adjustRightInd w:val="0"/>
              <w:rPr>
                <w:rFonts w:ascii="Calibri" w:hAnsi="Calibri"/>
                <w:sz w:val="20"/>
              </w:rPr>
            </w:pPr>
          </w:p>
          <w:p w14:paraId="3DA8A9C8" w14:textId="77777777" w:rsidR="00342264" w:rsidRPr="00342264" w:rsidRDefault="00342264" w:rsidP="00342264">
            <w:pPr>
              <w:widowControl w:val="0"/>
              <w:autoSpaceDE w:val="0"/>
              <w:autoSpaceDN w:val="0"/>
              <w:adjustRightInd w:val="0"/>
              <w:ind w:left="72" w:hanging="90"/>
              <w:rPr>
                <w:rFonts w:ascii="Calibri" w:hAnsi="Calibri"/>
                <w:sz w:val="20"/>
              </w:rPr>
            </w:pPr>
            <w:r>
              <w:rPr>
                <w:rFonts w:ascii="Calibri" w:hAnsi="Calibri"/>
                <w:sz w:val="20"/>
              </w:rPr>
              <w:t xml:space="preserve">- </w:t>
            </w:r>
            <w:r w:rsidRPr="00342264">
              <w:rPr>
                <w:rFonts w:ascii="Calibri" w:hAnsi="Calibri"/>
                <w:sz w:val="20"/>
              </w:rPr>
              <w:t>If registrant can initiate a dispute - they have to be told about it.</w:t>
            </w:r>
          </w:p>
          <w:p w14:paraId="0A863999" w14:textId="77777777" w:rsidR="00342264" w:rsidRPr="00342264" w:rsidRDefault="00342264" w:rsidP="00342264">
            <w:pPr>
              <w:widowControl w:val="0"/>
              <w:autoSpaceDE w:val="0"/>
              <w:autoSpaceDN w:val="0"/>
              <w:adjustRightInd w:val="0"/>
              <w:ind w:left="72" w:hanging="90"/>
              <w:rPr>
                <w:rFonts w:ascii="Calibri" w:hAnsi="Calibri"/>
                <w:sz w:val="20"/>
              </w:rPr>
            </w:pPr>
          </w:p>
          <w:p w14:paraId="5A5C5130" w14:textId="77777777" w:rsidR="00342264" w:rsidRDefault="00342264" w:rsidP="00342264">
            <w:pPr>
              <w:widowControl w:val="0"/>
              <w:numPr>
                <w:ilvl w:val="0"/>
                <w:numId w:val="16"/>
              </w:numPr>
              <w:autoSpaceDE w:val="0"/>
              <w:autoSpaceDN w:val="0"/>
              <w:adjustRightInd w:val="0"/>
              <w:ind w:left="72" w:hanging="90"/>
              <w:rPr>
                <w:rFonts w:ascii="Calibri" w:hAnsi="Calibri"/>
                <w:sz w:val="20"/>
              </w:rPr>
            </w:pPr>
            <w:r w:rsidRPr="00342264">
              <w:rPr>
                <w:rFonts w:ascii="Calibri" w:hAnsi="Calibri"/>
                <w:sz w:val="20"/>
              </w:rPr>
              <w:t>Even though a registrant cannot lodge a dispute with the registry directly, they should have access to how they can raise an issue with their registrar who can raise a dispute on their behalf with the registry.</w:t>
            </w:r>
          </w:p>
          <w:p w14:paraId="22A37788" w14:textId="77777777" w:rsidR="00342264" w:rsidRDefault="00342264" w:rsidP="00342264">
            <w:pPr>
              <w:widowControl w:val="0"/>
              <w:numPr>
                <w:ilvl w:val="0"/>
                <w:numId w:val="16"/>
              </w:numPr>
              <w:autoSpaceDE w:val="0"/>
              <w:autoSpaceDN w:val="0"/>
              <w:adjustRightInd w:val="0"/>
              <w:ind w:left="72" w:hanging="90"/>
              <w:rPr>
                <w:rFonts w:ascii="Calibri" w:hAnsi="Calibri"/>
                <w:sz w:val="20"/>
              </w:rPr>
            </w:pPr>
            <w:r>
              <w:rPr>
                <w:rFonts w:ascii="Calibri" w:hAnsi="Calibri"/>
                <w:sz w:val="20"/>
              </w:rPr>
              <w:t xml:space="preserve">Future </w:t>
            </w:r>
            <w:r w:rsidRPr="00342264">
              <w:rPr>
                <w:rFonts w:ascii="Calibri" w:hAnsi="Calibri"/>
                <w:sz w:val="20"/>
              </w:rPr>
              <w:t xml:space="preserve">discussion </w:t>
            </w:r>
            <w:r>
              <w:rPr>
                <w:rFonts w:ascii="Calibri" w:hAnsi="Calibri"/>
                <w:sz w:val="20"/>
              </w:rPr>
              <w:t xml:space="preserve">stipulated on </w:t>
            </w:r>
            <w:r w:rsidRPr="00342264">
              <w:rPr>
                <w:rFonts w:ascii="Calibri" w:hAnsi="Calibri"/>
                <w:sz w:val="20"/>
              </w:rPr>
              <w:t>whether to put it into the registrant-registrar agreement or not.</w:t>
            </w:r>
          </w:p>
          <w:p w14:paraId="742D4EC1" w14:textId="77777777" w:rsidR="00342264" w:rsidRDefault="00342264" w:rsidP="00342264">
            <w:pPr>
              <w:widowControl w:val="0"/>
              <w:autoSpaceDE w:val="0"/>
              <w:autoSpaceDN w:val="0"/>
              <w:adjustRightInd w:val="0"/>
              <w:ind w:left="72"/>
              <w:rPr>
                <w:rFonts w:ascii="Calibri" w:hAnsi="Calibri"/>
                <w:sz w:val="20"/>
              </w:rPr>
            </w:pPr>
          </w:p>
          <w:p w14:paraId="093344B8" w14:textId="77777777" w:rsidR="00D9725D" w:rsidRDefault="00342264" w:rsidP="00342264">
            <w:pPr>
              <w:widowControl w:val="0"/>
              <w:autoSpaceDE w:val="0"/>
              <w:autoSpaceDN w:val="0"/>
              <w:adjustRightInd w:val="0"/>
              <w:ind w:left="72" w:hanging="90"/>
              <w:rPr>
                <w:rFonts w:ascii="Calibri" w:hAnsi="Calibri"/>
                <w:sz w:val="20"/>
              </w:rPr>
            </w:pPr>
            <w:r>
              <w:rPr>
                <w:rFonts w:ascii="Calibri" w:hAnsi="Calibri"/>
                <w:sz w:val="20"/>
              </w:rPr>
              <w:t xml:space="preserve">- </w:t>
            </w:r>
            <w:r w:rsidRPr="00342264">
              <w:rPr>
                <w:rFonts w:ascii="Calibri" w:hAnsi="Calibri"/>
                <w:sz w:val="20"/>
              </w:rPr>
              <w:t>General support that registers should be adequately informed - especially since the global sale and maintenance of domain names means that language/cultural barriers are likely to play a role</w:t>
            </w:r>
          </w:p>
          <w:p w14:paraId="0EDFEB0A" w14:textId="77777777" w:rsidR="000A0C23" w:rsidRDefault="000A0C23" w:rsidP="00342264">
            <w:pPr>
              <w:widowControl w:val="0"/>
              <w:autoSpaceDE w:val="0"/>
              <w:autoSpaceDN w:val="0"/>
              <w:adjustRightInd w:val="0"/>
              <w:ind w:left="72" w:hanging="90"/>
              <w:rPr>
                <w:rFonts w:ascii="Calibri" w:hAnsi="Calibri"/>
                <w:sz w:val="20"/>
              </w:rPr>
            </w:pPr>
          </w:p>
          <w:p w14:paraId="3F4887D8" w14:textId="77777777" w:rsidR="000A0C23" w:rsidRPr="00020FBF" w:rsidRDefault="00020FBF" w:rsidP="00342264">
            <w:pPr>
              <w:widowControl w:val="0"/>
              <w:autoSpaceDE w:val="0"/>
              <w:autoSpaceDN w:val="0"/>
              <w:adjustRightInd w:val="0"/>
              <w:ind w:left="72" w:hanging="90"/>
              <w:rPr>
                <w:rFonts w:ascii="Calibri" w:hAnsi="Calibri"/>
                <w:b/>
                <w:sz w:val="20"/>
              </w:rPr>
            </w:pPr>
            <w:r w:rsidRPr="00020FBF">
              <w:rPr>
                <w:rFonts w:ascii="Calibri" w:hAnsi="Calibri"/>
                <w:b/>
                <w:sz w:val="20"/>
              </w:rPr>
              <w:t>Key discussion points:</w:t>
            </w:r>
          </w:p>
          <w:p w14:paraId="5C903F8F" w14:textId="77777777" w:rsidR="00020FBF" w:rsidRPr="00020FBF" w:rsidRDefault="00020FBF" w:rsidP="00342264">
            <w:pPr>
              <w:widowControl w:val="0"/>
              <w:autoSpaceDE w:val="0"/>
              <w:autoSpaceDN w:val="0"/>
              <w:adjustRightInd w:val="0"/>
              <w:ind w:left="72" w:hanging="90"/>
              <w:rPr>
                <w:rFonts w:ascii="Calibri" w:hAnsi="Calibri"/>
                <w:b/>
                <w:sz w:val="20"/>
              </w:rPr>
            </w:pPr>
          </w:p>
          <w:p w14:paraId="24E345D7" w14:textId="77777777" w:rsidR="00020FBF" w:rsidRPr="00020FBF" w:rsidRDefault="00020FBF" w:rsidP="009D3209">
            <w:pPr>
              <w:widowControl w:val="0"/>
              <w:numPr>
                <w:ilvl w:val="0"/>
                <w:numId w:val="23"/>
              </w:numPr>
              <w:autoSpaceDE w:val="0"/>
              <w:autoSpaceDN w:val="0"/>
              <w:adjustRightInd w:val="0"/>
              <w:rPr>
                <w:rFonts w:ascii="Calibri" w:hAnsi="Calibri"/>
                <w:b/>
                <w:sz w:val="20"/>
              </w:rPr>
            </w:pPr>
            <w:r w:rsidRPr="00020FBF">
              <w:rPr>
                <w:rFonts w:ascii="Calibri" w:hAnsi="Calibri"/>
                <w:b/>
                <w:sz w:val="20"/>
              </w:rPr>
              <w:t>Where does the information reside?  RA?  Registrar web site?  ICANN-hosted education site (PEDNR implementation) with link?  Somewhere else?</w:t>
            </w:r>
          </w:p>
          <w:p w14:paraId="3DFB0A5E" w14:textId="77777777" w:rsidR="000A0C23" w:rsidRDefault="000A0C23" w:rsidP="00342264">
            <w:pPr>
              <w:widowControl w:val="0"/>
              <w:autoSpaceDE w:val="0"/>
              <w:autoSpaceDN w:val="0"/>
              <w:adjustRightInd w:val="0"/>
              <w:ind w:left="72" w:hanging="90"/>
              <w:rPr>
                <w:rFonts w:ascii="Calibri" w:hAnsi="Calibri"/>
                <w:sz w:val="20"/>
              </w:rPr>
            </w:pPr>
          </w:p>
          <w:p w14:paraId="62C99A01" w14:textId="77777777" w:rsidR="000A0C23" w:rsidRPr="00900319" w:rsidRDefault="000A0C23" w:rsidP="00342264">
            <w:pPr>
              <w:widowControl w:val="0"/>
              <w:autoSpaceDE w:val="0"/>
              <w:autoSpaceDN w:val="0"/>
              <w:adjustRightInd w:val="0"/>
              <w:ind w:left="72" w:hanging="90"/>
              <w:rPr>
                <w:rFonts w:ascii="Calibri" w:hAnsi="Calibri"/>
                <w:sz w:val="20"/>
              </w:rPr>
            </w:pPr>
          </w:p>
        </w:tc>
        <w:tc>
          <w:tcPr>
            <w:tcW w:w="988" w:type="dxa"/>
            <w:gridSpan w:val="2"/>
          </w:tcPr>
          <w:p w14:paraId="6B25FABE" w14:textId="77777777" w:rsidR="00D9725D" w:rsidRPr="00900319" w:rsidRDefault="00D9725D" w:rsidP="004439A3">
            <w:pPr>
              <w:contextualSpacing/>
              <w:rPr>
                <w:rFonts w:ascii="Calibri" w:hAnsi="Calibri"/>
                <w:b/>
                <w:sz w:val="20"/>
              </w:rPr>
            </w:pPr>
          </w:p>
        </w:tc>
      </w:tr>
      <w:tr w:rsidR="00D9725D" w:rsidRPr="00900319" w14:paraId="1BFB4DBC" w14:textId="77777777" w:rsidTr="000A0C23">
        <w:tc>
          <w:tcPr>
            <w:tcW w:w="13336" w:type="dxa"/>
            <w:gridSpan w:val="6"/>
            <w:shd w:val="clear" w:color="auto" w:fill="E0E0E0"/>
          </w:tcPr>
          <w:p w14:paraId="4E97433D" w14:textId="77777777" w:rsidR="00D9725D" w:rsidRPr="00900319" w:rsidRDefault="00313823" w:rsidP="00313823">
            <w:pPr>
              <w:contextualSpacing/>
              <w:rPr>
                <w:sz w:val="22"/>
              </w:rPr>
            </w:pPr>
            <w:r w:rsidRPr="00900319">
              <w:rPr>
                <w:rFonts w:ascii="Calibri" w:hAnsi="Calibri" w:cs="Verdana"/>
                <w:b/>
                <w:sz w:val="20"/>
              </w:rPr>
              <w:t xml:space="preserve">e) </w:t>
            </w:r>
            <w:r w:rsidR="007E3A53" w:rsidRPr="00900319">
              <w:rPr>
                <w:rFonts w:ascii="Calibri" w:hAnsi="Calibri" w:cs="Verdana"/>
                <w:b/>
                <w:sz w:val="20"/>
              </w:rPr>
              <w:t>Are existing penalties for policy violations sufficient or should additional provisions/penalties for specific violations be added into the IRTP?</w:t>
            </w:r>
          </w:p>
        </w:tc>
      </w:tr>
      <w:tr w:rsidR="009A00C5" w:rsidRPr="00900319" w14:paraId="10D7F028" w14:textId="77777777" w:rsidTr="009D3209">
        <w:tc>
          <w:tcPr>
            <w:tcW w:w="675" w:type="dxa"/>
          </w:tcPr>
          <w:p w14:paraId="12E1DF38" w14:textId="77777777" w:rsidR="00D9725D" w:rsidRPr="00900319" w:rsidRDefault="00D9725D" w:rsidP="005D2CE6">
            <w:pPr>
              <w:numPr>
                <w:ilvl w:val="0"/>
                <w:numId w:val="4"/>
              </w:numPr>
              <w:contextualSpacing/>
              <w:rPr>
                <w:rFonts w:ascii="Calibri" w:hAnsi="Calibri"/>
                <w:b/>
                <w:sz w:val="20"/>
              </w:rPr>
            </w:pPr>
          </w:p>
        </w:tc>
        <w:tc>
          <w:tcPr>
            <w:tcW w:w="4563" w:type="dxa"/>
          </w:tcPr>
          <w:p w14:paraId="7E3D2A7A" w14:textId="77777777" w:rsidR="00D9725D" w:rsidRPr="00900319" w:rsidRDefault="007E3A53" w:rsidP="00313823">
            <w:pPr>
              <w:keepNext/>
              <w:spacing w:line="276" w:lineRule="auto"/>
              <w:rPr>
                <w:rFonts w:ascii="Calibri" w:hAnsi="Calibri" w:cs="Verdana"/>
                <w:sz w:val="20"/>
              </w:rPr>
            </w:pPr>
            <w:r w:rsidRPr="00900319">
              <w:rPr>
                <w:rFonts w:ascii="Calibri" w:hAnsi="Calibri" w:cs="Verdana"/>
                <w:sz w:val="20"/>
              </w:rPr>
              <w:t xml:space="preserve">The BC believes there should be penalties for specific violations other than ‘notice of breach’. The BC “hopes” that the 2013 RAA has addressed this issue.  </w:t>
            </w:r>
          </w:p>
        </w:tc>
        <w:tc>
          <w:tcPr>
            <w:tcW w:w="810" w:type="dxa"/>
          </w:tcPr>
          <w:p w14:paraId="0B9380EF" w14:textId="77777777" w:rsidR="00D9725D" w:rsidRPr="00900319" w:rsidRDefault="00313823" w:rsidP="005D2CE6">
            <w:pPr>
              <w:contextualSpacing/>
              <w:rPr>
                <w:rFonts w:ascii="Calibri" w:hAnsi="Calibri"/>
                <w:sz w:val="20"/>
              </w:rPr>
            </w:pPr>
            <w:r w:rsidRPr="00900319">
              <w:rPr>
                <w:rFonts w:ascii="Calibri" w:hAnsi="Calibri"/>
                <w:sz w:val="20"/>
              </w:rPr>
              <w:t>BC</w:t>
            </w:r>
          </w:p>
        </w:tc>
        <w:tc>
          <w:tcPr>
            <w:tcW w:w="6300" w:type="dxa"/>
          </w:tcPr>
          <w:p w14:paraId="78E68D90" w14:textId="2FCAC621" w:rsidR="001E0A22" w:rsidRPr="00894C2E" w:rsidRDefault="00C372E8" w:rsidP="009A13C8">
            <w:pPr>
              <w:widowControl w:val="0"/>
              <w:autoSpaceDE w:val="0"/>
              <w:autoSpaceDN w:val="0"/>
              <w:adjustRightInd w:val="0"/>
              <w:spacing w:after="240"/>
              <w:rPr>
                <w:rFonts w:ascii="Calibri" w:hAnsi="Calibri" w:cs="Verdana"/>
                <w:sz w:val="20"/>
              </w:rPr>
            </w:pPr>
            <w:r>
              <w:rPr>
                <w:rFonts w:ascii="Calibri" w:hAnsi="Calibri" w:cs="Verdana"/>
                <w:sz w:val="20"/>
              </w:rPr>
              <w:t>T</w:t>
            </w:r>
            <w:r w:rsidR="009A13C8" w:rsidRPr="00894C2E">
              <w:rPr>
                <w:rFonts w:ascii="Calibri" w:hAnsi="Calibri" w:cs="Verdana"/>
                <w:sz w:val="20"/>
              </w:rPr>
              <w:t xml:space="preserve">he draft RAA </w:t>
            </w:r>
            <w:r>
              <w:rPr>
                <w:rFonts w:ascii="Calibri" w:hAnsi="Calibri" w:cs="Verdana"/>
                <w:sz w:val="20"/>
              </w:rPr>
              <w:t xml:space="preserve">- </w:t>
            </w:r>
            <w:r w:rsidR="009A13C8" w:rsidRPr="00894C2E">
              <w:rPr>
                <w:rFonts w:ascii="Calibri" w:hAnsi="Calibri" w:cs="Verdana"/>
                <w:sz w:val="20"/>
              </w:rPr>
              <w:t xml:space="preserve">as it stands now </w:t>
            </w:r>
            <w:r>
              <w:rPr>
                <w:rFonts w:ascii="Calibri" w:hAnsi="Calibri" w:cs="Verdana"/>
                <w:sz w:val="20"/>
              </w:rPr>
              <w:t xml:space="preserve">- </w:t>
            </w:r>
            <w:r w:rsidR="009A13C8" w:rsidRPr="00894C2E">
              <w:rPr>
                <w:rFonts w:ascii="Calibri" w:hAnsi="Calibri" w:cs="Verdana"/>
                <w:sz w:val="20"/>
              </w:rPr>
              <w:t>include</w:t>
            </w:r>
            <w:r>
              <w:rPr>
                <w:rFonts w:ascii="Calibri" w:hAnsi="Calibri" w:cs="Verdana"/>
                <w:sz w:val="20"/>
              </w:rPr>
              <w:t>s</w:t>
            </w:r>
            <w:r w:rsidR="009A13C8" w:rsidRPr="00894C2E">
              <w:rPr>
                <w:rFonts w:ascii="Calibri" w:hAnsi="Calibri" w:cs="Verdana"/>
                <w:sz w:val="20"/>
              </w:rPr>
              <w:t xml:space="preserve"> a gradient type of enforcement or sanction structure for ICANN compliance, e.g., suspension where a registrar would not be able to add new domain names or accept transfers but </w:t>
            </w:r>
            <w:r>
              <w:rPr>
                <w:rFonts w:ascii="Calibri" w:hAnsi="Calibri" w:cs="Verdana"/>
                <w:sz w:val="20"/>
              </w:rPr>
              <w:t xml:space="preserve">it </w:t>
            </w:r>
            <w:r w:rsidR="009A13C8" w:rsidRPr="00894C2E">
              <w:rPr>
                <w:rFonts w:ascii="Calibri" w:hAnsi="Calibri" w:cs="Verdana"/>
                <w:sz w:val="20"/>
              </w:rPr>
              <w:t xml:space="preserve">still </w:t>
            </w:r>
            <w:r>
              <w:rPr>
                <w:rFonts w:ascii="Calibri" w:hAnsi="Calibri" w:cs="Verdana"/>
                <w:sz w:val="20"/>
              </w:rPr>
              <w:t>permits</w:t>
            </w:r>
            <w:r w:rsidR="009A13C8" w:rsidRPr="00894C2E">
              <w:rPr>
                <w:rFonts w:ascii="Calibri" w:hAnsi="Calibri" w:cs="Verdana"/>
                <w:sz w:val="20"/>
              </w:rPr>
              <w:t xml:space="preserve"> registrant customers to manage the</w:t>
            </w:r>
            <w:r>
              <w:rPr>
                <w:rFonts w:ascii="Calibri" w:hAnsi="Calibri" w:cs="Verdana"/>
                <w:sz w:val="20"/>
              </w:rPr>
              <w:t>ir</w:t>
            </w:r>
            <w:r w:rsidR="009A13C8" w:rsidRPr="00894C2E">
              <w:rPr>
                <w:rFonts w:ascii="Calibri" w:hAnsi="Calibri" w:cs="Verdana"/>
                <w:sz w:val="20"/>
              </w:rPr>
              <w:t xml:space="preserve"> existing name</w:t>
            </w:r>
            <w:r>
              <w:rPr>
                <w:rFonts w:ascii="Calibri" w:hAnsi="Calibri" w:cs="Verdana"/>
                <w:sz w:val="20"/>
              </w:rPr>
              <w:t>s.</w:t>
            </w:r>
          </w:p>
          <w:p w14:paraId="34C618FB" w14:textId="6231CBC4" w:rsidR="00D9725D" w:rsidRPr="00900319" w:rsidRDefault="00747ED7" w:rsidP="003D7E1F">
            <w:pPr>
              <w:widowControl w:val="0"/>
              <w:autoSpaceDE w:val="0"/>
              <w:autoSpaceDN w:val="0"/>
              <w:adjustRightInd w:val="0"/>
              <w:spacing w:after="240"/>
              <w:rPr>
                <w:rFonts w:ascii="Calibri" w:hAnsi="Calibri"/>
                <w:sz w:val="20"/>
              </w:rPr>
            </w:pPr>
            <w:r>
              <w:rPr>
                <w:rFonts w:ascii="Calibri" w:hAnsi="Calibri" w:cs="Verdana"/>
                <w:sz w:val="20"/>
              </w:rPr>
              <w:t xml:space="preserve">The </w:t>
            </w:r>
            <w:r w:rsidR="001E0A22" w:rsidRPr="00894C2E">
              <w:rPr>
                <w:rFonts w:ascii="Calibri" w:hAnsi="Calibri" w:cs="Verdana"/>
                <w:sz w:val="20"/>
              </w:rPr>
              <w:t>Group is considering to state explicitly that policies should not have individual sanction structures. But rather having an overall structure under the RAA to assure uniformity and consistency of penalties</w:t>
            </w:r>
            <w:r w:rsidR="003D7E1F">
              <w:rPr>
                <w:rFonts w:ascii="Calibri" w:hAnsi="Calibri" w:cs="Verdana"/>
                <w:sz w:val="20"/>
              </w:rPr>
              <w:t>.</w:t>
            </w:r>
          </w:p>
        </w:tc>
        <w:tc>
          <w:tcPr>
            <w:tcW w:w="988" w:type="dxa"/>
            <w:gridSpan w:val="2"/>
          </w:tcPr>
          <w:p w14:paraId="2EB92BF4" w14:textId="77777777" w:rsidR="00D9725D" w:rsidRPr="00900319" w:rsidRDefault="00D9725D" w:rsidP="005D2CE6">
            <w:pPr>
              <w:contextualSpacing/>
              <w:rPr>
                <w:rFonts w:ascii="Calibri" w:hAnsi="Calibri"/>
                <w:b/>
                <w:sz w:val="20"/>
              </w:rPr>
            </w:pPr>
          </w:p>
        </w:tc>
      </w:tr>
      <w:tr w:rsidR="009A00C5" w:rsidRPr="00900319" w14:paraId="24AE04D6" w14:textId="77777777" w:rsidTr="009D3209">
        <w:tc>
          <w:tcPr>
            <w:tcW w:w="675" w:type="dxa"/>
          </w:tcPr>
          <w:p w14:paraId="4724F111" w14:textId="2106DB7E" w:rsidR="00A8390B" w:rsidRPr="00900319" w:rsidRDefault="00A8390B" w:rsidP="005D2CE6">
            <w:pPr>
              <w:numPr>
                <w:ilvl w:val="0"/>
                <w:numId w:val="4"/>
              </w:numPr>
              <w:contextualSpacing/>
              <w:rPr>
                <w:rFonts w:ascii="Calibri" w:hAnsi="Calibri"/>
                <w:b/>
                <w:sz w:val="20"/>
              </w:rPr>
            </w:pPr>
          </w:p>
        </w:tc>
        <w:tc>
          <w:tcPr>
            <w:tcW w:w="4563" w:type="dxa"/>
          </w:tcPr>
          <w:p w14:paraId="6F40FE67" w14:textId="77777777" w:rsidR="00A8390B" w:rsidRPr="00900319" w:rsidRDefault="007B7198" w:rsidP="007B7198">
            <w:pPr>
              <w:widowControl w:val="0"/>
              <w:autoSpaceDE w:val="0"/>
              <w:autoSpaceDN w:val="0"/>
              <w:adjustRightInd w:val="0"/>
              <w:spacing w:after="240"/>
              <w:rPr>
                <w:rFonts w:ascii="Calibri" w:hAnsi="Calibri" w:cs="Verdana"/>
                <w:sz w:val="20"/>
              </w:rPr>
            </w:pPr>
            <w:r w:rsidRPr="00900319">
              <w:rPr>
                <w:rFonts w:ascii="Calibri" w:hAnsi="Calibri" w:cs="Verdana"/>
                <w:sz w:val="20"/>
              </w:rPr>
              <w:t>With the modifications introduced in the 2009 Registrar Accreditation Agreement that provide for enforcement measures for non- compliance, the RySG is satisfied that there are adequate remedies to encourage resolution of non-compliance with the IRTP and TDRP.</w:t>
            </w:r>
          </w:p>
        </w:tc>
        <w:tc>
          <w:tcPr>
            <w:tcW w:w="810" w:type="dxa"/>
          </w:tcPr>
          <w:p w14:paraId="2B6C9E78" w14:textId="77777777" w:rsidR="00A8390B" w:rsidRPr="00900319" w:rsidRDefault="007B7198" w:rsidP="005D2CE6">
            <w:pPr>
              <w:contextualSpacing/>
              <w:rPr>
                <w:rFonts w:ascii="Calibri" w:hAnsi="Calibri"/>
                <w:sz w:val="20"/>
              </w:rPr>
            </w:pPr>
            <w:r w:rsidRPr="00900319">
              <w:rPr>
                <w:rFonts w:ascii="Calibri" w:hAnsi="Calibri"/>
                <w:sz w:val="20"/>
              </w:rPr>
              <w:t xml:space="preserve">RySG </w:t>
            </w:r>
            <w:r w:rsidRPr="00900319">
              <w:rPr>
                <w:rFonts w:ascii="Calibri" w:hAnsi="Calibri"/>
                <w:sz w:val="14"/>
                <w:szCs w:val="16"/>
              </w:rPr>
              <w:t>(submitted in response to the Preliminary Issue Report)</w:t>
            </w:r>
          </w:p>
        </w:tc>
        <w:tc>
          <w:tcPr>
            <w:tcW w:w="6300" w:type="dxa"/>
          </w:tcPr>
          <w:p w14:paraId="01082E8D" w14:textId="6628D401" w:rsidR="00A8390B" w:rsidRPr="00900319" w:rsidRDefault="003D7E1F" w:rsidP="003D7E1F">
            <w:pPr>
              <w:widowControl w:val="0"/>
              <w:autoSpaceDE w:val="0"/>
              <w:autoSpaceDN w:val="0"/>
              <w:adjustRightInd w:val="0"/>
              <w:spacing w:after="240"/>
              <w:rPr>
                <w:rFonts w:ascii="Calibri" w:hAnsi="Calibri"/>
                <w:sz w:val="20"/>
              </w:rPr>
            </w:pPr>
            <w:r>
              <w:rPr>
                <w:rFonts w:ascii="Calibri" w:hAnsi="Calibri" w:cs="Verdana"/>
                <w:sz w:val="20"/>
              </w:rPr>
              <w:t>The e</w:t>
            </w:r>
            <w:r w:rsidR="001E0A22" w:rsidRPr="00894C2E">
              <w:rPr>
                <w:rFonts w:ascii="Calibri" w:hAnsi="Calibri" w:cs="Verdana"/>
                <w:sz w:val="20"/>
              </w:rPr>
              <w:t xml:space="preserve">xisting penalties particularly in the 2009 </w:t>
            </w:r>
            <w:r>
              <w:rPr>
                <w:rFonts w:ascii="Calibri" w:hAnsi="Calibri" w:cs="Verdana"/>
                <w:sz w:val="20"/>
              </w:rPr>
              <w:t>and</w:t>
            </w:r>
            <w:r w:rsidR="001E0A22" w:rsidRPr="00894C2E">
              <w:rPr>
                <w:rFonts w:ascii="Calibri" w:hAnsi="Calibri" w:cs="Verdana"/>
                <w:sz w:val="20"/>
              </w:rPr>
              <w:t xml:space="preserve"> especially in the draft 2013 RAA are sufficient.</w:t>
            </w:r>
          </w:p>
        </w:tc>
        <w:tc>
          <w:tcPr>
            <w:tcW w:w="988" w:type="dxa"/>
            <w:gridSpan w:val="2"/>
          </w:tcPr>
          <w:p w14:paraId="31EE793E" w14:textId="77777777" w:rsidR="00A8390B" w:rsidRPr="00900319" w:rsidRDefault="00A8390B" w:rsidP="005D2CE6">
            <w:pPr>
              <w:contextualSpacing/>
              <w:rPr>
                <w:rFonts w:ascii="Calibri" w:hAnsi="Calibri"/>
                <w:b/>
                <w:sz w:val="20"/>
              </w:rPr>
            </w:pPr>
          </w:p>
        </w:tc>
      </w:tr>
      <w:tr w:rsidR="00A8390B" w:rsidRPr="00900319" w14:paraId="62FF0600" w14:textId="77777777" w:rsidTr="000A0C23">
        <w:tc>
          <w:tcPr>
            <w:tcW w:w="13336" w:type="dxa"/>
            <w:gridSpan w:val="6"/>
            <w:shd w:val="clear" w:color="auto" w:fill="E0E0E0"/>
          </w:tcPr>
          <w:p w14:paraId="42FC4565" w14:textId="77777777" w:rsidR="00A8390B" w:rsidRPr="00900319" w:rsidRDefault="00313823" w:rsidP="00607D4A">
            <w:pPr>
              <w:contextualSpacing/>
              <w:rPr>
                <w:rFonts w:ascii="Calibri" w:hAnsi="Calibri" w:cs="Verdana"/>
                <w:b/>
                <w:sz w:val="20"/>
              </w:rPr>
            </w:pPr>
            <w:r w:rsidRPr="00900319">
              <w:rPr>
                <w:rFonts w:ascii="Calibri" w:hAnsi="Calibri" w:cs="Verdana"/>
                <w:b/>
                <w:sz w:val="20"/>
              </w:rPr>
              <w:t xml:space="preserve">f) </w:t>
            </w:r>
            <w:r w:rsidR="007E3A53" w:rsidRPr="00900319">
              <w:rPr>
                <w:rFonts w:ascii="Calibri" w:hAnsi="Calibri" w:cs="Verdana"/>
                <w:b/>
                <w:sz w:val="20"/>
              </w:rPr>
              <w:t>Did the universal adoption and implementation of EPP AuthInfo codes eliminate the need of Standard Forms of Authorization (FOAs)</w:t>
            </w:r>
          </w:p>
        </w:tc>
      </w:tr>
      <w:tr w:rsidR="009A00C5" w:rsidRPr="00900319" w14:paraId="4F3BDCBC" w14:textId="77777777" w:rsidTr="009D3209">
        <w:tc>
          <w:tcPr>
            <w:tcW w:w="675" w:type="dxa"/>
          </w:tcPr>
          <w:p w14:paraId="6C96091C" w14:textId="77777777" w:rsidR="00A8390B" w:rsidRPr="00900319" w:rsidRDefault="00A8390B" w:rsidP="005D2CE6">
            <w:pPr>
              <w:numPr>
                <w:ilvl w:val="0"/>
                <w:numId w:val="4"/>
              </w:numPr>
              <w:contextualSpacing/>
              <w:rPr>
                <w:rFonts w:ascii="Calibri" w:hAnsi="Calibri"/>
                <w:b/>
                <w:sz w:val="20"/>
              </w:rPr>
            </w:pPr>
          </w:p>
        </w:tc>
        <w:tc>
          <w:tcPr>
            <w:tcW w:w="4563" w:type="dxa"/>
          </w:tcPr>
          <w:p w14:paraId="52E87294" w14:textId="77777777" w:rsidR="00A8390B" w:rsidRPr="00900319" w:rsidRDefault="00313823" w:rsidP="00313823">
            <w:pPr>
              <w:keepNext/>
              <w:spacing w:line="276" w:lineRule="auto"/>
              <w:rPr>
                <w:rFonts w:ascii="Calibri" w:hAnsi="Calibri"/>
                <w:sz w:val="20"/>
              </w:rPr>
            </w:pPr>
            <w:r w:rsidRPr="00900319">
              <w:rPr>
                <w:rFonts w:ascii="Calibri" w:hAnsi="Calibri" w:cs="Verdana"/>
                <w:sz w:val="20"/>
              </w:rPr>
              <w:t xml:space="preserve">In the day to day administrations the FOAs are redundant, however in cases involving unauthorized transfer requests in which the Registered Name Holders’s email address has been hijacked, or its access credentials to the control panel have been stolen, the gaining registrar’s obligation to obtain the FOA from either the Registered Name Holder or the Admin Contact can help protect the domain names from being hijacked, given the Registered Name Holder’s Whois contact information is different from the Admin Contact’s. </w:t>
            </w:r>
          </w:p>
        </w:tc>
        <w:tc>
          <w:tcPr>
            <w:tcW w:w="810" w:type="dxa"/>
          </w:tcPr>
          <w:p w14:paraId="3A8077E6" w14:textId="77777777" w:rsidR="00A8390B" w:rsidRPr="00900319" w:rsidRDefault="00313823" w:rsidP="005D2CE6">
            <w:pPr>
              <w:contextualSpacing/>
              <w:rPr>
                <w:rFonts w:ascii="Calibri" w:hAnsi="Calibri"/>
                <w:sz w:val="20"/>
              </w:rPr>
            </w:pPr>
            <w:r w:rsidRPr="00900319">
              <w:rPr>
                <w:rFonts w:ascii="Calibri" w:hAnsi="Calibri"/>
                <w:sz w:val="20"/>
              </w:rPr>
              <w:t>BC</w:t>
            </w:r>
          </w:p>
        </w:tc>
        <w:tc>
          <w:tcPr>
            <w:tcW w:w="6300" w:type="dxa"/>
          </w:tcPr>
          <w:p w14:paraId="68617532" w14:textId="3606D618" w:rsidR="00253988" w:rsidRPr="00894C2E" w:rsidRDefault="00253988" w:rsidP="00253988">
            <w:pPr>
              <w:widowControl w:val="0"/>
              <w:autoSpaceDE w:val="0"/>
              <w:autoSpaceDN w:val="0"/>
              <w:adjustRightInd w:val="0"/>
              <w:spacing w:after="240"/>
              <w:rPr>
                <w:rFonts w:ascii="Calibri" w:hAnsi="Calibri" w:cs="Verdana"/>
                <w:sz w:val="20"/>
              </w:rPr>
            </w:pPr>
            <w:r w:rsidRPr="00894C2E">
              <w:rPr>
                <w:rFonts w:ascii="Calibri" w:hAnsi="Calibri" w:cs="Verdana"/>
                <w:sz w:val="20"/>
              </w:rPr>
              <w:t>In the vast majority of transfers FOAs are redundant.</w:t>
            </w:r>
            <w:r w:rsidR="003D7E1F">
              <w:rPr>
                <w:rFonts w:ascii="Calibri" w:hAnsi="Calibri" w:cs="Verdana"/>
                <w:sz w:val="20"/>
              </w:rPr>
              <w:t xml:space="preserve"> </w:t>
            </w:r>
            <w:r w:rsidRPr="00894C2E">
              <w:rPr>
                <w:rFonts w:ascii="Calibri" w:hAnsi="Calibri" w:cs="Verdana"/>
                <w:sz w:val="20"/>
              </w:rPr>
              <w:t>However in those cases where there is a hijacked, or compromised registrar account, or a dispute between the registrant and the admin contact the FOAs are useful to help resolve the dispute and to reverse it where</w:t>
            </w:r>
            <w:r>
              <w:rPr>
                <w:rFonts w:ascii="Arial" w:hAnsi="Arial" w:cs="Arial"/>
                <w:sz w:val="30"/>
                <w:szCs w:val="30"/>
              </w:rPr>
              <w:t xml:space="preserve"> </w:t>
            </w:r>
            <w:r w:rsidRPr="00894C2E">
              <w:rPr>
                <w:rFonts w:ascii="Calibri" w:hAnsi="Calibri" w:cs="Verdana"/>
                <w:sz w:val="20"/>
              </w:rPr>
              <w:t>appropriate.</w:t>
            </w:r>
          </w:p>
          <w:p w14:paraId="6EF5DADC" w14:textId="42BC960D" w:rsidR="00695CAC" w:rsidRPr="00894C2E" w:rsidRDefault="00695CAC" w:rsidP="00695CAC">
            <w:pPr>
              <w:widowControl w:val="0"/>
              <w:autoSpaceDE w:val="0"/>
              <w:autoSpaceDN w:val="0"/>
              <w:adjustRightInd w:val="0"/>
              <w:spacing w:after="240"/>
              <w:rPr>
                <w:rFonts w:ascii="Calibri" w:hAnsi="Calibri" w:cs="Verdana"/>
                <w:sz w:val="20"/>
              </w:rPr>
            </w:pPr>
            <w:r w:rsidRPr="00894C2E">
              <w:rPr>
                <w:rFonts w:ascii="Calibri" w:hAnsi="Calibri" w:cs="Verdana"/>
                <w:sz w:val="20"/>
              </w:rPr>
              <w:t xml:space="preserve">Keeping both EPP and FOA </w:t>
            </w:r>
            <w:r w:rsidR="003D7E1F">
              <w:rPr>
                <w:rFonts w:ascii="Calibri" w:hAnsi="Calibri" w:cs="Verdana"/>
                <w:sz w:val="20"/>
              </w:rPr>
              <w:t xml:space="preserve">could mean </w:t>
            </w:r>
            <w:r w:rsidRPr="00894C2E">
              <w:rPr>
                <w:rFonts w:ascii="Calibri" w:hAnsi="Calibri" w:cs="Verdana"/>
                <w:sz w:val="20"/>
              </w:rPr>
              <w:t>that registrants are getting multiple codes and there is a chance of confusion</w:t>
            </w:r>
            <w:r w:rsidR="003D7E1F">
              <w:rPr>
                <w:rFonts w:ascii="Calibri" w:hAnsi="Calibri" w:cs="Verdana"/>
                <w:sz w:val="20"/>
              </w:rPr>
              <w:t>.</w:t>
            </w:r>
          </w:p>
          <w:p w14:paraId="4849C891" w14:textId="300CC805" w:rsidR="005A423E" w:rsidRPr="00894C2E" w:rsidRDefault="003D7E1F" w:rsidP="005A423E">
            <w:pPr>
              <w:widowControl w:val="0"/>
              <w:autoSpaceDE w:val="0"/>
              <w:autoSpaceDN w:val="0"/>
              <w:adjustRightInd w:val="0"/>
              <w:spacing w:after="240"/>
              <w:rPr>
                <w:rFonts w:ascii="Calibri" w:hAnsi="Calibri" w:cs="Verdana"/>
                <w:sz w:val="20"/>
              </w:rPr>
            </w:pPr>
            <w:r>
              <w:rPr>
                <w:rFonts w:ascii="Calibri" w:hAnsi="Calibri" w:cs="Verdana"/>
                <w:sz w:val="20"/>
              </w:rPr>
              <w:t xml:space="preserve">The Group </w:t>
            </w:r>
            <w:r w:rsidR="005A423E" w:rsidRPr="00894C2E">
              <w:rPr>
                <w:rFonts w:ascii="Calibri" w:hAnsi="Calibri" w:cs="Verdana"/>
                <w:sz w:val="20"/>
              </w:rPr>
              <w:t xml:space="preserve">could </w:t>
            </w:r>
            <w:r>
              <w:rPr>
                <w:rFonts w:ascii="Calibri" w:hAnsi="Calibri" w:cs="Verdana"/>
                <w:sz w:val="20"/>
              </w:rPr>
              <w:t xml:space="preserve">imagine to </w:t>
            </w:r>
            <w:r w:rsidR="005A423E" w:rsidRPr="00894C2E">
              <w:rPr>
                <w:rFonts w:ascii="Calibri" w:hAnsi="Calibri" w:cs="Verdana"/>
                <w:sz w:val="20"/>
              </w:rPr>
              <w:t xml:space="preserve">preserve the usefulness of the FOA for disputes but </w:t>
            </w:r>
            <w:r>
              <w:rPr>
                <w:rFonts w:ascii="Calibri" w:hAnsi="Calibri" w:cs="Verdana"/>
                <w:sz w:val="20"/>
              </w:rPr>
              <w:t xml:space="preserve">to </w:t>
            </w:r>
            <w:r w:rsidR="005A423E" w:rsidRPr="00894C2E">
              <w:rPr>
                <w:rFonts w:ascii="Calibri" w:hAnsi="Calibri" w:cs="Verdana"/>
                <w:sz w:val="20"/>
              </w:rPr>
              <w:t>consolidate the FOA and the Auth-Info into a single step.</w:t>
            </w:r>
          </w:p>
          <w:p w14:paraId="16FC2D1C" w14:textId="37D51D30" w:rsidR="00695CAC" w:rsidRPr="00894C2E" w:rsidRDefault="003D7E1F" w:rsidP="00695CAC">
            <w:pPr>
              <w:widowControl w:val="0"/>
              <w:autoSpaceDE w:val="0"/>
              <w:autoSpaceDN w:val="0"/>
              <w:adjustRightInd w:val="0"/>
              <w:spacing w:after="240"/>
              <w:rPr>
                <w:rFonts w:ascii="Calibri" w:hAnsi="Calibri" w:cs="Verdana"/>
                <w:sz w:val="20"/>
              </w:rPr>
            </w:pPr>
            <w:r>
              <w:rPr>
                <w:rFonts w:ascii="Calibri" w:hAnsi="Calibri" w:cs="Verdana"/>
                <w:sz w:val="20"/>
              </w:rPr>
              <w:t>The a</w:t>
            </w:r>
            <w:r w:rsidR="005A423E" w:rsidRPr="00894C2E">
              <w:rPr>
                <w:rFonts w:ascii="Calibri" w:hAnsi="Calibri" w:cs="Verdana"/>
                <w:sz w:val="20"/>
              </w:rPr>
              <w:t xml:space="preserve">im </w:t>
            </w:r>
            <w:r>
              <w:rPr>
                <w:rFonts w:ascii="Calibri" w:hAnsi="Calibri" w:cs="Verdana"/>
                <w:sz w:val="20"/>
              </w:rPr>
              <w:t xml:space="preserve">should </w:t>
            </w:r>
            <w:r w:rsidR="005A423E" w:rsidRPr="00894C2E">
              <w:rPr>
                <w:rFonts w:ascii="Calibri" w:hAnsi="Calibri" w:cs="Verdana"/>
                <w:sz w:val="20"/>
              </w:rPr>
              <w:t xml:space="preserve">not </w:t>
            </w:r>
            <w:r>
              <w:rPr>
                <w:rFonts w:ascii="Calibri" w:hAnsi="Calibri" w:cs="Verdana"/>
                <w:sz w:val="20"/>
              </w:rPr>
              <w:t xml:space="preserve">be to </w:t>
            </w:r>
            <w:r w:rsidR="005A423E" w:rsidRPr="00894C2E">
              <w:rPr>
                <w:rFonts w:ascii="Calibri" w:hAnsi="Calibri" w:cs="Verdana"/>
                <w:sz w:val="20"/>
              </w:rPr>
              <w:t>eliminate FOA</w:t>
            </w:r>
            <w:r>
              <w:rPr>
                <w:rFonts w:ascii="Calibri" w:hAnsi="Calibri" w:cs="Verdana"/>
                <w:sz w:val="20"/>
              </w:rPr>
              <w:t>s</w:t>
            </w:r>
            <w:r w:rsidR="005A423E" w:rsidRPr="00894C2E">
              <w:rPr>
                <w:rFonts w:ascii="Calibri" w:hAnsi="Calibri" w:cs="Verdana"/>
                <w:sz w:val="20"/>
              </w:rPr>
              <w:t xml:space="preserve"> but to make its use more efficient by streamlining the process </w:t>
            </w:r>
            <w:r w:rsidR="009A6617">
              <w:rPr>
                <w:rFonts w:ascii="Calibri" w:hAnsi="Calibri" w:cs="Verdana"/>
                <w:sz w:val="20"/>
              </w:rPr>
              <w:t xml:space="preserve">and possibly </w:t>
            </w:r>
            <w:r w:rsidR="005A423E" w:rsidRPr="00894C2E">
              <w:rPr>
                <w:rFonts w:ascii="Calibri" w:hAnsi="Calibri" w:cs="Verdana"/>
                <w:sz w:val="20"/>
              </w:rPr>
              <w:t xml:space="preserve">merging it with EPP </w:t>
            </w:r>
          </w:p>
          <w:p w14:paraId="6D848E1D" w14:textId="0B394371" w:rsidR="00A8390B" w:rsidRPr="00900319" w:rsidRDefault="00A8390B" w:rsidP="005D2CE6">
            <w:pPr>
              <w:contextualSpacing/>
              <w:rPr>
                <w:rFonts w:ascii="Calibri" w:hAnsi="Calibri"/>
                <w:sz w:val="20"/>
              </w:rPr>
            </w:pPr>
          </w:p>
        </w:tc>
        <w:tc>
          <w:tcPr>
            <w:tcW w:w="988" w:type="dxa"/>
            <w:gridSpan w:val="2"/>
          </w:tcPr>
          <w:p w14:paraId="114CED64" w14:textId="77777777" w:rsidR="00A8390B" w:rsidRPr="00900319" w:rsidRDefault="00A8390B" w:rsidP="005D2CE6">
            <w:pPr>
              <w:contextualSpacing/>
              <w:rPr>
                <w:rFonts w:ascii="Calibri" w:hAnsi="Calibri"/>
                <w:b/>
                <w:sz w:val="20"/>
              </w:rPr>
            </w:pPr>
          </w:p>
        </w:tc>
      </w:tr>
      <w:tr w:rsidR="009A00C5" w:rsidRPr="00900319" w14:paraId="5A66AD72" w14:textId="77777777" w:rsidTr="009D3209">
        <w:tc>
          <w:tcPr>
            <w:tcW w:w="675" w:type="dxa"/>
          </w:tcPr>
          <w:p w14:paraId="468FF61B" w14:textId="4B44519F" w:rsidR="00313823" w:rsidRPr="00900319" w:rsidRDefault="00313823" w:rsidP="00313823">
            <w:pPr>
              <w:numPr>
                <w:ilvl w:val="0"/>
                <w:numId w:val="4"/>
              </w:numPr>
              <w:contextualSpacing/>
              <w:rPr>
                <w:rFonts w:ascii="Calibri" w:hAnsi="Calibri"/>
                <w:b/>
                <w:sz w:val="20"/>
              </w:rPr>
            </w:pPr>
          </w:p>
        </w:tc>
        <w:tc>
          <w:tcPr>
            <w:tcW w:w="4563" w:type="dxa"/>
          </w:tcPr>
          <w:p w14:paraId="1BE15389" w14:textId="77777777" w:rsidR="00313823" w:rsidRPr="00900319" w:rsidRDefault="007B7198" w:rsidP="007B7198">
            <w:pPr>
              <w:widowControl w:val="0"/>
              <w:autoSpaceDE w:val="0"/>
              <w:autoSpaceDN w:val="0"/>
              <w:adjustRightInd w:val="0"/>
              <w:spacing w:after="240"/>
              <w:rPr>
                <w:rFonts w:ascii="Calibri" w:hAnsi="Calibri" w:cs="Verdana"/>
                <w:sz w:val="20"/>
              </w:rPr>
            </w:pPr>
            <w:r w:rsidRPr="00900319">
              <w:rPr>
                <w:rFonts w:ascii="Calibri" w:hAnsi="Calibri" w:cs="Verdana"/>
                <w:sz w:val="20"/>
              </w:rPr>
              <w:t>The FOA is a key document in the transfer dispute resolution process and the elimination of the FOA would critically impact it. It is the recommendation of the RySG that the FOA requirement not be eliminated given that a mechanism to capture information adequate to document the chain of events that prove registrant authentication and authorization of the initiation of the transfer request would still be necessary to facilitate resolution of disputes.</w:t>
            </w:r>
          </w:p>
        </w:tc>
        <w:tc>
          <w:tcPr>
            <w:tcW w:w="810" w:type="dxa"/>
          </w:tcPr>
          <w:p w14:paraId="2E4E6D90" w14:textId="77777777" w:rsidR="00313823" w:rsidRPr="00900319" w:rsidRDefault="007B7198" w:rsidP="00313823">
            <w:pPr>
              <w:contextualSpacing/>
              <w:rPr>
                <w:rFonts w:ascii="Calibri" w:hAnsi="Calibri"/>
                <w:sz w:val="20"/>
              </w:rPr>
            </w:pPr>
            <w:r w:rsidRPr="00900319">
              <w:rPr>
                <w:rFonts w:ascii="Calibri" w:hAnsi="Calibri"/>
                <w:sz w:val="20"/>
              </w:rPr>
              <w:t xml:space="preserve">RySG </w:t>
            </w:r>
            <w:r w:rsidRPr="00900319">
              <w:rPr>
                <w:rFonts w:ascii="Calibri" w:hAnsi="Calibri"/>
                <w:sz w:val="14"/>
                <w:szCs w:val="16"/>
              </w:rPr>
              <w:t>(submitted in response to the Preliminary Issue Report)</w:t>
            </w:r>
          </w:p>
        </w:tc>
        <w:tc>
          <w:tcPr>
            <w:tcW w:w="6300" w:type="dxa"/>
          </w:tcPr>
          <w:p w14:paraId="1D1860D1" w14:textId="3EAF4097" w:rsidR="00381AC7" w:rsidRPr="00894C2E" w:rsidRDefault="00734B30" w:rsidP="00734B30">
            <w:pPr>
              <w:widowControl w:val="0"/>
              <w:autoSpaceDE w:val="0"/>
              <w:autoSpaceDN w:val="0"/>
              <w:adjustRightInd w:val="0"/>
              <w:spacing w:after="240"/>
              <w:rPr>
                <w:rFonts w:ascii="Calibri" w:hAnsi="Calibri" w:cs="Verdana"/>
                <w:sz w:val="20"/>
              </w:rPr>
            </w:pPr>
            <w:r>
              <w:rPr>
                <w:rFonts w:ascii="Calibri" w:hAnsi="Calibri" w:cs="Verdana"/>
                <w:sz w:val="20"/>
              </w:rPr>
              <w:t xml:space="preserve">The Group is wondering whether there </w:t>
            </w:r>
            <w:r w:rsidR="00381AC7" w:rsidRPr="00894C2E">
              <w:rPr>
                <w:rFonts w:ascii="Calibri" w:hAnsi="Calibri" w:cs="Verdana"/>
                <w:sz w:val="20"/>
              </w:rPr>
              <w:t>gTLD registries out there that don’t use EPP</w:t>
            </w:r>
            <w:r>
              <w:rPr>
                <w:rFonts w:ascii="Calibri" w:hAnsi="Calibri" w:cs="Verdana"/>
                <w:sz w:val="20"/>
              </w:rPr>
              <w:t xml:space="preserve"> – since there are some ccTLDs (Denmark, Latin American countries) that still use fax/postal services</w:t>
            </w:r>
          </w:p>
          <w:p w14:paraId="67104497" w14:textId="21A44C15" w:rsidR="00381AC7" w:rsidRDefault="00734B30" w:rsidP="00381AC7">
            <w:pPr>
              <w:widowControl w:val="0"/>
              <w:autoSpaceDE w:val="0"/>
              <w:autoSpaceDN w:val="0"/>
              <w:adjustRightInd w:val="0"/>
              <w:spacing w:after="240"/>
              <w:rPr>
                <w:rFonts w:ascii="Times" w:hAnsi="Times" w:cs="Times"/>
              </w:rPr>
            </w:pPr>
            <w:r>
              <w:rPr>
                <w:rFonts w:ascii="Calibri" w:hAnsi="Calibri" w:cs="Verdana"/>
                <w:sz w:val="20"/>
              </w:rPr>
              <w:t>Overall sentiment is that t</w:t>
            </w:r>
            <w:r w:rsidR="001925AF" w:rsidRPr="00894C2E">
              <w:rPr>
                <w:rFonts w:ascii="Calibri" w:hAnsi="Calibri" w:cs="Verdana"/>
                <w:sz w:val="20"/>
              </w:rPr>
              <w:t xml:space="preserve">he FOA may feel like archaic </w:t>
            </w:r>
            <w:r>
              <w:rPr>
                <w:rFonts w:ascii="Calibri" w:hAnsi="Calibri" w:cs="Verdana"/>
                <w:sz w:val="20"/>
              </w:rPr>
              <w:t xml:space="preserve">and </w:t>
            </w:r>
            <w:r w:rsidR="001925AF" w:rsidRPr="00894C2E">
              <w:rPr>
                <w:rFonts w:ascii="Calibri" w:hAnsi="Calibri" w:cs="Verdana"/>
                <w:sz w:val="20"/>
              </w:rPr>
              <w:t>unnecessary administrative paperwork</w:t>
            </w:r>
            <w:r>
              <w:rPr>
                <w:rFonts w:ascii="Calibri" w:hAnsi="Calibri" w:cs="Verdana"/>
                <w:sz w:val="20"/>
              </w:rPr>
              <w:t xml:space="preserve"> but </w:t>
            </w:r>
            <w:r w:rsidR="001925AF" w:rsidRPr="00894C2E">
              <w:rPr>
                <w:rFonts w:ascii="Calibri" w:hAnsi="Calibri" w:cs="Verdana"/>
                <w:sz w:val="20"/>
              </w:rPr>
              <w:t xml:space="preserve">it </w:t>
            </w:r>
            <w:r>
              <w:rPr>
                <w:rFonts w:ascii="Calibri" w:hAnsi="Calibri" w:cs="Verdana"/>
                <w:sz w:val="20"/>
              </w:rPr>
              <w:t xml:space="preserve">remains </w:t>
            </w:r>
            <w:r w:rsidR="001925AF" w:rsidRPr="00894C2E">
              <w:rPr>
                <w:rFonts w:ascii="Calibri" w:hAnsi="Calibri" w:cs="Verdana"/>
                <w:sz w:val="20"/>
              </w:rPr>
              <w:t xml:space="preserve">invaluable </w:t>
            </w:r>
            <w:r>
              <w:rPr>
                <w:rFonts w:ascii="Calibri" w:hAnsi="Calibri" w:cs="Verdana"/>
                <w:sz w:val="20"/>
              </w:rPr>
              <w:t xml:space="preserve">to prevent hijacking or to </w:t>
            </w:r>
            <w:r w:rsidR="001925AF" w:rsidRPr="00894C2E">
              <w:rPr>
                <w:rFonts w:ascii="Calibri" w:hAnsi="Calibri" w:cs="Verdana"/>
                <w:sz w:val="20"/>
              </w:rPr>
              <w:t>undo a transfer that was unauthorized</w:t>
            </w:r>
            <w:r>
              <w:rPr>
                <w:rFonts w:ascii="Calibri" w:hAnsi="Calibri" w:cs="Verdana"/>
                <w:sz w:val="20"/>
              </w:rPr>
              <w:t>.</w:t>
            </w:r>
          </w:p>
          <w:p w14:paraId="11CDE909" w14:textId="77777777" w:rsidR="00313823" w:rsidRPr="00900319" w:rsidRDefault="00313823" w:rsidP="00313823">
            <w:pPr>
              <w:contextualSpacing/>
              <w:rPr>
                <w:rFonts w:ascii="Calibri" w:hAnsi="Calibri"/>
                <w:sz w:val="20"/>
              </w:rPr>
            </w:pPr>
          </w:p>
        </w:tc>
        <w:tc>
          <w:tcPr>
            <w:tcW w:w="988" w:type="dxa"/>
            <w:gridSpan w:val="2"/>
          </w:tcPr>
          <w:p w14:paraId="2371A8D5" w14:textId="77777777" w:rsidR="00313823" w:rsidRPr="00900319" w:rsidRDefault="00313823" w:rsidP="00313823">
            <w:pPr>
              <w:contextualSpacing/>
              <w:rPr>
                <w:rFonts w:ascii="Calibri" w:hAnsi="Calibri"/>
                <w:b/>
                <w:sz w:val="20"/>
              </w:rPr>
            </w:pPr>
          </w:p>
        </w:tc>
      </w:tr>
      <w:tr w:rsidR="00313823" w:rsidRPr="00900319" w14:paraId="4636A434" w14:textId="77777777" w:rsidTr="000A0C23">
        <w:tc>
          <w:tcPr>
            <w:tcW w:w="13336" w:type="dxa"/>
            <w:gridSpan w:val="6"/>
            <w:shd w:val="clear" w:color="auto" w:fill="E0E0E0"/>
          </w:tcPr>
          <w:p w14:paraId="3018E5DA" w14:textId="77777777" w:rsidR="00313823" w:rsidRPr="00900319" w:rsidRDefault="00313823" w:rsidP="00313823">
            <w:pPr>
              <w:contextualSpacing/>
              <w:rPr>
                <w:rFonts w:ascii="Calibri" w:hAnsi="Calibri" w:cs="Verdana"/>
                <w:b/>
                <w:sz w:val="20"/>
              </w:rPr>
            </w:pPr>
            <w:r w:rsidRPr="00900319">
              <w:rPr>
                <w:rFonts w:ascii="Calibri" w:hAnsi="Calibri" w:cs="Verdana"/>
                <w:b/>
                <w:sz w:val="20"/>
              </w:rPr>
              <w:t>Other comments</w:t>
            </w:r>
          </w:p>
        </w:tc>
      </w:tr>
      <w:tr w:rsidR="009A00C5" w:rsidRPr="00900319" w14:paraId="4C747A5D" w14:textId="77777777" w:rsidTr="009D3209">
        <w:tc>
          <w:tcPr>
            <w:tcW w:w="675" w:type="dxa"/>
          </w:tcPr>
          <w:p w14:paraId="394627B9" w14:textId="77777777" w:rsidR="007B7198" w:rsidRPr="00900319" w:rsidRDefault="007B7198" w:rsidP="005D2CE6">
            <w:pPr>
              <w:numPr>
                <w:ilvl w:val="0"/>
                <w:numId w:val="4"/>
              </w:numPr>
              <w:contextualSpacing/>
              <w:rPr>
                <w:rFonts w:ascii="Calibri" w:hAnsi="Calibri"/>
                <w:b/>
                <w:sz w:val="20"/>
              </w:rPr>
            </w:pPr>
          </w:p>
        </w:tc>
        <w:tc>
          <w:tcPr>
            <w:tcW w:w="4563" w:type="dxa"/>
          </w:tcPr>
          <w:p w14:paraId="536EACF6" w14:textId="77777777" w:rsidR="007B7198" w:rsidRPr="00900319" w:rsidRDefault="007B7198" w:rsidP="0016282D">
            <w:pPr>
              <w:pStyle w:val="ListParagraph"/>
              <w:ind w:left="0"/>
              <w:rPr>
                <w:rFonts w:ascii="Calibri" w:hAnsi="Calibri" w:cs="Verdana"/>
                <w:sz w:val="20"/>
                <w:szCs w:val="22"/>
              </w:rPr>
            </w:pPr>
            <w:r w:rsidRPr="00900319">
              <w:rPr>
                <w:rFonts w:ascii="Calibri" w:hAnsi="Calibri" w:cs="Verdana"/>
                <w:sz w:val="20"/>
                <w:szCs w:val="22"/>
              </w:rPr>
              <w:t>No further comments</w:t>
            </w:r>
          </w:p>
        </w:tc>
        <w:tc>
          <w:tcPr>
            <w:tcW w:w="810" w:type="dxa"/>
          </w:tcPr>
          <w:p w14:paraId="57EE4184" w14:textId="77777777" w:rsidR="007B7198" w:rsidRPr="00900319" w:rsidRDefault="007B7198" w:rsidP="0016282D">
            <w:pPr>
              <w:contextualSpacing/>
              <w:rPr>
                <w:rFonts w:ascii="Calibri" w:hAnsi="Calibri"/>
                <w:sz w:val="20"/>
              </w:rPr>
            </w:pPr>
            <w:r w:rsidRPr="00900319">
              <w:rPr>
                <w:rFonts w:ascii="Calibri" w:hAnsi="Calibri"/>
                <w:sz w:val="20"/>
              </w:rPr>
              <w:t>BC</w:t>
            </w:r>
          </w:p>
        </w:tc>
        <w:tc>
          <w:tcPr>
            <w:tcW w:w="6300" w:type="dxa"/>
          </w:tcPr>
          <w:p w14:paraId="6A545139" w14:textId="77777777" w:rsidR="007B7198" w:rsidRPr="00900319" w:rsidRDefault="007B7198" w:rsidP="005D2CE6">
            <w:pPr>
              <w:contextualSpacing/>
              <w:rPr>
                <w:rFonts w:ascii="Calibri" w:hAnsi="Calibri"/>
                <w:sz w:val="20"/>
              </w:rPr>
            </w:pPr>
          </w:p>
        </w:tc>
        <w:tc>
          <w:tcPr>
            <w:tcW w:w="988" w:type="dxa"/>
            <w:gridSpan w:val="2"/>
          </w:tcPr>
          <w:p w14:paraId="3FBCE39B" w14:textId="77777777" w:rsidR="007B7198" w:rsidRPr="00900319" w:rsidRDefault="007B7198" w:rsidP="005D2CE6">
            <w:pPr>
              <w:contextualSpacing/>
              <w:rPr>
                <w:rFonts w:ascii="Calibri" w:hAnsi="Calibri"/>
                <w:b/>
                <w:sz w:val="20"/>
              </w:rPr>
            </w:pPr>
          </w:p>
        </w:tc>
      </w:tr>
      <w:tr w:rsidR="009A00C5" w:rsidRPr="00900319" w14:paraId="34DC3C3B" w14:textId="77777777" w:rsidTr="009D3209">
        <w:tc>
          <w:tcPr>
            <w:tcW w:w="675" w:type="dxa"/>
          </w:tcPr>
          <w:p w14:paraId="2B871F72" w14:textId="77777777" w:rsidR="00A8390B" w:rsidRPr="00900319" w:rsidRDefault="00A8390B" w:rsidP="005D2CE6">
            <w:pPr>
              <w:numPr>
                <w:ilvl w:val="0"/>
                <w:numId w:val="4"/>
              </w:numPr>
              <w:contextualSpacing/>
              <w:rPr>
                <w:rFonts w:ascii="Calibri" w:hAnsi="Calibri"/>
                <w:b/>
                <w:sz w:val="20"/>
              </w:rPr>
            </w:pPr>
          </w:p>
        </w:tc>
        <w:tc>
          <w:tcPr>
            <w:tcW w:w="4563" w:type="dxa"/>
          </w:tcPr>
          <w:p w14:paraId="79CE3433" w14:textId="77777777" w:rsidR="00A8390B" w:rsidRPr="00900319" w:rsidRDefault="007B7198" w:rsidP="007B7198">
            <w:pPr>
              <w:widowControl w:val="0"/>
              <w:autoSpaceDE w:val="0"/>
              <w:autoSpaceDN w:val="0"/>
              <w:adjustRightInd w:val="0"/>
              <w:spacing w:after="240"/>
              <w:rPr>
                <w:rFonts w:ascii="Calibri" w:hAnsi="Calibri" w:cs="Verdana"/>
                <w:sz w:val="20"/>
              </w:rPr>
            </w:pPr>
            <w:r w:rsidRPr="00900319">
              <w:rPr>
                <w:rFonts w:ascii="Calibri" w:hAnsi="Calibri" w:cs="Verdana"/>
                <w:sz w:val="20"/>
              </w:rPr>
              <w:t>Finally, the RySG also wishes to underscore the importance of explicitly addressing the role resellers play in all of the issues that will be reviewed in IRTP-D. The domain name industry is changing, and vertical integration could amplify potential complications involving reseller relationships. While the RySG does not have specific comments at this time on how resellers may (or may not) factor into each of the issues that will be considered in this PDP, we encourage the Working Group to explicitly consider resellers' roles and develop appropriate recommendations that might help minimize community misunderstandings about reseller responsibilities moving forward.</w:t>
            </w:r>
          </w:p>
        </w:tc>
        <w:tc>
          <w:tcPr>
            <w:tcW w:w="810" w:type="dxa"/>
          </w:tcPr>
          <w:p w14:paraId="76B575EB" w14:textId="77777777" w:rsidR="00A8390B" w:rsidRPr="00900319" w:rsidRDefault="007B7198" w:rsidP="00F20DBC">
            <w:pPr>
              <w:contextualSpacing/>
              <w:rPr>
                <w:rFonts w:ascii="Calibri" w:hAnsi="Calibri"/>
                <w:sz w:val="20"/>
              </w:rPr>
            </w:pPr>
            <w:r w:rsidRPr="00900319">
              <w:rPr>
                <w:rFonts w:ascii="Calibri" w:hAnsi="Calibri"/>
                <w:sz w:val="20"/>
              </w:rPr>
              <w:t xml:space="preserve">RySG </w:t>
            </w:r>
            <w:r w:rsidRPr="00900319">
              <w:rPr>
                <w:rFonts w:ascii="Calibri" w:hAnsi="Calibri"/>
                <w:sz w:val="14"/>
                <w:szCs w:val="16"/>
              </w:rPr>
              <w:t>(submitted in response to the Preliminary Issue Report)</w:t>
            </w:r>
          </w:p>
        </w:tc>
        <w:tc>
          <w:tcPr>
            <w:tcW w:w="6300" w:type="dxa"/>
          </w:tcPr>
          <w:p w14:paraId="6470594B" w14:textId="15B019F1" w:rsidR="001B5954" w:rsidRPr="00894C2E" w:rsidRDefault="006E40BF" w:rsidP="001B5954">
            <w:pPr>
              <w:widowControl w:val="0"/>
              <w:autoSpaceDE w:val="0"/>
              <w:autoSpaceDN w:val="0"/>
              <w:adjustRightInd w:val="0"/>
              <w:spacing w:after="240"/>
              <w:rPr>
                <w:rFonts w:ascii="Calibri" w:hAnsi="Calibri" w:cs="Verdana"/>
                <w:sz w:val="20"/>
              </w:rPr>
            </w:pPr>
            <w:r>
              <w:rPr>
                <w:rFonts w:ascii="Calibri" w:hAnsi="Calibri" w:cs="Verdana"/>
                <w:sz w:val="20"/>
              </w:rPr>
              <w:t>R</w:t>
            </w:r>
            <w:r w:rsidR="00E97DBF" w:rsidRPr="00894C2E">
              <w:rPr>
                <w:rFonts w:ascii="Calibri" w:hAnsi="Calibri" w:cs="Verdana"/>
                <w:sz w:val="20"/>
              </w:rPr>
              <w:t xml:space="preserve">esellers are explicitly mentioned in both the </w:t>
            </w:r>
            <w:r w:rsidR="002E7E2A">
              <w:rPr>
                <w:rFonts w:ascii="Calibri" w:hAnsi="Calibri" w:cs="Verdana"/>
                <w:sz w:val="20"/>
              </w:rPr>
              <w:t>2009 RAA and the 2013 draft RAA and accordingly, r</w:t>
            </w:r>
            <w:r w:rsidR="00E97DBF" w:rsidRPr="00894C2E">
              <w:rPr>
                <w:rFonts w:ascii="Calibri" w:hAnsi="Calibri" w:cs="Verdana"/>
                <w:sz w:val="20"/>
              </w:rPr>
              <w:t xml:space="preserve">egistrars </w:t>
            </w:r>
            <w:r w:rsidR="002E7E2A">
              <w:rPr>
                <w:rFonts w:ascii="Calibri" w:hAnsi="Calibri" w:cs="Verdana"/>
                <w:sz w:val="20"/>
              </w:rPr>
              <w:t xml:space="preserve">remain </w:t>
            </w:r>
            <w:r w:rsidR="00E97DBF" w:rsidRPr="00894C2E">
              <w:rPr>
                <w:rFonts w:ascii="Calibri" w:hAnsi="Calibri" w:cs="Verdana"/>
                <w:sz w:val="20"/>
              </w:rPr>
              <w:t>completely responsible for the actions of their</w:t>
            </w:r>
            <w:r w:rsidR="001B5954" w:rsidRPr="00894C2E">
              <w:rPr>
                <w:rFonts w:ascii="Calibri" w:hAnsi="Calibri" w:cs="Verdana"/>
                <w:sz w:val="20"/>
              </w:rPr>
              <w:t xml:space="preserve"> </w:t>
            </w:r>
            <w:r w:rsidR="00884B3D">
              <w:rPr>
                <w:rFonts w:ascii="Calibri" w:hAnsi="Calibri" w:cs="Verdana"/>
                <w:sz w:val="20"/>
              </w:rPr>
              <w:t xml:space="preserve">resellers. They are not </w:t>
            </w:r>
            <w:r w:rsidR="001B5954" w:rsidRPr="00894C2E">
              <w:rPr>
                <w:rFonts w:ascii="Calibri" w:hAnsi="Calibri" w:cs="Verdana"/>
                <w:sz w:val="20"/>
              </w:rPr>
              <w:t>able to “</w:t>
            </w:r>
            <w:r w:rsidR="00884B3D">
              <w:rPr>
                <w:rFonts w:ascii="Calibri" w:hAnsi="Calibri" w:cs="Verdana"/>
                <w:sz w:val="20"/>
              </w:rPr>
              <w:t>out source</w:t>
            </w:r>
            <w:r w:rsidR="001B5954" w:rsidRPr="00894C2E">
              <w:rPr>
                <w:rFonts w:ascii="Calibri" w:hAnsi="Calibri" w:cs="Verdana"/>
                <w:sz w:val="20"/>
              </w:rPr>
              <w:t>”</w:t>
            </w:r>
            <w:r w:rsidR="00884B3D">
              <w:rPr>
                <w:rFonts w:ascii="Calibri" w:hAnsi="Calibri" w:cs="Verdana"/>
                <w:sz w:val="20"/>
              </w:rPr>
              <w:t xml:space="preserve"> their o</w:t>
            </w:r>
            <w:r w:rsidR="001B5954" w:rsidRPr="00894C2E">
              <w:rPr>
                <w:rFonts w:ascii="Calibri" w:hAnsi="Calibri" w:cs="Verdana"/>
                <w:sz w:val="20"/>
              </w:rPr>
              <w:t>bligations to resellers</w:t>
            </w:r>
            <w:r w:rsidR="00A87EDA">
              <w:rPr>
                <w:rFonts w:ascii="Calibri" w:hAnsi="Calibri" w:cs="Verdana"/>
                <w:sz w:val="20"/>
              </w:rPr>
              <w:t>.</w:t>
            </w:r>
          </w:p>
          <w:p w14:paraId="29F7D26A" w14:textId="2A21B3DC" w:rsidR="001B5954" w:rsidRPr="00894C2E" w:rsidRDefault="00272C7A" w:rsidP="001B5954">
            <w:pPr>
              <w:widowControl w:val="0"/>
              <w:autoSpaceDE w:val="0"/>
              <w:autoSpaceDN w:val="0"/>
              <w:adjustRightInd w:val="0"/>
              <w:spacing w:after="240"/>
              <w:rPr>
                <w:rFonts w:ascii="Calibri" w:hAnsi="Calibri" w:cs="Verdana"/>
                <w:sz w:val="20"/>
              </w:rPr>
            </w:pPr>
            <w:r>
              <w:rPr>
                <w:rFonts w:ascii="Calibri" w:hAnsi="Calibri" w:cs="Verdana"/>
                <w:sz w:val="20"/>
              </w:rPr>
              <w:t>This also means that t</w:t>
            </w:r>
            <w:r w:rsidR="001B5954" w:rsidRPr="00894C2E">
              <w:rPr>
                <w:rFonts w:ascii="Calibri" w:hAnsi="Calibri" w:cs="Verdana"/>
                <w:sz w:val="20"/>
              </w:rPr>
              <w:t>here are no obligations of resellers towards ICANN direct</w:t>
            </w:r>
            <w:r w:rsidR="002D114A">
              <w:rPr>
                <w:rFonts w:ascii="Calibri" w:hAnsi="Calibri" w:cs="Verdana"/>
                <w:sz w:val="20"/>
              </w:rPr>
              <w:t>ly. All the obligations run via the registrars.</w:t>
            </w:r>
          </w:p>
          <w:p w14:paraId="2A79C011" w14:textId="633B9C02" w:rsidR="00A8390B" w:rsidRPr="00900319" w:rsidRDefault="00DB2096" w:rsidP="006D2EF4">
            <w:pPr>
              <w:widowControl w:val="0"/>
              <w:autoSpaceDE w:val="0"/>
              <w:autoSpaceDN w:val="0"/>
              <w:adjustRightInd w:val="0"/>
              <w:spacing w:after="240"/>
              <w:rPr>
                <w:rFonts w:ascii="Calibri" w:hAnsi="Calibri"/>
                <w:sz w:val="20"/>
              </w:rPr>
            </w:pPr>
            <w:r>
              <w:rPr>
                <w:rFonts w:ascii="Calibri" w:hAnsi="Calibri" w:cs="Verdana"/>
                <w:sz w:val="20"/>
              </w:rPr>
              <w:t xml:space="preserve">The Group has no intention to </w:t>
            </w:r>
            <w:r w:rsidR="001B5954" w:rsidRPr="00894C2E">
              <w:rPr>
                <w:rFonts w:ascii="Calibri" w:hAnsi="Calibri" w:cs="Verdana"/>
                <w:sz w:val="20"/>
              </w:rPr>
              <w:t>alter the existing chain of responsibility between registrars and their resellers.</w:t>
            </w:r>
            <w:bookmarkStart w:id="0" w:name="_GoBack"/>
            <w:bookmarkEnd w:id="0"/>
          </w:p>
        </w:tc>
        <w:tc>
          <w:tcPr>
            <w:tcW w:w="988" w:type="dxa"/>
            <w:gridSpan w:val="2"/>
          </w:tcPr>
          <w:p w14:paraId="1BCA2438" w14:textId="77777777" w:rsidR="00A8390B" w:rsidRPr="00900319" w:rsidRDefault="00A8390B" w:rsidP="005D2CE6">
            <w:pPr>
              <w:contextualSpacing/>
              <w:rPr>
                <w:rFonts w:ascii="Calibri" w:hAnsi="Calibri"/>
                <w:b/>
                <w:sz w:val="20"/>
              </w:rPr>
            </w:pPr>
          </w:p>
        </w:tc>
      </w:tr>
    </w:tbl>
    <w:p w14:paraId="7FFF6CA3" w14:textId="2AF84D13" w:rsidR="00607B94" w:rsidRPr="00900319" w:rsidRDefault="00607B94" w:rsidP="00607D4A">
      <w:pPr>
        <w:rPr>
          <w:rFonts w:ascii="Calibri" w:hAnsi="Calibri"/>
          <w:sz w:val="20"/>
        </w:rPr>
      </w:pPr>
    </w:p>
    <w:sectPr w:rsidR="00607B94" w:rsidRPr="00900319" w:rsidSect="009D3209">
      <w:footerReference w:type="even" r:id="rId11"/>
      <w:footerReference w:type="default" r:id="rId12"/>
      <w:pgSz w:w="16840" w:h="1190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85195" w14:textId="77777777" w:rsidR="00272C7A" w:rsidRDefault="00272C7A">
      <w:r>
        <w:separator/>
      </w:r>
    </w:p>
  </w:endnote>
  <w:endnote w:type="continuationSeparator" w:id="0">
    <w:p w14:paraId="72F61937" w14:textId="77777777" w:rsidR="00272C7A" w:rsidRDefault="0027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6BE64" w14:textId="77777777" w:rsidR="00272C7A" w:rsidRDefault="00272C7A" w:rsidP="00607B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62CF0E" w14:textId="77777777" w:rsidR="00272C7A" w:rsidRDefault="00272C7A" w:rsidP="00607B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1C6C5" w14:textId="77777777" w:rsidR="00272C7A" w:rsidRPr="00B7512A" w:rsidRDefault="00272C7A" w:rsidP="00607B94">
    <w:pPr>
      <w:pStyle w:val="Footer"/>
      <w:framePr w:wrap="around" w:vAnchor="text" w:hAnchor="margin" w:xAlign="right" w:y="1"/>
      <w:rPr>
        <w:rStyle w:val="PageNumber"/>
        <w:rFonts w:ascii="Calibri" w:hAnsi="Calibri"/>
        <w:sz w:val="22"/>
      </w:rPr>
    </w:pPr>
    <w:r w:rsidRPr="00B7512A">
      <w:rPr>
        <w:rStyle w:val="PageNumber"/>
        <w:rFonts w:ascii="Calibri" w:hAnsi="Calibri"/>
        <w:sz w:val="22"/>
      </w:rPr>
      <w:fldChar w:fldCharType="begin"/>
    </w:r>
    <w:r w:rsidRPr="00B7512A">
      <w:rPr>
        <w:rStyle w:val="PageNumber"/>
        <w:rFonts w:ascii="Calibri" w:hAnsi="Calibri"/>
        <w:sz w:val="22"/>
      </w:rPr>
      <w:instrText xml:space="preserve">PAGE  </w:instrText>
    </w:r>
    <w:r w:rsidRPr="00B7512A">
      <w:rPr>
        <w:rStyle w:val="PageNumber"/>
        <w:rFonts w:ascii="Calibri" w:hAnsi="Calibri"/>
        <w:sz w:val="22"/>
      </w:rPr>
      <w:fldChar w:fldCharType="separate"/>
    </w:r>
    <w:r w:rsidR="00465D8A">
      <w:rPr>
        <w:rStyle w:val="PageNumber"/>
        <w:rFonts w:ascii="Calibri" w:hAnsi="Calibri"/>
        <w:noProof/>
        <w:sz w:val="22"/>
      </w:rPr>
      <w:t>1</w:t>
    </w:r>
    <w:r w:rsidRPr="00B7512A">
      <w:rPr>
        <w:rStyle w:val="PageNumber"/>
        <w:rFonts w:ascii="Calibri" w:hAnsi="Calibri"/>
        <w:sz w:val="22"/>
      </w:rPr>
      <w:fldChar w:fldCharType="end"/>
    </w:r>
  </w:p>
  <w:p w14:paraId="4F634CF5" w14:textId="77777777" w:rsidR="00272C7A" w:rsidRDefault="00272C7A" w:rsidP="00607B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794D1" w14:textId="77777777" w:rsidR="00272C7A" w:rsidRDefault="00272C7A">
      <w:r>
        <w:separator/>
      </w:r>
    </w:p>
  </w:footnote>
  <w:footnote w:type="continuationSeparator" w:id="0">
    <w:p w14:paraId="1C8DD0F5" w14:textId="77777777" w:rsidR="00272C7A" w:rsidRDefault="00272C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82DD4"/>
    <w:multiLevelType w:val="hybridMultilevel"/>
    <w:tmpl w:val="A304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0161F"/>
    <w:multiLevelType w:val="hybridMultilevel"/>
    <w:tmpl w:val="71040B58"/>
    <w:lvl w:ilvl="0" w:tplc="8AB8207A">
      <w:numFmt w:val="bullet"/>
      <w:lvlText w:val="-"/>
      <w:lvlJc w:val="left"/>
      <w:pPr>
        <w:ind w:left="720" w:hanging="360"/>
      </w:pPr>
      <w:rPr>
        <w:rFonts w:ascii="Calibri" w:eastAsia="Cambr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603C5"/>
    <w:multiLevelType w:val="hybridMultilevel"/>
    <w:tmpl w:val="7888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F866B6"/>
    <w:multiLevelType w:val="hybridMultilevel"/>
    <w:tmpl w:val="377602C0"/>
    <w:lvl w:ilvl="0" w:tplc="98964CF6">
      <w:start w:val="24"/>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043425"/>
    <w:multiLevelType w:val="hybridMultilevel"/>
    <w:tmpl w:val="3BD254BA"/>
    <w:lvl w:ilvl="0" w:tplc="8AB8207A">
      <w:numFmt w:val="bullet"/>
      <w:lvlText w:val="-"/>
      <w:lvlJc w:val="left"/>
      <w:pPr>
        <w:ind w:left="360" w:hanging="360"/>
      </w:pPr>
      <w:rPr>
        <w:rFonts w:ascii="Calibri" w:eastAsia="Cambria"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5403F6"/>
    <w:multiLevelType w:val="hybridMultilevel"/>
    <w:tmpl w:val="2CECA8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777F31"/>
    <w:multiLevelType w:val="hybridMultilevel"/>
    <w:tmpl w:val="AAE460BC"/>
    <w:lvl w:ilvl="0" w:tplc="2BC82166">
      <w:start w:val="5"/>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06B29"/>
    <w:multiLevelType w:val="hybridMultilevel"/>
    <w:tmpl w:val="911C70AA"/>
    <w:lvl w:ilvl="0" w:tplc="98964CF6">
      <w:start w:val="24"/>
      <w:numFmt w:val="bullet"/>
      <w:lvlText w:val="-"/>
      <w:lvlJc w:val="left"/>
      <w:pPr>
        <w:ind w:left="720" w:hanging="360"/>
      </w:pPr>
      <w:rPr>
        <w:rFonts w:ascii="Calibri" w:eastAsia="Cambr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112BA8"/>
    <w:multiLevelType w:val="hybridMultilevel"/>
    <w:tmpl w:val="FF2A8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5A4FCC"/>
    <w:multiLevelType w:val="multilevel"/>
    <w:tmpl w:val="97C8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787BDD"/>
    <w:multiLevelType w:val="hybridMultilevel"/>
    <w:tmpl w:val="45B497F2"/>
    <w:lvl w:ilvl="0" w:tplc="98964CF6">
      <w:start w:val="24"/>
      <w:numFmt w:val="bullet"/>
      <w:lvlText w:val="-"/>
      <w:lvlJc w:val="left"/>
      <w:pPr>
        <w:ind w:left="720" w:hanging="360"/>
      </w:pPr>
      <w:rPr>
        <w:rFonts w:ascii="Calibri" w:eastAsia="Cambr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C16C2B"/>
    <w:multiLevelType w:val="hybridMultilevel"/>
    <w:tmpl w:val="ED8EECA2"/>
    <w:lvl w:ilvl="0" w:tplc="98964CF6">
      <w:start w:val="24"/>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55653D"/>
    <w:multiLevelType w:val="multilevel"/>
    <w:tmpl w:val="73FE3AC0"/>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48F7FBB"/>
    <w:multiLevelType w:val="multilevel"/>
    <w:tmpl w:val="27E01CEA"/>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A324707"/>
    <w:multiLevelType w:val="hybridMultilevel"/>
    <w:tmpl w:val="55340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06D5B46"/>
    <w:multiLevelType w:val="hybridMultilevel"/>
    <w:tmpl w:val="B770C86E"/>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0D3288"/>
    <w:multiLevelType w:val="hybridMultilevel"/>
    <w:tmpl w:val="DE82A93E"/>
    <w:lvl w:ilvl="0" w:tplc="98964CF6">
      <w:start w:val="24"/>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F46658"/>
    <w:multiLevelType w:val="hybridMultilevel"/>
    <w:tmpl w:val="F5623408"/>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085F97"/>
    <w:multiLevelType w:val="multilevel"/>
    <w:tmpl w:val="96443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F9D0B87"/>
    <w:multiLevelType w:val="hybridMultilevel"/>
    <w:tmpl w:val="B7049D1E"/>
    <w:lvl w:ilvl="0" w:tplc="DE1C7A5E">
      <w:start w:val="1"/>
      <w:numFmt w:val="bullet"/>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5"/>
  </w:num>
  <w:num w:numId="4">
    <w:abstractNumId w:val="1"/>
  </w:num>
  <w:num w:numId="5">
    <w:abstractNumId w:val="21"/>
  </w:num>
  <w:num w:numId="6">
    <w:abstractNumId w:val="9"/>
  </w:num>
  <w:num w:numId="7">
    <w:abstractNumId w:val="18"/>
  </w:num>
  <w:num w:numId="8">
    <w:abstractNumId w:val="20"/>
  </w:num>
  <w:num w:numId="9">
    <w:abstractNumId w:val="15"/>
  </w:num>
  <w:num w:numId="10">
    <w:abstractNumId w:val="16"/>
  </w:num>
  <w:num w:numId="11">
    <w:abstractNumId w:val="2"/>
  </w:num>
  <w:num w:numId="12">
    <w:abstractNumId w:val="17"/>
  </w:num>
  <w:num w:numId="13">
    <w:abstractNumId w:val="0"/>
  </w:num>
  <w:num w:numId="14">
    <w:abstractNumId w:val="3"/>
  </w:num>
  <w:num w:numId="15">
    <w:abstractNumId w:val="11"/>
  </w:num>
  <w:num w:numId="16">
    <w:abstractNumId w:val="4"/>
  </w:num>
  <w:num w:numId="17">
    <w:abstractNumId w:val="19"/>
  </w:num>
  <w:num w:numId="18">
    <w:abstractNumId w:val="13"/>
  </w:num>
  <w:num w:numId="19">
    <w:abstractNumId w:val="14"/>
  </w:num>
  <w:num w:numId="20">
    <w:abstractNumId w:val="10"/>
  </w:num>
  <w:num w:numId="21">
    <w:abstractNumId w:val="6"/>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32"/>
    <w:rsid w:val="00003F7A"/>
    <w:rsid w:val="0001161A"/>
    <w:rsid w:val="00020FBF"/>
    <w:rsid w:val="00032E7C"/>
    <w:rsid w:val="00041B06"/>
    <w:rsid w:val="000614A5"/>
    <w:rsid w:val="00075835"/>
    <w:rsid w:val="00084A8F"/>
    <w:rsid w:val="000977B5"/>
    <w:rsid w:val="000A0C23"/>
    <w:rsid w:val="000B5B0D"/>
    <w:rsid w:val="000B6E10"/>
    <w:rsid w:val="000F240C"/>
    <w:rsid w:val="00124823"/>
    <w:rsid w:val="001348A3"/>
    <w:rsid w:val="00146916"/>
    <w:rsid w:val="0016282D"/>
    <w:rsid w:val="0018403B"/>
    <w:rsid w:val="001925AF"/>
    <w:rsid w:val="001A6BD3"/>
    <w:rsid w:val="001A769F"/>
    <w:rsid w:val="001B5954"/>
    <w:rsid w:val="001C31AF"/>
    <w:rsid w:val="001C41FF"/>
    <w:rsid w:val="001E0A22"/>
    <w:rsid w:val="001E2B1D"/>
    <w:rsid w:val="001F207C"/>
    <w:rsid w:val="001F3590"/>
    <w:rsid w:val="001F4DBB"/>
    <w:rsid w:val="001F56D3"/>
    <w:rsid w:val="0020159C"/>
    <w:rsid w:val="00207AC2"/>
    <w:rsid w:val="00230FE3"/>
    <w:rsid w:val="00235E1C"/>
    <w:rsid w:val="002430E0"/>
    <w:rsid w:val="00253988"/>
    <w:rsid w:val="00264AAE"/>
    <w:rsid w:val="00272C7A"/>
    <w:rsid w:val="002B4AAF"/>
    <w:rsid w:val="002D114A"/>
    <w:rsid w:val="002D3FE3"/>
    <w:rsid w:val="002E7E2A"/>
    <w:rsid w:val="0031056C"/>
    <w:rsid w:val="00313823"/>
    <w:rsid w:val="00331811"/>
    <w:rsid w:val="00342264"/>
    <w:rsid w:val="0035002C"/>
    <w:rsid w:val="00350327"/>
    <w:rsid w:val="003603F3"/>
    <w:rsid w:val="003772B7"/>
    <w:rsid w:val="00381AC7"/>
    <w:rsid w:val="003A1460"/>
    <w:rsid w:val="003A6D6A"/>
    <w:rsid w:val="003D7E1F"/>
    <w:rsid w:val="003F31A2"/>
    <w:rsid w:val="003F639D"/>
    <w:rsid w:val="0040461E"/>
    <w:rsid w:val="00422BC1"/>
    <w:rsid w:val="00427803"/>
    <w:rsid w:val="0043081A"/>
    <w:rsid w:val="00430E27"/>
    <w:rsid w:val="004331FF"/>
    <w:rsid w:val="00435707"/>
    <w:rsid w:val="00440735"/>
    <w:rsid w:val="004439A3"/>
    <w:rsid w:val="004541B3"/>
    <w:rsid w:val="0046299E"/>
    <w:rsid w:val="00465D8A"/>
    <w:rsid w:val="00472320"/>
    <w:rsid w:val="00495D1B"/>
    <w:rsid w:val="004A4AA8"/>
    <w:rsid w:val="004C46ED"/>
    <w:rsid w:val="004F7450"/>
    <w:rsid w:val="00510200"/>
    <w:rsid w:val="00522148"/>
    <w:rsid w:val="00525550"/>
    <w:rsid w:val="00526548"/>
    <w:rsid w:val="00550621"/>
    <w:rsid w:val="00554965"/>
    <w:rsid w:val="00566636"/>
    <w:rsid w:val="00593485"/>
    <w:rsid w:val="005A423E"/>
    <w:rsid w:val="005D2CE6"/>
    <w:rsid w:val="005D7D19"/>
    <w:rsid w:val="00607B94"/>
    <w:rsid w:val="00607D4A"/>
    <w:rsid w:val="00611E73"/>
    <w:rsid w:val="00643C32"/>
    <w:rsid w:val="00663D60"/>
    <w:rsid w:val="0068014E"/>
    <w:rsid w:val="006959D5"/>
    <w:rsid w:val="00695CAC"/>
    <w:rsid w:val="006B7F8B"/>
    <w:rsid w:val="006C6FBD"/>
    <w:rsid w:val="006C7A14"/>
    <w:rsid w:val="006D11FC"/>
    <w:rsid w:val="006D2EF4"/>
    <w:rsid w:val="006E279D"/>
    <w:rsid w:val="006E40BF"/>
    <w:rsid w:val="006F00D0"/>
    <w:rsid w:val="006F0CF5"/>
    <w:rsid w:val="00733116"/>
    <w:rsid w:val="00734B30"/>
    <w:rsid w:val="0073569F"/>
    <w:rsid w:val="00747ED7"/>
    <w:rsid w:val="0075060B"/>
    <w:rsid w:val="00772CE5"/>
    <w:rsid w:val="00780F60"/>
    <w:rsid w:val="00783FC3"/>
    <w:rsid w:val="00791E97"/>
    <w:rsid w:val="007A106E"/>
    <w:rsid w:val="007B7198"/>
    <w:rsid w:val="007B75E2"/>
    <w:rsid w:val="007C1AD8"/>
    <w:rsid w:val="007E3A53"/>
    <w:rsid w:val="007E477D"/>
    <w:rsid w:val="007F6BB2"/>
    <w:rsid w:val="0080081E"/>
    <w:rsid w:val="00804F28"/>
    <w:rsid w:val="00815457"/>
    <w:rsid w:val="00841BCB"/>
    <w:rsid w:val="008544FA"/>
    <w:rsid w:val="00884B3D"/>
    <w:rsid w:val="00894C2E"/>
    <w:rsid w:val="008A36B9"/>
    <w:rsid w:val="008A6E6B"/>
    <w:rsid w:val="008A7CDE"/>
    <w:rsid w:val="008B0B19"/>
    <w:rsid w:val="008C6609"/>
    <w:rsid w:val="008C7357"/>
    <w:rsid w:val="008E5A99"/>
    <w:rsid w:val="008F57E7"/>
    <w:rsid w:val="00900319"/>
    <w:rsid w:val="00911B4E"/>
    <w:rsid w:val="00917329"/>
    <w:rsid w:val="009178C2"/>
    <w:rsid w:val="0092729F"/>
    <w:rsid w:val="0095711C"/>
    <w:rsid w:val="00975625"/>
    <w:rsid w:val="009A00C5"/>
    <w:rsid w:val="009A13C8"/>
    <w:rsid w:val="009A13E4"/>
    <w:rsid w:val="009A6617"/>
    <w:rsid w:val="009B3C1C"/>
    <w:rsid w:val="009D3209"/>
    <w:rsid w:val="00A11676"/>
    <w:rsid w:val="00A16D68"/>
    <w:rsid w:val="00A31320"/>
    <w:rsid w:val="00A4140C"/>
    <w:rsid w:val="00A43476"/>
    <w:rsid w:val="00A528BF"/>
    <w:rsid w:val="00A60523"/>
    <w:rsid w:val="00A60F40"/>
    <w:rsid w:val="00A8390B"/>
    <w:rsid w:val="00A8429A"/>
    <w:rsid w:val="00A87EDA"/>
    <w:rsid w:val="00A93FF5"/>
    <w:rsid w:val="00AA6440"/>
    <w:rsid w:val="00AC0AA0"/>
    <w:rsid w:val="00AD1E09"/>
    <w:rsid w:val="00AD35D7"/>
    <w:rsid w:val="00B06E07"/>
    <w:rsid w:val="00B24655"/>
    <w:rsid w:val="00B61E65"/>
    <w:rsid w:val="00B7275F"/>
    <w:rsid w:val="00B81852"/>
    <w:rsid w:val="00B9783A"/>
    <w:rsid w:val="00BA21F7"/>
    <w:rsid w:val="00BC6A68"/>
    <w:rsid w:val="00C00C5A"/>
    <w:rsid w:val="00C172F7"/>
    <w:rsid w:val="00C372E8"/>
    <w:rsid w:val="00C37D9C"/>
    <w:rsid w:val="00C439CB"/>
    <w:rsid w:val="00C65FD0"/>
    <w:rsid w:val="00C974B3"/>
    <w:rsid w:val="00CB19D1"/>
    <w:rsid w:val="00CC779F"/>
    <w:rsid w:val="00CC78D5"/>
    <w:rsid w:val="00CD4EC7"/>
    <w:rsid w:val="00CD620B"/>
    <w:rsid w:val="00CE7951"/>
    <w:rsid w:val="00CF5372"/>
    <w:rsid w:val="00D165F6"/>
    <w:rsid w:val="00D227B8"/>
    <w:rsid w:val="00D31D4E"/>
    <w:rsid w:val="00D45151"/>
    <w:rsid w:val="00D46251"/>
    <w:rsid w:val="00D4704E"/>
    <w:rsid w:val="00D54448"/>
    <w:rsid w:val="00D61F5A"/>
    <w:rsid w:val="00D62324"/>
    <w:rsid w:val="00D87065"/>
    <w:rsid w:val="00D9725D"/>
    <w:rsid w:val="00DB2096"/>
    <w:rsid w:val="00DD3BF6"/>
    <w:rsid w:val="00DF1189"/>
    <w:rsid w:val="00E060BC"/>
    <w:rsid w:val="00E53D3E"/>
    <w:rsid w:val="00E97DBF"/>
    <w:rsid w:val="00EB189D"/>
    <w:rsid w:val="00EB2255"/>
    <w:rsid w:val="00ED3E1B"/>
    <w:rsid w:val="00EF4F3C"/>
    <w:rsid w:val="00EF652F"/>
    <w:rsid w:val="00F20DBC"/>
    <w:rsid w:val="00F3289F"/>
    <w:rsid w:val="00F32B21"/>
    <w:rsid w:val="00F33EAE"/>
    <w:rsid w:val="00F33F3C"/>
    <w:rsid w:val="00F35FB8"/>
    <w:rsid w:val="00F652A6"/>
    <w:rsid w:val="00F85DD0"/>
    <w:rsid w:val="00FD26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C64C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5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643C32"/>
    <w:pPr>
      <w:ind w:left="720"/>
      <w:contextualSpacing/>
    </w:pPr>
  </w:style>
  <w:style w:type="table" w:styleId="TableGrid">
    <w:name w:val="Table Grid"/>
    <w:basedOn w:val="TableNormal"/>
    <w:uiPriority w:val="59"/>
    <w:rsid w:val="007A05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587C"/>
    <w:rPr>
      <w:rFonts w:ascii="Lucida Grande" w:hAnsi="Lucida Grande"/>
      <w:sz w:val="18"/>
      <w:szCs w:val="18"/>
    </w:rPr>
  </w:style>
  <w:style w:type="character" w:customStyle="1" w:styleId="BalloonTextChar">
    <w:name w:val="Balloon Text Char"/>
    <w:link w:val="BalloonText"/>
    <w:uiPriority w:val="99"/>
    <w:semiHidden/>
    <w:rsid w:val="00E3587C"/>
    <w:rPr>
      <w:rFonts w:ascii="Lucida Grande" w:hAnsi="Lucida Grande"/>
      <w:sz w:val="18"/>
      <w:szCs w:val="18"/>
    </w:rPr>
  </w:style>
  <w:style w:type="paragraph" w:styleId="Footer">
    <w:name w:val="footer"/>
    <w:basedOn w:val="Normal"/>
    <w:link w:val="FooterChar"/>
    <w:uiPriority w:val="99"/>
    <w:semiHidden/>
    <w:unhideWhenUsed/>
    <w:rsid w:val="00B7512A"/>
    <w:pPr>
      <w:tabs>
        <w:tab w:val="center" w:pos="4320"/>
        <w:tab w:val="right" w:pos="8640"/>
      </w:tabs>
    </w:pPr>
  </w:style>
  <w:style w:type="character" w:customStyle="1" w:styleId="FooterChar">
    <w:name w:val="Footer Char"/>
    <w:link w:val="Footer"/>
    <w:uiPriority w:val="99"/>
    <w:semiHidden/>
    <w:rsid w:val="00B7512A"/>
    <w:rPr>
      <w:sz w:val="24"/>
      <w:szCs w:val="24"/>
    </w:rPr>
  </w:style>
  <w:style w:type="character" w:styleId="PageNumber">
    <w:name w:val="page number"/>
    <w:basedOn w:val="DefaultParagraphFont"/>
    <w:uiPriority w:val="99"/>
    <w:semiHidden/>
    <w:unhideWhenUsed/>
    <w:rsid w:val="00B7512A"/>
  </w:style>
  <w:style w:type="paragraph" w:styleId="Header">
    <w:name w:val="header"/>
    <w:basedOn w:val="Normal"/>
    <w:link w:val="HeaderChar"/>
    <w:uiPriority w:val="99"/>
    <w:semiHidden/>
    <w:unhideWhenUsed/>
    <w:rsid w:val="00B7512A"/>
    <w:pPr>
      <w:tabs>
        <w:tab w:val="center" w:pos="4320"/>
        <w:tab w:val="right" w:pos="8640"/>
      </w:tabs>
    </w:pPr>
  </w:style>
  <w:style w:type="character" w:customStyle="1" w:styleId="HeaderChar">
    <w:name w:val="Header Char"/>
    <w:link w:val="Header"/>
    <w:uiPriority w:val="99"/>
    <w:semiHidden/>
    <w:rsid w:val="00B7512A"/>
    <w:rPr>
      <w:sz w:val="24"/>
      <w:szCs w:val="24"/>
    </w:rPr>
  </w:style>
  <w:style w:type="character" w:styleId="Hyperlink">
    <w:name w:val="Hyperlink"/>
    <w:uiPriority w:val="99"/>
    <w:unhideWhenUsed/>
    <w:rsid w:val="00C93FD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5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643C32"/>
    <w:pPr>
      <w:ind w:left="720"/>
      <w:contextualSpacing/>
    </w:pPr>
  </w:style>
  <w:style w:type="table" w:styleId="TableGrid">
    <w:name w:val="Table Grid"/>
    <w:basedOn w:val="TableNormal"/>
    <w:uiPriority w:val="59"/>
    <w:rsid w:val="007A05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587C"/>
    <w:rPr>
      <w:rFonts w:ascii="Lucida Grande" w:hAnsi="Lucida Grande"/>
      <w:sz w:val="18"/>
      <w:szCs w:val="18"/>
    </w:rPr>
  </w:style>
  <w:style w:type="character" w:customStyle="1" w:styleId="BalloonTextChar">
    <w:name w:val="Balloon Text Char"/>
    <w:link w:val="BalloonText"/>
    <w:uiPriority w:val="99"/>
    <w:semiHidden/>
    <w:rsid w:val="00E3587C"/>
    <w:rPr>
      <w:rFonts w:ascii="Lucida Grande" w:hAnsi="Lucida Grande"/>
      <w:sz w:val="18"/>
      <w:szCs w:val="18"/>
    </w:rPr>
  </w:style>
  <w:style w:type="paragraph" w:styleId="Footer">
    <w:name w:val="footer"/>
    <w:basedOn w:val="Normal"/>
    <w:link w:val="FooterChar"/>
    <w:uiPriority w:val="99"/>
    <w:semiHidden/>
    <w:unhideWhenUsed/>
    <w:rsid w:val="00B7512A"/>
    <w:pPr>
      <w:tabs>
        <w:tab w:val="center" w:pos="4320"/>
        <w:tab w:val="right" w:pos="8640"/>
      </w:tabs>
    </w:pPr>
  </w:style>
  <w:style w:type="character" w:customStyle="1" w:styleId="FooterChar">
    <w:name w:val="Footer Char"/>
    <w:link w:val="Footer"/>
    <w:uiPriority w:val="99"/>
    <w:semiHidden/>
    <w:rsid w:val="00B7512A"/>
    <w:rPr>
      <w:sz w:val="24"/>
      <w:szCs w:val="24"/>
    </w:rPr>
  </w:style>
  <w:style w:type="character" w:styleId="PageNumber">
    <w:name w:val="page number"/>
    <w:basedOn w:val="DefaultParagraphFont"/>
    <w:uiPriority w:val="99"/>
    <w:semiHidden/>
    <w:unhideWhenUsed/>
    <w:rsid w:val="00B7512A"/>
  </w:style>
  <w:style w:type="paragraph" w:styleId="Header">
    <w:name w:val="header"/>
    <w:basedOn w:val="Normal"/>
    <w:link w:val="HeaderChar"/>
    <w:uiPriority w:val="99"/>
    <w:semiHidden/>
    <w:unhideWhenUsed/>
    <w:rsid w:val="00B7512A"/>
    <w:pPr>
      <w:tabs>
        <w:tab w:val="center" w:pos="4320"/>
        <w:tab w:val="right" w:pos="8640"/>
      </w:tabs>
    </w:pPr>
  </w:style>
  <w:style w:type="character" w:customStyle="1" w:styleId="HeaderChar">
    <w:name w:val="Header Char"/>
    <w:link w:val="Header"/>
    <w:uiPriority w:val="99"/>
    <w:semiHidden/>
    <w:rsid w:val="00B7512A"/>
    <w:rPr>
      <w:sz w:val="24"/>
      <w:szCs w:val="24"/>
    </w:rPr>
  </w:style>
  <w:style w:type="character" w:styleId="Hyperlink">
    <w:name w:val="Hyperlink"/>
    <w:uiPriority w:val="99"/>
    <w:unhideWhenUsed/>
    <w:rsid w:val="00C93F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0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pages/viewpage.action?pageId=41880128" TargetMode="External"/><Relationship Id="rId9" Type="http://schemas.openxmlformats.org/officeDocument/2006/relationships/hyperlink" Target="http://www.icann.org/en/help/dndr/tdrp" TargetMode="External"/><Relationship Id="rId10" Type="http://schemas.openxmlformats.org/officeDocument/2006/relationships/hyperlink" Target="http://www.icann.org/en/help/dndr/t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2537</Words>
  <Characters>14462</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Manager/>
  <Company>ICANN</Company>
  <LinksUpToDate>false</LinksUpToDate>
  <CharactersWithSpaces>16966</CharactersWithSpaces>
  <SharedDoc>false</SharedDoc>
  <HyperlinkBase/>
  <HLinks>
    <vt:vector size="18" baseType="variant">
      <vt:variant>
        <vt:i4>2162801</vt:i4>
      </vt:variant>
      <vt:variant>
        <vt:i4>6</vt:i4>
      </vt:variant>
      <vt:variant>
        <vt:i4>0</vt:i4>
      </vt:variant>
      <vt:variant>
        <vt:i4>5</vt:i4>
      </vt:variant>
      <vt:variant>
        <vt:lpwstr>http://www.icann.org/en/help/dndr/tdrp</vt:lpwstr>
      </vt:variant>
      <vt:variant>
        <vt:lpwstr/>
      </vt:variant>
      <vt:variant>
        <vt:i4>2162801</vt:i4>
      </vt:variant>
      <vt:variant>
        <vt:i4>3</vt:i4>
      </vt:variant>
      <vt:variant>
        <vt:i4>0</vt:i4>
      </vt:variant>
      <vt:variant>
        <vt:i4>5</vt:i4>
      </vt:variant>
      <vt:variant>
        <vt:lpwstr>http://www.icann.org/en/help/dndr/tdrp</vt:lpwstr>
      </vt:variant>
      <vt:variant>
        <vt:lpwstr/>
      </vt:variant>
      <vt:variant>
        <vt:i4>4390956</vt:i4>
      </vt:variant>
      <vt:variant>
        <vt:i4>0</vt:i4>
      </vt:variant>
      <vt:variant>
        <vt:i4>0</vt:i4>
      </vt:variant>
      <vt:variant>
        <vt:i4>5</vt:i4>
      </vt:variant>
      <vt:variant>
        <vt:lpwstr>https://community.icann.org/pages/viewpage.action?pageId=41880128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Hoffmann</dc:creator>
  <cp:keywords/>
  <dc:description/>
  <cp:lastModifiedBy>Lars Hoffmann</cp:lastModifiedBy>
  <cp:revision>2</cp:revision>
  <cp:lastPrinted>2013-05-30T14:35:00Z</cp:lastPrinted>
  <dcterms:created xsi:type="dcterms:W3CDTF">2013-06-05T13:22:00Z</dcterms:created>
  <dcterms:modified xsi:type="dcterms:W3CDTF">2013-06-05T13:22:00Z</dcterms:modified>
  <cp:category/>
</cp:coreProperties>
</file>