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6D" w:rsidRPr="000D32CC" w:rsidRDefault="00FB616D" w:rsidP="00FB616D">
      <w:pPr>
        <w:numPr>
          <w:ilvl w:val="0"/>
          <w:numId w:val="3"/>
        </w:numPr>
        <w:rPr>
          <w:rFonts w:ascii="Calibri" w:hAnsi="Calibri"/>
          <w:b/>
          <w:u w:val="single"/>
        </w:rPr>
      </w:pPr>
      <w:r w:rsidRPr="000D32CC">
        <w:rPr>
          <w:rFonts w:ascii="Calibri" w:hAnsi="Calibri"/>
          <w:b/>
          <w:u w:val="single"/>
        </w:rPr>
        <w:t xml:space="preserve">Meta-issue : Uniformity of </w:t>
      </w:r>
      <w:r>
        <w:rPr>
          <w:rFonts w:ascii="Calibri" w:hAnsi="Calibri"/>
          <w:b/>
          <w:u w:val="single"/>
        </w:rPr>
        <w:t>R</w:t>
      </w:r>
      <w:r w:rsidRPr="000D32CC">
        <w:rPr>
          <w:rFonts w:ascii="Calibri" w:hAnsi="Calibri"/>
          <w:b/>
          <w:u w:val="single"/>
        </w:rPr>
        <w:t>eporting</w:t>
      </w:r>
    </w:p>
    <w:p w:rsidR="00FB616D" w:rsidRPr="00C65AD9" w:rsidRDefault="00FB616D" w:rsidP="00FB616D">
      <w:pPr>
        <w:rPr>
          <w:rFonts w:ascii="Calibri" w:hAnsi="Calibri"/>
          <w:sz w:val="22"/>
        </w:rPr>
      </w:pPr>
    </w:p>
    <w:p w:rsidR="00FB616D" w:rsidRPr="00C65AD9" w:rsidRDefault="00FB616D" w:rsidP="00FB616D">
      <w:pPr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This working group has identified the need for more uniformity in the mechanisms to initiate, track</w:t>
      </w:r>
      <w:r>
        <w:rPr>
          <w:rFonts w:ascii="Calibri" w:hAnsi="Calibri"/>
          <w:sz w:val="22"/>
        </w:rPr>
        <w:t>,</w:t>
      </w:r>
      <w:r w:rsidRPr="00C65AD9">
        <w:rPr>
          <w:rFonts w:ascii="Calibri" w:hAnsi="Calibri"/>
          <w:sz w:val="22"/>
        </w:rPr>
        <w:t xml:space="preserve"> and </w:t>
      </w:r>
      <w:proofErr w:type="spellStart"/>
      <w:r w:rsidRPr="00C65AD9">
        <w:rPr>
          <w:rFonts w:ascii="Calibri" w:hAnsi="Calibri"/>
          <w:sz w:val="22"/>
        </w:rPr>
        <w:t>an</w:t>
      </w:r>
      <w:bookmarkStart w:id="0" w:name="_GoBack"/>
      <w:bookmarkEnd w:id="0"/>
      <w:r w:rsidRPr="00C65AD9">
        <w:rPr>
          <w:rFonts w:ascii="Calibri" w:hAnsi="Calibri"/>
          <w:sz w:val="22"/>
        </w:rPr>
        <w:t>alyze</w:t>
      </w:r>
      <w:proofErr w:type="spellEnd"/>
      <w:r w:rsidRPr="00C65AD9">
        <w:rPr>
          <w:rFonts w:ascii="Calibri" w:hAnsi="Calibri"/>
          <w:sz w:val="22"/>
        </w:rPr>
        <w:t xml:space="preserve"> policy-violation reports.</w:t>
      </w:r>
      <w:r>
        <w:rPr>
          <w:rFonts w:ascii="Calibri" w:hAnsi="Calibri"/>
          <w:sz w:val="22"/>
        </w:rPr>
        <w:t xml:space="preserve"> </w:t>
      </w:r>
      <w:r w:rsidRPr="00C65AD9">
        <w:rPr>
          <w:rFonts w:ascii="Calibri" w:hAnsi="Calibri"/>
          <w:sz w:val="22"/>
        </w:rPr>
        <w:t xml:space="preserve">The IRTP </w:t>
      </w:r>
      <w:r>
        <w:rPr>
          <w:rFonts w:ascii="Calibri" w:hAnsi="Calibri"/>
          <w:sz w:val="22"/>
        </w:rPr>
        <w:t>Working Group</w:t>
      </w:r>
      <w:r w:rsidRPr="00C65AD9">
        <w:rPr>
          <w:rFonts w:ascii="Calibri" w:hAnsi="Calibri"/>
          <w:sz w:val="22"/>
        </w:rPr>
        <w:t xml:space="preserve"> identified a similar need during </w:t>
      </w:r>
      <w:r>
        <w:rPr>
          <w:rFonts w:ascii="Calibri" w:hAnsi="Calibri"/>
          <w:sz w:val="22"/>
        </w:rPr>
        <w:t>its</w:t>
      </w:r>
      <w:r w:rsidRPr="00C65AD9">
        <w:rPr>
          <w:rFonts w:ascii="Calibri" w:hAnsi="Calibri"/>
          <w:sz w:val="22"/>
        </w:rPr>
        <w:t xml:space="preserve"> review of compliance reports in that arena. This </w:t>
      </w:r>
      <w:r>
        <w:rPr>
          <w:rFonts w:ascii="Calibri" w:hAnsi="Calibri"/>
          <w:sz w:val="22"/>
        </w:rPr>
        <w:t xml:space="preserve">issue is </w:t>
      </w:r>
      <w:r w:rsidRPr="00C65AD9">
        <w:rPr>
          <w:rFonts w:ascii="Calibri" w:hAnsi="Calibri"/>
          <w:sz w:val="22"/>
        </w:rPr>
        <w:t>much broader than registration abuse, is being discussed by a number of working and advisory groups simultaneously</w:t>
      </w:r>
      <w:r>
        <w:rPr>
          <w:rFonts w:ascii="Calibri" w:hAnsi="Calibri"/>
          <w:sz w:val="22"/>
        </w:rPr>
        <w:t>,</w:t>
      </w:r>
      <w:r w:rsidRPr="00C65AD9">
        <w:rPr>
          <w:rFonts w:ascii="Calibri" w:hAnsi="Calibri"/>
          <w:sz w:val="22"/>
        </w:rPr>
        <w:t xml:space="preserve"> and will require more than simple uniformity of contracts to address.</w:t>
      </w:r>
    </w:p>
    <w:p w:rsidR="00FB616D" w:rsidRPr="00C65AD9" w:rsidRDefault="00FB616D" w:rsidP="00FB616D">
      <w:pPr>
        <w:rPr>
          <w:rFonts w:ascii="Calibri" w:hAnsi="Calibri"/>
          <w:b/>
          <w:sz w:val="22"/>
        </w:rPr>
      </w:pPr>
    </w:p>
    <w:p w:rsidR="00FB616D" w:rsidRPr="000D32CC" w:rsidRDefault="00FB616D" w:rsidP="00FB616D">
      <w:pPr>
        <w:numPr>
          <w:ilvl w:val="0"/>
          <w:numId w:val="4"/>
        </w:numPr>
        <w:rPr>
          <w:rFonts w:ascii="Calibri" w:hAnsi="Calibri"/>
          <w:b/>
        </w:rPr>
      </w:pPr>
      <w:r w:rsidRPr="000D32CC">
        <w:rPr>
          <w:rFonts w:ascii="Calibri" w:hAnsi="Calibri"/>
          <w:b/>
        </w:rPr>
        <w:t>The Problem</w:t>
      </w:r>
    </w:p>
    <w:p w:rsidR="00FB616D" w:rsidRPr="00C65AD9" w:rsidRDefault="00FB616D" w:rsidP="00FB616D">
      <w:pPr>
        <w:rPr>
          <w:rFonts w:ascii="Calibri" w:hAnsi="Calibri"/>
          <w:sz w:val="22"/>
        </w:rPr>
      </w:pPr>
    </w:p>
    <w:p w:rsidR="00FB616D" w:rsidRPr="00C65AD9" w:rsidRDefault="00FB616D" w:rsidP="00FB616D">
      <w:pPr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The processes by which a person experiencing a problem learns about their options to resolve that problem</w:t>
      </w:r>
      <w:r>
        <w:rPr>
          <w:rFonts w:ascii="Calibri" w:hAnsi="Calibri"/>
          <w:sz w:val="22"/>
        </w:rPr>
        <w:t>,</w:t>
      </w:r>
      <w:r w:rsidRPr="00C65AD9">
        <w:rPr>
          <w:rFonts w:ascii="Calibri" w:hAnsi="Calibri"/>
          <w:sz w:val="22"/>
        </w:rPr>
        <w:t xml:space="preserve"> or learns which remedies are covered by ICANN policy and which are not, is sometimes </w:t>
      </w:r>
      <w:r>
        <w:rPr>
          <w:rFonts w:ascii="Calibri" w:hAnsi="Calibri"/>
          <w:sz w:val="22"/>
        </w:rPr>
        <w:t>difficult</w:t>
      </w:r>
      <w:r w:rsidRPr="00C65AD9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C65AD9">
        <w:rPr>
          <w:rFonts w:ascii="Calibri" w:hAnsi="Calibri"/>
          <w:sz w:val="22"/>
        </w:rPr>
        <w:t xml:space="preserve"> As a result:</w:t>
      </w:r>
    </w:p>
    <w:p w:rsidR="00FB616D" w:rsidRPr="00C65AD9" w:rsidRDefault="00FB616D" w:rsidP="00FB616D">
      <w:pPr>
        <w:rPr>
          <w:rFonts w:ascii="Calibri" w:hAnsi="Calibri"/>
          <w:sz w:val="22"/>
        </w:rPr>
      </w:pPr>
    </w:p>
    <w:p w:rsidR="00FB616D" w:rsidRPr="00C65AD9" w:rsidRDefault="00FB616D" w:rsidP="00FB616D">
      <w:pPr>
        <w:numPr>
          <w:ilvl w:val="0"/>
          <w:numId w:val="1"/>
        </w:numPr>
        <w:suppressAutoHyphens w:val="0"/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End-users and registrants find it confusing and difficult to identify the most appropriate problem-reporting venue or action to take when they experience problems.</w:t>
      </w:r>
      <w:r>
        <w:rPr>
          <w:rFonts w:ascii="Calibri" w:hAnsi="Calibri"/>
          <w:sz w:val="22"/>
        </w:rPr>
        <w:t xml:space="preserve"> </w:t>
      </w:r>
    </w:p>
    <w:p w:rsidR="00FB616D" w:rsidRPr="00C65AD9" w:rsidRDefault="00FB616D" w:rsidP="00FB616D">
      <w:pPr>
        <w:numPr>
          <w:ilvl w:val="0"/>
          <w:numId w:val="1"/>
        </w:numPr>
        <w:suppressAutoHyphens w:val="0"/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Registrars and registries are frustrated if their customers file complaints in error, in the wrong place</w:t>
      </w:r>
      <w:r>
        <w:rPr>
          <w:rFonts w:ascii="Calibri" w:hAnsi="Calibri"/>
          <w:sz w:val="22"/>
        </w:rPr>
        <w:t>,</w:t>
      </w:r>
      <w:r w:rsidRPr="00C65AD9">
        <w:rPr>
          <w:rFonts w:ascii="Calibri" w:hAnsi="Calibri"/>
          <w:sz w:val="22"/>
        </w:rPr>
        <w:t xml:space="preserve"> or without first seeking help from the </w:t>
      </w:r>
      <w:r>
        <w:rPr>
          <w:rFonts w:ascii="Calibri" w:hAnsi="Calibri"/>
          <w:sz w:val="22"/>
        </w:rPr>
        <w:t xml:space="preserve">most relevant </w:t>
      </w:r>
      <w:r w:rsidRPr="00C65AD9">
        <w:rPr>
          <w:rFonts w:ascii="Calibri" w:hAnsi="Calibri"/>
          <w:sz w:val="22"/>
        </w:rPr>
        <w:t xml:space="preserve">provider. </w:t>
      </w:r>
    </w:p>
    <w:p w:rsidR="00FB616D" w:rsidRPr="00C65AD9" w:rsidRDefault="00FB616D" w:rsidP="00FB616D">
      <w:pPr>
        <w:numPr>
          <w:ilvl w:val="0"/>
          <w:numId w:val="1"/>
        </w:numPr>
        <w:suppressAutoHyphens w:val="0"/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Working and advisory groups find their work hampered by the lack of reliable (rather than anecdotal) data upon which to base policy decisions.</w:t>
      </w:r>
      <w:r>
        <w:rPr>
          <w:rFonts w:ascii="Calibri" w:hAnsi="Calibri"/>
          <w:sz w:val="22"/>
        </w:rPr>
        <w:t xml:space="preserve"> </w:t>
      </w:r>
    </w:p>
    <w:p w:rsidR="00FB616D" w:rsidRPr="00C65AD9" w:rsidRDefault="00FB616D" w:rsidP="00FB616D">
      <w:pPr>
        <w:rPr>
          <w:rFonts w:ascii="Calibri" w:hAnsi="Calibri"/>
          <w:sz w:val="22"/>
        </w:rPr>
      </w:pPr>
    </w:p>
    <w:p w:rsidR="00FB616D" w:rsidRDefault="00FB616D" w:rsidP="00FB616D">
      <w:pPr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In addition, the process of reporting a perceived policy violation could be used to educate people on the limits of ICANN policies and available options if their issue is not covered by policy.</w:t>
      </w:r>
      <w:r>
        <w:rPr>
          <w:rFonts w:ascii="Calibri" w:hAnsi="Calibri"/>
          <w:sz w:val="22"/>
        </w:rPr>
        <w:t xml:space="preserve"> </w:t>
      </w:r>
    </w:p>
    <w:p w:rsidR="00FB616D" w:rsidRDefault="00FB616D" w:rsidP="00FB616D">
      <w:pPr>
        <w:rPr>
          <w:rFonts w:ascii="Calibri" w:hAnsi="Calibri"/>
          <w:sz w:val="22"/>
        </w:rPr>
      </w:pPr>
    </w:p>
    <w:p w:rsidR="00FB616D" w:rsidRPr="00C65AD9" w:rsidRDefault="00FB616D" w:rsidP="00FB616D">
      <w:pPr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RAPWG</w:t>
      </w:r>
      <w:r w:rsidRPr="00C65AD9">
        <w:rPr>
          <w:rFonts w:ascii="Calibri" w:hAnsi="Calibri"/>
          <w:sz w:val="22"/>
        </w:rPr>
        <w:t xml:space="preserve"> suggests, as a starting point for discussion, that </w:t>
      </w:r>
      <w:r w:rsidRPr="00C65AD9">
        <w:rPr>
          <w:rFonts w:ascii="Calibri" w:hAnsi="Calibri"/>
          <w:sz w:val="22"/>
          <w:u w:val="single"/>
        </w:rPr>
        <w:t>every</w:t>
      </w:r>
      <w:r w:rsidRPr="00C65AD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abuse </w:t>
      </w:r>
      <w:r w:rsidRPr="00C65AD9">
        <w:rPr>
          <w:rFonts w:ascii="Calibri" w:hAnsi="Calibri"/>
          <w:sz w:val="22"/>
        </w:rPr>
        <w:t>policy should have:</w:t>
      </w:r>
    </w:p>
    <w:p w:rsidR="00FB616D" w:rsidRPr="00C65AD9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65AD9">
        <w:rPr>
          <w:rFonts w:ascii="Calibri" w:hAnsi="Calibri"/>
          <w:b/>
          <w:sz w:val="22"/>
        </w:rPr>
        <w:t>Reporting</w:t>
      </w:r>
      <w:r>
        <w:rPr>
          <w:rFonts w:ascii="Calibri" w:hAnsi="Calibri"/>
          <w:sz w:val="22"/>
        </w:rPr>
        <w:t>:</w:t>
      </w:r>
      <w:r w:rsidRPr="00C65AD9">
        <w:rPr>
          <w:rFonts w:ascii="Calibri" w:hAnsi="Calibri"/>
          <w:sz w:val="22"/>
        </w:rPr>
        <w:t xml:space="preserve"> a mechanism whereby violations of the policy can be reported by those who are impacted </w:t>
      </w:r>
    </w:p>
    <w:p w:rsidR="00FB616D" w:rsidRPr="00C65AD9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65AD9">
        <w:rPr>
          <w:rFonts w:ascii="Calibri" w:hAnsi="Calibri"/>
          <w:b/>
          <w:sz w:val="22"/>
        </w:rPr>
        <w:t>Notification</w:t>
      </w:r>
      <w:r>
        <w:rPr>
          <w:rFonts w:ascii="Calibri" w:hAnsi="Calibri"/>
          <w:b/>
          <w:sz w:val="22"/>
        </w:rPr>
        <w:t>:</w:t>
      </w:r>
      <w:r w:rsidRPr="00C65AD9">
        <w:rPr>
          <w:rFonts w:ascii="Calibri" w:hAnsi="Calibri"/>
          <w:sz w:val="22"/>
        </w:rPr>
        <w:t xml:space="preserve"> standards as to how contracted parties make visible:</w:t>
      </w:r>
    </w:p>
    <w:p w:rsidR="00FB616D" w:rsidRDefault="00FB616D" w:rsidP="00FB616D">
      <w:pPr>
        <w:numPr>
          <w:ilvl w:val="1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 xml:space="preserve">where to report policy violations, </w:t>
      </w:r>
    </w:p>
    <w:p w:rsidR="00FB616D" w:rsidRDefault="00FB616D" w:rsidP="00FB616D">
      <w:pPr>
        <w:numPr>
          <w:ilvl w:val="1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“plain language” definitions of what constitutes a “reportable” problem,</w:t>
      </w:r>
    </w:p>
    <w:p w:rsidR="00FB616D" w:rsidRDefault="00FB616D" w:rsidP="00FB616D">
      <w:pPr>
        <w:numPr>
          <w:ilvl w:val="1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65AD9">
        <w:rPr>
          <w:rFonts w:ascii="Calibri" w:hAnsi="Calibri"/>
          <w:sz w:val="22"/>
        </w:rPr>
        <w:t>“</w:t>
      </w:r>
      <w:proofErr w:type="gramStart"/>
      <w:r w:rsidRPr="00C65AD9">
        <w:rPr>
          <w:rFonts w:ascii="Calibri" w:hAnsi="Calibri"/>
          <w:sz w:val="22"/>
        </w:rPr>
        <w:t>just</w:t>
      </w:r>
      <w:proofErr w:type="gramEnd"/>
      <w:r w:rsidRPr="00C65AD9">
        <w:rPr>
          <w:rFonts w:ascii="Calibri" w:hAnsi="Calibri"/>
          <w:sz w:val="22"/>
        </w:rPr>
        <w:t xml:space="preserve"> in time education” describing reporting or action options that are available when the person’s problem falls outside ICANN policy. </w:t>
      </w:r>
    </w:p>
    <w:p w:rsidR="00FB616D" w:rsidRPr="00C65AD9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65AD9">
        <w:rPr>
          <w:rFonts w:ascii="Calibri" w:hAnsi="Calibri"/>
          <w:b/>
          <w:sz w:val="22"/>
        </w:rPr>
        <w:lastRenderedPageBreak/>
        <w:t>Tracking</w:t>
      </w:r>
      <w:r>
        <w:rPr>
          <w:rFonts w:ascii="Calibri" w:hAnsi="Calibri"/>
          <w:sz w:val="22"/>
        </w:rPr>
        <w:t xml:space="preserve">: </w:t>
      </w:r>
      <w:r w:rsidRPr="00C65AD9">
        <w:rPr>
          <w:rFonts w:ascii="Calibri" w:hAnsi="Calibri"/>
          <w:sz w:val="22"/>
        </w:rPr>
        <w:t xml:space="preserve">transparent processes to collect, </w:t>
      </w:r>
      <w:proofErr w:type="spellStart"/>
      <w:r w:rsidRPr="00C65AD9">
        <w:rPr>
          <w:rFonts w:ascii="Calibri" w:hAnsi="Calibri"/>
          <w:sz w:val="22"/>
        </w:rPr>
        <w:t>analyze</w:t>
      </w:r>
      <w:proofErr w:type="spellEnd"/>
      <w:r>
        <w:rPr>
          <w:rFonts w:ascii="Calibri" w:hAnsi="Calibri"/>
          <w:sz w:val="22"/>
        </w:rPr>
        <w:t>,</w:t>
      </w:r>
      <w:r w:rsidRPr="00C65AD9">
        <w:rPr>
          <w:rFonts w:ascii="Calibri" w:hAnsi="Calibri"/>
          <w:sz w:val="22"/>
        </w:rPr>
        <w:t xml:space="preserve"> and publish summaries of valid policy-violation reports, the root-causes of the problems and their final disposition </w:t>
      </w:r>
    </w:p>
    <w:p w:rsidR="00FB616D" w:rsidRPr="00C65AD9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65AD9">
        <w:rPr>
          <w:rFonts w:ascii="Calibri" w:hAnsi="Calibri"/>
          <w:b/>
          <w:sz w:val="22"/>
        </w:rPr>
        <w:t>Compliance</w:t>
      </w:r>
      <w:r>
        <w:rPr>
          <w:rFonts w:ascii="Calibri" w:hAnsi="Calibri"/>
          <w:b/>
          <w:sz w:val="22"/>
        </w:rPr>
        <w:t>:</w:t>
      </w:r>
      <w:r w:rsidRPr="00C65AD9">
        <w:rPr>
          <w:rFonts w:ascii="Calibri" w:hAnsi="Calibri"/>
          <w:sz w:val="22"/>
        </w:rPr>
        <w:t xml:space="preserve"> pro</w:t>
      </w:r>
      <w:r>
        <w:rPr>
          <w:rFonts w:ascii="Calibri" w:hAnsi="Calibri"/>
          <w:sz w:val="22"/>
        </w:rPr>
        <w:t xml:space="preserve">cesses to provide due </w:t>
      </w:r>
      <w:r w:rsidRPr="00C65AD9">
        <w:rPr>
          <w:rFonts w:ascii="Calibri" w:hAnsi="Calibri"/>
          <w:sz w:val="22"/>
        </w:rPr>
        <w:t>process, and sanctions that will be</w:t>
      </w:r>
      <w:r>
        <w:rPr>
          <w:rFonts w:ascii="Calibri" w:hAnsi="Calibri"/>
          <w:sz w:val="22"/>
        </w:rPr>
        <w:t xml:space="preserve"> applied, in the case of policy </w:t>
      </w:r>
      <w:r w:rsidRPr="00C65AD9">
        <w:rPr>
          <w:rFonts w:ascii="Calibri" w:hAnsi="Calibri"/>
          <w:sz w:val="22"/>
        </w:rPr>
        <w:t>violations</w:t>
      </w:r>
      <w:r>
        <w:rPr>
          <w:rFonts w:ascii="Calibri" w:hAnsi="Calibri"/>
          <w:sz w:val="22"/>
        </w:rPr>
        <w:t>.</w:t>
      </w:r>
    </w:p>
    <w:p w:rsidR="00FB616D" w:rsidRPr="00C23CF6" w:rsidRDefault="00FB616D" w:rsidP="00FB616D">
      <w:pPr>
        <w:suppressAutoHyphens w:val="0"/>
        <w:rPr>
          <w:rFonts w:ascii="Calibri" w:hAnsi="Calibri"/>
          <w:b/>
          <w:bCs/>
          <w:sz w:val="22"/>
          <w:szCs w:val="22"/>
          <w:lang w:val="en-US" w:eastAsia="en-US" w:bidi="hi-IN"/>
        </w:rPr>
      </w:pPr>
    </w:p>
    <w:p w:rsidR="00FB616D" w:rsidRPr="00C23CF6" w:rsidRDefault="00FB616D" w:rsidP="00FB616D">
      <w:pPr>
        <w:suppressAutoHyphens w:val="0"/>
        <w:rPr>
          <w:rFonts w:ascii="Calibri" w:hAnsi="Calibri"/>
          <w:sz w:val="22"/>
          <w:szCs w:val="22"/>
          <w:lang w:val="en-US" w:eastAsia="en-US" w:bidi="hi-IN"/>
        </w:rPr>
      </w:pPr>
      <w:r w:rsidRPr="00C23CF6">
        <w:rPr>
          <w:rFonts w:ascii="Calibri" w:hAnsi="Calibri"/>
          <w:sz w:val="22"/>
          <w:szCs w:val="22"/>
          <w:lang w:val="en-US" w:eastAsia="en-US" w:bidi="hi-IN"/>
        </w:rPr>
        <w:t>If the GNSO creates a subsequent effort to address this issue, it might consider the following tentative list of goals:</w:t>
      </w:r>
    </w:p>
    <w:p w:rsidR="00FB616D" w:rsidRDefault="00FB616D" w:rsidP="00FB616D">
      <w:pPr>
        <w:ind w:left="360"/>
        <w:rPr>
          <w:rFonts w:ascii="Calibri" w:hAnsi="Calibri"/>
          <w:sz w:val="22"/>
        </w:rPr>
      </w:pPr>
    </w:p>
    <w:p w:rsidR="00FB616D" w:rsidRPr="00C23CF6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>Providing “just in time” education and knowledge to people wanting to report problems</w:t>
      </w:r>
    </w:p>
    <w:p w:rsidR="00FB616D" w:rsidRPr="00C23CF6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 xml:space="preserve">Making it easier to submit a valid complaint </w:t>
      </w:r>
    </w:p>
    <w:p w:rsidR="00FB616D" w:rsidRPr="00C23CF6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>Reduce the number of erroneous complaints</w:t>
      </w:r>
    </w:p>
    <w:p w:rsidR="00FB616D" w:rsidRPr="00C23CF6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>Improving understanding of the limits of ICANN policies and other options to pursue if the issue is not covered by policy</w:t>
      </w:r>
    </w:p>
    <w:p w:rsidR="00FB616D" w:rsidRPr="00C23CF6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>Improving the effectiveness of policy-compliance activities</w:t>
      </w:r>
    </w:p>
    <w:p w:rsidR="00FB616D" w:rsidRPr="00C23CF6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 xml:space="preserve">Improving the data available for GNSO (working-group) and ICANN (advisory-group) policy-making </w:t>
      </w:r>
    </w:p>
    <w:p w:rsidR="00FB616D" w:rsidRPr="00C23CF6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>Improving the data available for compliance activities</w:t>
      </w:r>
    </w:p>
    <w:p w:rsidR="00FB616D" w:rsidRPr="00C65AD9" w:rsidRDefault="00FB616D" w:rsidP="00FB616D">
      <w:pPr>
        <w:numPr>
          <w:ilvl w:val="0"/>
          <w:numId w:val="2"/>
        </w:numPr>
        <w:suppressAutoHyphens w:val="0"/>
        <w:contextualSpacing/>
        <w:rPr>
          <w:rFonts w:ascii="Calibri" w:hAnsi="Calibri"/>
          <w:sz w:val="22"/>
        </w:rPr>
      </w:pPr>
      <w:r w:rsidRPr="00C23CF6">
        <w:rPr>
          <w:rFonts w:ascii="Calibri" w:hAnsi="Calibri"/>
          <w:sz w:val="22"/>
        </w:rPr>
        <w:t>Answering the question “which comes first, policy-process or definitive data describing the problem?” along with suggestions as to how data can be gathered when it hasn’t yet been included in the reporting process.</w:t>
      </w:r>
    </w:p>
    <w:p w:rsidR="00FB616D" w:rsidRPr="00C65AD9" w:rsidRDefault="00FB616D" w:rsidP="00FB616D">
      <w:pPr>
        <w:rPr>
          <w:rFonts w:ascii="Calibri" w:hAnsi="Calibri"/>
          <w:sz w:val="22"/>
        </w:rPr>
      </w:pPr>
    </w:p>
    <w:p w:rsidR="00FB616D" w:rsidRPr="000D32CC" w:rsidRDefault="00FB616D" w:rsidP="00FB616D">
      <w:pPr>
        <w:numPr>
          <w:ilvl w:val="0"/>
          <w:numId w:val="5"/>
        </w:numPr>
        <w:rPr>
          <w:rFonts w:ascii="Calibri" w:hAnsi="Calibri"/>
          <w:b/>
        </w:rPr>
      </w:pPr>
      <w:r w:rsidRPr="000D32CC">
        <w:rPr>
          <w:rFonts w:ascii="Calibri" w:hAnsi="Calibri"/>
          <w:b/>
        </w:rPr>
        <w:t>Recommendation</w:t>
      </w:r>
    </w:p>
    <w:p w:rsidR="00FB616D" w:rsidRDefault="00FB616D" w:rsidP="00FB616D">
      <w:pPr>
        <w:rPr>
          <w:rFonts w:ascii="Calibri" w:hAnsi="Calibri"/>
          <w:sz w:val="22"/>
        </w:rPr>
      </w:pPr>
    </w:p>
    <w:p w:rsidR="00FB616D" w:rsidRPr="00AF5CE4" w:rsidRDefault="00FB616D" w:rsidP="00FB616D">
      <w:pPr>
        <w:rPr>
          <w:rFonts w:ascii="Calibri" w:hAnsi="Calibri"/>
          <w:b/>
          <w:bCs/>
          <w:i/>
          <w:iCs/>
          <w:sz w:val="22"/>
          <w:szCs w:val="22"/>
        </w:rPr>
      </w:pPr>
      <w:r w:rsidRPr="00AF5CE4">
        <w:rPr>
          <w:rFonts w:ascii="Calibri" w:hAnsi="Calibri"/>
          <w:b/>
          <w:bCs/>
          <w:i/>
          <w:iCs/>
          <w:sz w:val="22"/>
          <w:szCs w:val="22"/>
        </w:rPr>
        <w:t xml:space="preserve">The RAPWG recommends that the </w:t>
      </w:r>
      <w:proofErr w:type="gramStart"/>
      <w:r w:rsidRPr="00AF5CE4">
        <w:rPr>
          <w:rFonts w:ascii="Calibri" w:hAnsi="Calibri"/>
          <w:b/>
          <w:bCs/>
          <w:i/>
          <w:iCs/>
          <w:sz w:val="22"/>
          <w:szCs w:val="22"/>
        </w:rPr>
        <w:t>GNSO,</w:t>
      </w:r>
      <w:proofErr w:type="gramEnd"/>
      <w:r w:rsidRPr="00AF5CE4">
        <w:rPr>
          <w:rFonts w:ascii="Calibri" w:hAnsi="Calibri"/>
          <w:b/>
          <w:bCs/>
          <w:i/>
          <w:iCs/>
          <w:sz w:val="22"/>
          <w:szCs w:val="22"/>
        </w:rPr>
        <w:t xml:space="preserve"> and the larger ICANN community in general, create and support uniform reporting processes.</w:t>
      </w:r>
    </w:p>
    <w:p w:rsidR="00FB616D" w:rsidRPr="00AF5CE4" w:rsidRDefault="00FB616D" w:rsidP="00FB616D">
      <w:pPr>
        <w:rPr>
          <w:rFonts w:ascii="Calibri" w:hAnsi="Calibri"/>
          <w:i/>
          <w:iCs/>
          <w:sz w:val="22"/>
          <w:szCs w:val="22"/>
        </w:rPr>
      </w:pPr>
      <w:r w:rsidRPr="00AF5CE4">
        <w:rPr>
          <w:rFonts w:ascii="Calibri" w:hAnsi="Calibri"/>
          <w:b/>
          <w:bCs/>
          <w:i/>
          <w:iCs/>
          <w:sz w:val="22"/>
          <w:szCs w:val="22"/>
        </w:rPr>
        <w:tab/>
        <w:t>The WG achieved unanimous consensus on the above recommendation.</w:t>
      </w:r>
      <w:r w:rsidRPr="00AF5CE4">
        <w:rPr>
          <w:rFonts w:ascii="Calibri" w:hAnsi="Calibri"/>
          <w:i/>
          <w:iCs/>
          <w:sz w:val="22"/>
          <w:szCs w:val="22"/>
        </w:rPr>
        <w:t xml:space="preserve"> In favour (13): </w:t>
      </w:r>
      <w:r>
        <w:rPr>
          <w:rFonts w:ascii="Calibri" w:hAnsi="Calibri"/>
          <w:i/>
          <w:iCs/>
          <w:sz w:val="22"/>
          <w:szCs w:val="22"/>
        </w:rPr>
        <w:t>Aaron (</w:t>
      </w:r>
      <w:proofErr w:type="spellStart"/>
      <w:r>
        <w:rPr>
          <w:rFonts w:ascii="Calibri" w:hAnsi="Calibri"/>
          <w:i/>
          <w:iCs/>
          <w:sz w:val="22"/>
          <w:szCs w:val="22"/>
        </w:rPr>
        <w:t>RySG</w:t>
      </w:r>
      <w:proofErr w:type="spellEnd"/>
      <w:r>
        <w:rPr>
          <w:rFonts w:ascii="Calibri" w:hAnsi="Calibri"/>
          <w:i/>
          <w:iCs/>
          <w:sz w:val="22"/>
          <w:szCs w:val="22"/>
        </w:rPr>
        <w:t>)</w:t>
      </w:r>
      <w:r w:rsidRPr="00AF5CE4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iCs/>
          <w:sz w:val="22"/>
          <w:szCs w:val="22"/>
        </w:rPr>
        <w:t>Amadoz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iCs/>
          <w:sz w:val="22"/>
          <w:szCs w:val="22"/>
        </w:rPr>
        <w:t>RySG</w:t>
      </w:r>
      <w:proofErr w:type="spellEnd"/>
      <w:r>
        <w:rPr>
          <w:rFonts w:ascii="Calibri" w:hAnsi="Calibri"/>
          <w:i/>
          <w:iCs/>
          <w:sz w:val="22"/>
          <w:szCs w:val="22"/>
        </w:rPr>
        <w:t>)</w:t>
      </w:r>
      <w:r w:rsidRPr="00AF5CE4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/>
          <w:i/>
          <w:iCs/>
          <w:sz w:val="22"/>
          <w:szCs w:val="22"/>
        </w:rPr>
        <w:t>Bladel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iCs/>
          <w:sz w:val="22"/>
          <w:szCs w:val="22"/>
        </w:rPr>
        <w:t>RrSG</w:t>
      </w:r>
      <w:proofErr w:type="spellEnd"/>
      <w:r>
        <w:rPr>
          <w:rFonts w:ascii="Calibri" w:hAnsi="Calibri"/>
          <w:i/>
          <w:iCs/>
          <w:sz w:val="22"/>
          <w:szCs w:val="22"/>
        </w:rPr>
        <w:t>)</w:t>
      </w:r>
      <w:r w:rsidRPr="00AF5CE4">
        <w:rPr>
          <w:rFonts w:ascii="Calibri" w:hAnsi="Calibri"/>
          <w:i/>
          <w:iCs/>
          <w:sz w:val="22"/>
          <w:szCs w:val="22"/>
        </w:rPr>
        <w:t xml:space="preserve">, Cobb (CBUC), </w:t>
      </w:r>
      <w:proofErr w:type="spellStart"/>
      <w:r w:rsidRPr="00AF5CE4">
        <w:rPr>
          <w:rFonts w:ascii="Calibri" w:hAnsi="Calibri"/>
          <w:i/>
          <w:iCs/>
          <w:sz w:val="22"/>
          <w:szCs w:val="22"/>
        </w:rPr>
        <w:t>Felman</w:t>
      </w:r>
      <w:proofErr w:type="spellEnd"/>
      <w:r w:rsidRPr="00AF5CE4">
        <w:rPr>
          <w:rFonts w:ascii="Calibri" w:hAnsi="Calibri"/>
          <w:i/>
          <w:iCs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iCs/>
          <w:sz w:val="22"/>
          <w:szCs w:val="22"/>
        </w:rPr>
        <w:t>MarkMonitor</w:t>
      </w:r>
      <w:proofErr w:type="spellEnd"/>
      <w:r w:rsidRPr="00AF5CE4">
        <w:rPr>
          <w:rFonts w:ascii="Calibri" w:hAnsi="Calibri"/>
          <w:i/>
          <w:iCs/>
          <w:sz w:val="22"/>
          <w:szCs w:val="22"/>
        </w:rPr>
        <w:t xml:space="preserve">), </w:t>
      </w:r>
      <w:proofErr w:type="spellStart"/>
      <w:r>
        <w:rPr>
          <w:rFonts w:ascii="Calibri" w:hAnsi="Calibri"/>
          <w:i/>
          <w:iCs/>
          <w:sz w:val="22"/>
          <w:szCs w:val="22"/>
        </w:rPr>
        <w:t>Neuman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iCs/>
          <w:sz w:val="22"/>
          <w:szCs w:val="22"/>
        </w:rPr>
        <w:t>RySG</w:t>
      </w:r>
      <w:proofErr w:type="spellEnd"/>
      <w:r>
        <w:rPr>
          <w:rFonts w:ascii="Calibri" w:hAnsi="Calibri"/>
          <w:i/>
          <w:iCs/>
          <w:sz w:val="22"/>
          <w:szCs w:val="22"/>
        </w:rPr>
        <w:t>)</w:t>
      </w:r>
      <w:r w:rsidRPr="00AF5CE4">
        <w:rPr>
          <w:rFonts w:ascii="Calibri" w:hAnsi="Calibri"/>
          <w:i/>
          <w:iCs/>
          <w:sz w:val="22"/>
          <w:szCs w:val="22"/>
        </w:rPr>
        <w:t xml:space="preserve">, O’Connor (CBUC), </w:t>
      </w:r>
      <w:proofErr w:type="spellStart"/>
      <w:r w:rsidRPr="00AF5CE4">
        <w:rPr>
          <w:rFonts w:ascii="Calibri" w:hAnsi="Calibri"/>
          <w:i/>
          <w:iCs/>
          <w:sz w:val="22"/>
          <w:szCs w:val="22"/>
        </w:rPr>
        <w:t>Queern</w:t>
      </w:r>
      <w:proofErr w:type="spellEnd"/>
      <w:r w:rsidRPr="00AF5CE4">
        <w:rPr>
          <w:rFonts w:ascii="Calibri" w:hAnsi="Calibri"/>
          <w:i/>
          <w:iCs/>
          <w:sz w:val="22"/>
          <w:szCs w:val="22"/>
        </w:rPr>
        <w:t xml:space="preserve"> (CBUC), Rasmussen (</w:t>
      </w:r>
      <w:r>
        <w:rPr>
          <w:rFonts w:ascii="Calibri" w:hAnsi="Calibri"/>
          <w:i/>
          <w:iCs/>
          <w:sz w:val="22"/>
          <w:szCs w:val="22"/>
        </w:rPr>
        <w:t>Internet Identity</w:t>
      </w:r>
      <w:r w:rsidRPr="00AF5CE4">
        <w:rPr>
          <w:rFonts w:ascii="Calibri" w:hAnsi="Calibri"/>
          <w:i/>
          <w:iCs/>
          <w:sz w:val="22"/>
          <w:szCs w:val="22"/>
        </w:rPr>
        <w:t xml:space="preserve">), </w:t>
      </w:r>
      <w:proofErr w:type="spellStart"/>
      <w:r w:rsidRPr="00AF5CE4">
        <w:rPr>
          <w:rFonts w:ascii="Calibri" w:hAnsi="Calibri"/>
          <w:i/>
          <w:iCs/>
          <w:sz w:val="22"/>
          <w:szCs w:val="22"/>
        </w:rPr>
        <w:t>Rodenbaugh</w:t>
      </w:r>
      <w:proofErr w:type="spellEnd"/>
      <w:r w:rsidRPr="00AF5CE4">
        <w:rPr>
          <w:rFonts w:ascii="Calibri" w:hAnsi="Calibri"/>
          <w:i/>
          <w:iCs/>
          <w:sz w:val="22"/>
          <w:szCs w:val="22"/>
        </w:rPr>
        <w:t xml:space="preserve"> (CBUC), Shah </w:t>
      </w:r>
      <w:r w:rsidRPr="004B754B">
        <w:rPr>
          <w:rFonts w:ascii="Calibri" w:hAnsi="Calibri"/>
          <w:i/>
          <w:iCs/>
          <w:sz w:val="22"/>
          <w:szCs w:val="22"/>
        </w:rPr>
        <w:t>(</w:t>
      </w:r>
      <w:proofErr w:type="spellStart"/>
      <w:r>
        <w:rPr>
          <w:rFonts w:ascii="Calibri" w:hAnsi="Calibri"/>
          <w:i/>
          <w:iCs/>
          <w:sz w:val="22"/>
          <w:szCs w:val="22"/>
        </w:rPr>
        <w:t>MarkMonitor</w:t>
      </w:r>
      <w:proofErr w:type="spellEnd"/>
      <w:r w:rsidRPr="00AF5CE4">
        <w:rPr>
          <w:rFonts w:ascii="Calibri" w:hAnsi="Calibri"/>
          <w:i/>
          <w:iCs/>
          <w:sz w:val="22"/>
          <w:szCs w:val="22"/>
        </w:rPr>
        <w:t xml:space="preserve">), Sutton (CBUC), </w:t>
      </w:r>
      <w:r>
        <w:rPr>
          <w:rFonts w:ascii="Calibri" w:hAnsi="Calibri"/>
          <w:i/>
          <w:iCs/>
          <w:sz w:val="22"/>
          <w:szCs w:val="22"/>
        </w:rPr>
        <w:t>Young (</w:t>
      </w:r>
      <w:proofErr w:type="spellStart"/>
      <w:r>
        <w:rPr>
          <w:rFonts w:ascii="Calibri" w:hAnsi="Calibri"/>
          <w:i/>
          <w:iCs/>
          <w:sz w:val="22"/>
          <w:szCs w:val="22"/>
        </w:rPr>
        <w:t>RySG</w:t>
      </w:r>
      <w:proofErr w:type="spellEnd"/>
      <w:r>
        <w:rPr>
          <w:rFonts w:ascii="Calibri" w:hAnsi="Calibri"/>
          <w:i/>
          <w:iCs/>
          <w:sz w:val="22"/>
          <w:szCs w:val="22"/>
        </w:rPr>
        <w:t>)</w:t>
      </w:r>
      <w:r w:rsidRPr="00AF5CE4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AF5CE4">
        <w:rPr>
          <w:rFonts w:ascii="Calibri" w:hAnsi="Calibri"/>
          <w:i/>
          <w:iCs/>
          <w:sz w:val="22"/>
          <w:szCs w:val="22"/>
        </w:rPr>
        <w:t>Against, or alternate views: none.</w:t>
      </w:r>
    </w:p>
    <w:p w:rsidR="00941FFF" w:rsidRDefault="00FB616D"/>
    <w:sectPr w:rsidR="0094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5F6"/>
    <w:multiLevelType w:val="multilevel"/>
    <w:tmpl w:val="D946161E"/>
    <w:lvl w:ilvl="0">
      <w:start w:val="1"/>
      <w:numFmt w:val="none"/>
      <w:lvlText w:val="9.1.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1F2C04"/>
    <w:multiLevelType w:val="hybridMultilevel"/>
    <w:tmpl w:val="8DD4A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6163E"/>
    <w:multiLevelType w:val="multilevel"/>
    <w:tmpl w:val="CF5EFE08"/>
    <w:lvl w:ilvl="0">
      <w:start w:val="1"/>
      <w:numFmt w:val="none"/>
      <w:lvlText w:val="9.1.2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FB173B"/>
    <w:multiLevelType w:val="hybridMultilevel"/>
    <w:tmpl w:val="D24E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78CE"/>
    <w:multiLevelType w:val="multilevel"/>
    <w:tmpl w:val="864EEE40"/>
    <w:lvl w:ilvl="0">
      <w:start w:val="1"/>
      <w:numFmt w:val="decimal"/>
      <w:lvlText w:val="9.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D"/>
    <w:rsid w:val="00C54597"/>
    <w:rsid w:val="00DA59E3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6D"/>
    <w:pPr>
      <w:suppressAutoHyphens/>
      <w:spacing w:after="0" w:line="360" w:lineRule="auto"/>
    </w:pPr>
    <w:rPr>
      <w:rFonts w:ascii="Garamond" w:eastAsia="Times New Roman" w:hAnsi="Garamond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6D"/>
    <w:pPr>
      <w:suppressAutoHyphens/>
      <w:spacing w:after="0" w:line="360" w:lineRule="auto"/>
    </w:pPr>
    <w:rPr>
      <w:rFonts w:ascii="Garamond" w:eastAsia="Times New Roman" w:hAnsi="Garamond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1</cp:revision>
  <dcterms:created xsi:type="dcterms:W3CDTF">2013-11-27T23:08:00Z</dcterms:created>
  <dcterms:modified xsi:type="dcterms:W3CDTF">2013-11-27T23:09:00Z</dcterms:modified>
</cp:coreProperties>
</file>