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9" w:rsidRPr="007F69F5" w:rsidRDefault="007F69F5" w:rsidP="007F69F5">
      <w:pPr>
        <w:jc w:val="center"/>
        <w:rPr>
          <w:b/>
          <w:sz w:val="24"/>
          <w:szCs w:val="24"/>
        </w:rPr>
      </w:pPr>
      <w:bookmarkStart w:id="0" w:name="_GoBack"/>
      <w:bookmarkEnd w:id="0"/>
      <w:r>
        <w:rPr>
          <w:b/>
          <w:sz w:val="24"/>
          <w:szCs w:val="24"/>
        </w:rPr>
        <w:t>Follow</w:t>
      </w:r>
      <w:r w:rsidR="00682884">
        <w:rPr>
          <w:b/>
          <w:sz w:val="24"/>
          <w:szCs w:val="24"/>
        </w:rPr>
        <w:t>-</w:t>
      </w:r>
      <w:r>
        <w:rPr>
          <w:b/>
          <w:sz w:val="24"/>
          <w:szCs w:val="24"/>
        </w:rPr>
        <w:t>up on the Policy and</w:t>
      </w:r>
      <w:r w:rsidRPr="007F69F5">
        <w:rPr>
          <w:b/>
          <w:sz w:val="24"/>
          <w:szCs w:val="24"/>
        </w:rPr>
        <w:t xml:space="preserve"> Implementation WG Final Recommendations</w:t>
      </w:r>
    </w:p>
    <w:p w:rsidR="007F69F5" w:rsidRPr="007F69F5" w:rsidRDefault="007F69F5" w:rsidP="007F69F5">
      <w:pPr>
        <w:jc w:val="center"/>
      </w:pPr>
      <w:r w:rsidRPr="007F69F5">
        <w:t>6 January 2016</w:t>
      </w:r>
    </w:p>
    <w:p w:rsidR="005E7412" w:rsidRDefault="005E7412" w:rsidP="007F69F5">
      <w:r>
        <w:t xml:space="preserve">Reference:  </w:t>
      </w:r>
      <w:r w:rsidRPr="005E7412">
        <w:t>Policy and Implementation WG Final Recommendations</w:t>
      </w:r>
      <w:r>
        <w:t xml:space="preserve"> - </w:t>
      </w:r>
      <w:hyperlink r:id="rId5" w:history="1">
        <w:r w:rsidRPr="0032329A">
          <w:rPr>
            <w:rStyle w:val="Hyperlink"/>
          </w:rPr>
          <w:t>https://community.icann.org/display/PIWG/Final+Report+Redline+Version?preview=/53777906/54002979/Policy%20and%20Implementation%20Final%20Report%20-%20redline%20-%20FINAL%20-%201%20June%202015.docx</w:t>
        </w:r>
      </w:hyperlink>
      <w:r>
        <w:t xml:space="preserve"> </w:t>
      </w:r>
    </w:p>
    <w:p w:rsidR="007F69F5" w:rsidRDefault="007F69F5" w:rsidP="007F69F5">
      <w:r>
        <w:t xml:space="preserve">The following table lists action items that may be necessary to implement the </w:t>
      </w:r>
      <w:r w:rsidRPr="007F69F5">
        <w:t>Policy &amp; Implementation WG Final Recommendations</w:t>
      </w:r>
      <w:r>
        <w:t>.</w:t>
      </w:r>
    </w:p>
    <w:tbl>
      <w:tblPr>
        <w:tblStyle w:val="TableGrid"/>
        <w:tblW w:w="0" w:type="auto"/>
        <w:tblLook w:val="04A0" w:firstRow="1" w:lastRow="0" w:firstColumn="1" w:lastColumn="0" w:noHBand="0" w:noVBand="1"/>
      </w:tblPr>
      <w:tblGrid>
        <w:gridCol w:w="828"/>
        <w:gridCol w:w="810"/>
        <w:gridCol w:w="4320"/>
        <w:gridCol w:w="3420"/>
        <w:gridCol w:w="3420"/>
      </w:tblGrid>
      <w:tr w:rsidR="007F69F5" w:rsidRPr="007F69F5" w:rsidTr="00B45D9F">
        <w:trPr>
          <w:cantSplit/>
          <w:tblHeader/>
        </w:trPr>
        <w:tc>
          <w:tcPr>
            <w:tcW w:w="828" w:type="dxa"/>
          </w:tcPr>
          <w:p w:rsidR="007F69F5" w:rsidRPr="007F69F5" w:rsidRDefault="007F69F5" w:rsidP="007F69F5">
            <w:pPr>
              <w:rPr>
                <w:b/>
              </w:rPr>
            </w:pPr>
            <w:r w:rsidRPr="007F69F5">
              <w:rPr>
                <w:b/>
              </w:rPr>
              <w:t>Page #</w:t>
            </w:r>
          </w:p>
        </w:tc>
        <w:tc>
          <w:tcPr>
            <w:tcW w:w="810" w:type="dxa"/>
          </w:tcPr>
          <w:p w:rsidR="007F69F5" w:rsidRPr="007F69F5" w:rsidRDefault="007F69F5" w:rsidP="007F69F5">
            <w:pPr>
              <w:rPr>
                <w:b/>
              </w:rPr>
            </w:pPr>
            <w:r w:rsidRPr="007F69F5">
              <w:rPr>
                <w:b/>
              </w:rPr>
              <w:t>Rec. #</w:t>
            </w:r>
          </w:p>
        </w:tc>
        <w:tc>
          <w:tcPr>
            <w:tcW w:w="4320" w:type="dxa"/>
          </w:tcPr>
          <w:p w:rsidR="007F69F5" w:rsidRPr="007F69F5" w:rsidRDefault="007F69F5" w:rsidP="007F69F5">
            <w:pPr>
              <w:rPr>
                <w:b/>
              </w:rPr>
            </w:pPr>
            <w:r w:rsidRPr="007F69F5">
              <w:rPr>
                <w:b/>
              </w:rPr>
              <w:t>Action Item</w:t>
            </w:r>
          </w:p>
        </w:tc>
        <w:tc>
          <w:tcPr>
            <w:tcW w:w="3420" w:type="dxa"/>
          </w:tcPr>
          <w:p w:rsidR="007F69F5" w:rsidRPr="007F69F5" w:rsidRDefault="007F69F5" w:rsidP="007F69F5">
            <w:pPr>
              <w:rPr>
                <w:b/>
              </w:rPr>
            </w:pPr>
            <w:r>
              <w:rPr>
                <w:b/>
              </w:rPr>
              <w:t>Comments</w:t>
            </w:r>
          </w:p>
        </w:tc>
        <w:tc>
          <w:tcPr>
            <w:tcW w:w="3420" w:type="dxa"/>
          </w:tcPr>
          <w:p w:rsidR="007F69F5" w:rsidRPr="007F69F5" w:rsidRDefault="007F69F5" w:rsidP="007F69F5">
            <w:pPr>
              <w:rPr>
                <w:b/>
              </w:rPr>
            </w:pPr>
            <w:r w:rsidRPr="007F69F5">
              <w:rPr>
                <w:b/>
              </w:rPr>
              <w:t>Status</w:t>
            </w:r>
          </w:p>
        </w:tc>
      </w:tr>
      <w:tr w:rsidR="007F69F5" w:rsidTr="00B45D9F">
        <w:trPr>
          <w:cantSplit/>
        </w:trPr>
        <w:tc>
          <w:tcPr>
            <w:tcW w:w="828" w:type="dxa"/>
          </w:tcPr>
          <w:p w:rsidR="007F69F5" w:rsidRDefault="007F69F5" w:rsidP="007F69F5">
            <w:r>
              <w:t>6</w:t>
            </w:r>
          </w:p>
        </w:tc>
        <w:tc>
          <w:tcPr>
            <w:tcW w:w="810" w:type="dxa"/>
          </w:tcPr>
          <w:p w:rsidR="007F69F5" w:rsidRDefault="007F69F5" w:rsidP="007F69F5">
            <w:r>
              <w:t>4</w:t>
            </w:r>
          </w:p>
        </w:tc>
        <w:tc>
          <w:tcPr>
            <w:tcW w:w="4320" w:type="dxa"/>
          </w:tcPr>
          <w:p w:rsidR="007F69F5" w:rsidRDefault="007F69F5" w:rsidP="007F69F5">
            <w:r>
              <w:t>Update t</w:t>
            </w:r>
            <w:r w:rsidR="00682884">
              <w:t>he PDP Manual to require an IRT</w:t>
            </w:r>
          </w:p>
        </w:tc>
        <w:tc>
          <w:tcPr>
            <w:tcW w:w="3420" w:type="dxa"/>
          </w:tcPr>
          <w:p w:rsidR="007F69F5" w:rsidRDefault="007F69F5" w:rsidP="007F69F5">
            <w:r>
              <w:t>Should there be an IRT for P&amp;I</w:t>
            </w:r>
            <w:r w:rsidR="00682884">
              <w:t xml:space="preserve"> WG</w:t>
            </w:r>
            <w:r>
              <w:t>?</w:t>
            </w:r>
          </w:p>
        </w:tc>
        <w:tc>
          <w:tcPr>
            <w:tcW w:w="3420" w:type="dxa"/>
          </w:tcPr>
          <w:p w:rsidR="007F69F5" w:rsidRDefault="007C0A79" w:rsidP="007F69F5">
            <w:r>
              <w:t>Updated – awaiting posting of updated Bylaws to publish updated PDP Manual</w:t>
            </w:r>
          </w:p>
        </w:tc>
      </w:tr>
      <w:tr w:rsidR="007F69F5" w:rsidTr="00B45D9F">
        <w:trPr>
          <w:cantSplit/>
        </w:trPr>
        <w:tc>
          <w:tcPr>
            <w:tcW w:w="828" w:type="dxa"/>
          </w:tcPr>
          <w:p w:rsidR="007F69F5" w:rsidRDefault="00682884" w:rsidP="007F69F5">
            <w:r>
              <w:t>6</w:t>
            </w:r>
          </w:p>
        </w:tc>
        <w:tc>
          <w:tcPr>
            <w:tcW w:w="810" w:type="dxa"/>
          </w:tcPr>
          <w:p w:rsidR="007F69F5" w:rsidRDefault="00682884" w:rsidP="007F69F5">
            <w:r>
              <w:t>5</w:t>
            </w:r>
          </w:p>
        </w:tc>
        <w:tc>
          <w:tcPr>
            <w:tcW w:w="4320" w:type="dxa"/>
          </w:tcPr>
          <w:p w:rsidR="007F69F5" w:rsidRDefault="00682884" w:rsidP="007F69F5">
            <w:r>
              <w:t>Ensure that IRTs follow IRT Principles</w:t>
            </w:r>
          </w:p>
        </w:tc>
        <w:tc>
          <w:tcPr>
            <w:tcW w:w="3420" w:type="dxa"/>
          </w:tcPr>
          <w:p w:rsidR="007F69F5" w:rsidRDefault="00682884" w:rsidP="007F69F5">
            <w:r>
              <w:t>See Annex L</w:t>
            </w:r>
            <w:r w:rsidR="005E7412">
              <w:t>.</w:t>
            </w:r>
          </w:p>
        </w:tc>
        <w:tc>
          <w:tcPr>
            <w:tcW w:w="3420" w:type="dxa"/>
          </w:tcPr>
          <w:p w:rsidR="007F69F5" w:rsidRDefault="007C0A79" w:rsidP="007F69F5">
            <w:r>
              <w:t>Proposed implementation: IRT Principles to be shared with newly created IRTs at the start of their deliberations. IRT and/or staff can flag if principles are not respected.</w:t>
            </w:r>
          </w:p>
        </w:tc>
      </w:tr>
      <w:tr w:rsidR="007F69F5" w:rsidTr="00B45D9F">
        <w:trPr>
          <w:cantSplit/>
        </w:trPr>
        <w:tc>
          <w:tcPr>
            <w:tcW w:w="828" w:type="dxa"/>
          </w:tcPr>
          <w:p w:rsidR="007F69F5" w:rsidRDefault="00E10796" w:rsidP="007F69F5">
            <w:r>
              <w:t>12</w:t>
            </w:r>
          </w:p>
        </w:tc>
        <w:tc>
          <w:tcPr>
            <w:tcW w:w="810" w:type="dxa"/>
          </w:tcPr>
          <w:p w:rsidR="007F69F5" w:rsidRDefault="00E10796" w:rsidP="007F69F5">
            <w:r>
              <w:t>1</w:t>
            </w:r>
          </w:p>
        </w:tc>
        <w:tc>
          <w:tcPr>
            <w:tcW w:w="4320" w:type="dxa"/>
          </w:tcPr>
          <w:p w:rsidR="007F69F5" w:rsidRDefault="00E10796" w:rsidP="007F69F5">
            <w:r>
              <w:t>GNSO adoption of P&amp;I Principles</w:t>
            </w:r>
          </w:p>
        </w:tc>
        <w:tc>
          <w:tcPr>
            <w:tcW w:w="3420" w:type="dxa"/>
          </w:tcPr>
          <w:p w:rsidR="007F69F5" w:rsidRDefault="00E10796" w:rsidP="007F69F5">
            <w:r>
              <w:t>Did Council approval cover this?</w:t>
            </w:r>
          </w:p>
        </w:tc>
        <w:tc>
          <w:tcPr>
            <w:tcW w:w="3420" w:type="dxa"/>
          </w:tcPr>
          <w:p w:rsidR="007F69F5" w:rsidRDefault="007C0A79" w:rsidP="007F69F5">
            <w:r>
              <w:t>Yes</w:t>
            </w:r>
          </w:p>
        </w:tc>
      </w:tr>
      <w:tr w:rsidR="007F69F5" w:rsidTr="00B45D9F">
        <w:trPr>
          <w:cantSplit/>
        </w:trPr>
        <w:tc>
          <w:tcPr>
            <w:tcW w:w="828" w:type="dxa"/>
          </w:tcPr>
          <w:p w:rsidR="007F69F5" w:rsidRDefault="00E10796" w:rsidP="007F69F5">
            <w:r>
              <w:t>12</w:t>
            </w:r>
          </w:p>
        </w:tc>
        <w:tc>
          <w:tcPr>
            <w:tcW w:w="810" w:type="dxa"/>
          </w:tcPr>
          <w:p w:rsidR="007F69F5" w:rsidRDefault="00E10796" w:rsidP="007F69F5">
            <w:r>
              <w:t>1</w:t>
            </w:r>
          </w:p>
        </w:tc>
        <w:tc>
          <w:tcPr>
            <w:tcW w:w="4320" w:type="dxa"/>
          </w:tcPr>
          <w:p w:rsidR="007F69F5" w:rsidRDefault="00E10796" w:rsidP="007F69F5">
            <w:r>
              <w:t>Board adoption of P&amp;I Principles</w:t>
            </w:r>
          </w:p>
        </w:tc>
        <w:tc>
          <w:tcPr>
            <w:tcW w:w="3420" w:type="dxa"/>
          </w:tcPr>
          <w:p w:rsidR="007F69F5" w:rsidRDefault="00E10796" w:rsidP="007F69F5">
            <w:r>
              <w:t>Did Board approval cover this?</w:t>
            </w:r>
          </w:p>
        </w:tc>
        <w:tc>
          <w:tcPr>
            <w:tcW w:w="3420" w:type="dxa"/>
          </w:tcPr>
          <w:p w:rsidR="007F69F5" w:rsidRDefault="007C0A79" w:rsidP="007F69F5">
            <w:r>
              <w:t>Yes</w:t>
            </w:r>
          </w:p>
        </w:tc>
      </w:tr>
      <w:tr w:rsidR="007F69F5" w:rsidTr="00B45D9F">
        <w:trPr>
          <w:cantSplit/>
        </w:trPr>
        <w:tc>
          <w:tcPr>
            <w:tcW w:w="828" w:type="dxa"/>
          </w:tcPr>
          <w:p w:rsidR="007F69F5" w:rsidRDefault="00AB1D4C" w:rsidP="007F69F5">
            <w:r>
              <w:t>12</w:t>
            </w:r>
          </w:p>
        </w:tc>
        <w:tc>
          <w:tcPr>
            <w:tcW w:w="810" w:type="dxa"/>
          </w:tcPr>
          <w:p w:rsidR="007F69F5" w:rsidRDefault="00AB1D4C" w:rsidP="007F69F5">
            <w:r>
              <w:t>1</w:t>
            </w:r>
          </w:p>
        </w:tc>
        <w:tc>
          <w:tcPr>
            <w:tcW w:w="4320" w:type="dxa"/>
          </w:tcPr>
          <w:p w:rsidR="007F69F5" w:rsidRDefault="00AB1D4C" w:rsidP="007F69F5">
            <w:r>
              <w:t>Principles should be reviewed by WG members at the beginning  of all WGs</w:t>
            </w:r>
          </w:p>
        </w:tc>
        <w:tc>
          <w:tcPr>
            <w:tcW w:w="3420" w:type="dxa"/>
          </w:tcPr>
          <w:p w:rsidR="007F69F5" w:rsidRDefault="007F69F5" w:rsidP="007F69F5"/>
        </w:tc>
        <w:tc>
          <w:tcPr>
            <w:tcW w:w="3420" w:type="dxa"/>
          </w:tcPr>
          <w:p w:rsidR="007F69F5" w:rsidRDefault="007C0A79" w:rsidP="007F69F5">
            <w:r>
              <w:t xml:space="preserve">Proposed implementation: Principles are provided to the WG together with other materials as required reading materials. </w:t>
            </w:r>
          </w:p>
        </w:tc>
      </w:tr>
      <w:tr w:rsidR="007F69F5" w:rsidTr="00B45D9F">
        <w:trPr>
          <w:cantSplit/>
        </w:trPr>
        <w:tc>
          <w:tcPr>
            <w:tcW w:w="828" w:type="dxa"/>
          </w:tcPr>
          <w:p w:rsidR="007F69F5" w:rsidRDefault="00AB1D4C" w:rsidP="007F69F5">
            <w:r>
              <w:t>16</w:t>
            </w:r>
          </w:p>
        </w:tc>
        <w:tc>
          <w:tcPr>
            <w:tcW w:w="810" w:type="dxa"/>
          </w:tcPr>
          <w:p w:rsidR="007F69F5" w:rsidRDefault="007F69F5" w:rsidP="007F69F5"/>
        </w:tc>
        <w:tc>
          <w:tcPr>
            <w:tcW w:w="4320" w:type="dxa"/>
          </w:tcPr>
          <w:p w:rsidR="007F69F5" w:rsidRDefault="00AB1D4C" w:rsidP="007F69F5">
            <w:r>
              <w:t>Develop ‘standardized processes’ to review changes to implementation plans</w:t>
            </w:r>
          </w:p>
        </w:tc>
        <w:tc>
          <w:tcPr>
            <w:tcW w:w="3420" w:type="dxa"/>
          </w:tcPr>
          <w:p w:rsidR="007F69F5" w:rsidRDefault="00AB1D4C" w:rsidP="007F69F5">
            <w:r>
              <w:t>Is this a Council action item?</w:t>
            </w:r>
            <w:r w:rsidR="005E7412">
              <w:t xml:space="preserve">  See item e on page 16.  Should a GIP be used for this?</w:t>
            </w:r>
          </w:p>
        </w:tc>
        <w:tc>
          <w:tcPr>
            <w:tcW w:w="3420" w:type="dxa"/>
          </w:tcPr>
          <w:p w:rsidR="007F69F5" w:rsidRDefault="007C0A79" w:rsidP="007C0A79">
            <w:r>
              <w:t xml:space="preserve">MK: the standardized processes are now in place with the GIP, GGP and EPDP. Also, the IRT principles prescribe the role of the IRT and the Council liaison in this regard. I’m not sure that more is necessary at this stage? </w:t>
            </w:r>
          </w:p>
        </w:tc>
      </w:tr>
      <w:tr w:rsidR="007F69F5" w:rsidTr="00B45D9F">
        <w:trPr>
          <w:cantSplit/>
        </w:trPr>
        <w:tc>
          <w:tcPr>
            <w:tcW w:w="828" w:type="dxa"/>
          </w:tcPr>
          <w:p w:rsidR="007F69F5" w:rsidRDefault="005E7412" w:rsidP="007F69F5">
            <w:r>
              <w:lastRenderedPageBreak/>
              <w:t>17</w:t>
            </w:r>
          </w:p>
        </w:tc>
        <w:tc>
          <w:tcPr>
            <w:tcW w:w="810" w:type="dxa"/>
          </w:tcPr>
          <w:p w:rsidR="007F69F5" w:rsidRDefault="007F69F5" w:rsidP="007F69F5"/>
        </w:tc>
        <w:tc>
          <w:tcPr>
            <w:tcW w:w="4320" w:type="dxa"/>
          </w:tcPr>
          <w:p w:rsidR="007F69F5" w:rsidRDefault="005E7412" w:rsidP="007F69F5">
            <w:r>
              <w:t>Develop a mechanism to flag &amp; address unanticipated outcomes of implementation decisions</w:t>
            </w:r>
          </w:p>
        </w:tc>
        <w:tc>
          <w:tcPr>
            <w:tcW w:w="3420" w:type="dxa"/>
          </w:tcPr>
          <w:p w:rsidR="007F69F5" w:rsidRDefault="005E7412" w:rsidP="007F69F5">
            <w:r>
              <w:t>Is this a Council action item?</w:t>
            </w:r>
            <w:r w:rsidR="009B6E36">
              <w:t xml:space="preserve">  See item 2.a</w:t>
            </w:r>
            <w:r>
              <w:t xml:space="preserve"> on page 17. Should a GIP be used for this?</w:t>
            </w:r>
          </w:p>
        </w:tc>
        <w:tc>
          <w:tcPr>
            <w:tcW w:w="3420" w:type="dxa"/>
          </w:tcPr>
          <w:p w:rsidR="007F69F5" w:rsidRDefault="007C0A79" w:rsidP="007F69F5">
            <w:r>
              <w:t>MK: my presumption is that flagging mainly happens as a result of information received by staff (either from compliance or other affected parties). As such, the issue can be referred to the Council who can decide how to act using one of the new mechanisms. Similarly, anyone could raise such an issue with the GNSO Council.</w:t>
            </w:r>
          </w:p>
        </w:tc>
      </w:tr>
      <w:tr w:rsidR="007F69F5" w:rsidTr="00B45D9F">
        <w:trPr>
          <w:cantSplit/>
        </w:trPr>
        <w:tc>
          <w:tcPr>
            <w:tcW w:w="828" w:type="dxa"/>
          </w:tcPr>
          <w:p w:rsidR="007F69F5" w:rsidRDefault="009B6E36" w:rsidP="007F69F5">
            <w:r>
              <w:t>17</w:t>
            </w:r>
          </w:p>
        </w:tc>
        <w:tc>
          <w:tcPr>
            <w:tcW w:w="810" w:type="dxa"/>
          </w:tcPr>
          <w:p w:rsidR="007F69F5" w:rsidRDefault="007F69F5" w:rsidP="007F69F5"/>
        </w:tc>
        <w:tc>
          <w:tcPr>
            <w:tcW w:w="4320" w:type="dxa"/>
          </w:tcPr>
          <w:p w:rsidR="007F69F5" w:rsidRDefault="009B6E36" w:rsidP="007F69F5">
            <w:r>
              <w:t>Develop a mechanism to flag &amp; address deviations of policy recommendations.</w:t>
            </w:r>
          </w:p>
        </w:tc>
        <w:tc>
          <w:tcPr>
            <w:tcW w:w="3420" w:type="dxa"/>
          </w:tcPr>
          <w:p w:rsidR="007F69F5" w:rsidRDefault="009B6E36" w:rsidP="007F69F5">
            <w:r>
              <w:t>Is this a Council action item?  See item 2.b on page 17. Should a GIP be used for this?</w:t>
            </w:r>
          </w:p>
        </w:tc>
        <w:tc>
          <w:tcPr>
            <w:tcW w:w="3420" w:type="dxa"/>
          </w:tcPr>
          <w:p w:rsidR="007F69F5" w:rsidRDefault="007C0A79" w:rsidP="007F69F5">
            <w:r>
              <w:t>See 16 response</w:t>
            </w:r>
          </w:p>
        </w:tc>
      </w:tr>
      <w:tr w:rsidR="007F69F5" w:rsidTr="00B45D9F">
        <w:trPr>
          <w:cantSplit/>
        </w:trPr>
        <w:tc>
          <w:tcPr>
            <w:tcW w:w="828" w:type="dxa"/>
          </w:tcPr>
          <w:p w:rsidR="007F69F5" w:rsidRDefault="009B6E36" w:rsidP="007F69F5">
            <w:r>
              <w:t>18-19</w:t>
            </w:r>
          </w:p>
        </w:tc>
        <w:tc>
          <w:tcPr>
            <w:tcW w:w="810" w:type="dxa"/>
          </w:tcPr>
          <w:p w:rsidR="007F69F5" w:rsidRDefault="007F69F5" w:rsidP="007F69F5"/>
        </w:tc>
        <w:tc>
          <w:tcPr>
            <w:tcW w:w="4320" w:type="dxa"/>
          </w:tcPr>
          <w:p w:rsidR="007F69F5" w:rsidRDefault="009B6E36" w:rsidP="007F69F5">
            <w:r>
              <w:t>Update the GNSO Operating Procedures to include the GIP, GGP &amp; EPDP</w:t>
            </w:r>
          </w:p>
        </w:tc>
        <w:tc>
          <w:tcPr>
            <w:tcW w:w="3420" w:type="dxa"/>
          </w:tcPr>
          <w:p w:rsidR="007F69F5" w:rsidRDefault="007F69F5" w:rsidP="007F69F5"/>
        </w:tc>
        <w:tc>
          <w:tcPr>
            <w:tcW w:w="3420" w:type="dxa"/>
          </w:tcPr>
          <w:p w:rsidR="007F69F5" w:rsidRDefault="007C0A79" w:rsidP="007F69F5">
            <w:r>
              <w:t>Updated – awaiting posting of updated Bylaws to publish updated PDP Manual</w:t>
            </w:r>
          </w:p>
        </w:tc>
      </w:tr>
      <w:tr w:rsidR="009B6E36" w:rsidTr="00B45D9F">
        <w:trPr>
          <w:cantSplit/>
        </w:trPr>
        <w:tc>
          <w:tcPr>
            <w:tcW w:w="828" w:type="dxa"/>
          </w:tcPr>
          <w:p w:rsidR="009B6E36" w:rsidRDefault="009B6E36" w:rsidP="007F69F5">
            <w:r>
              <w:t>19-20</w:t>
            </w:r>
          </w:p>
        </w:tc>
        <w:tc>
          <w:tcPr>
            <w:tcW w:w="810" w:type="dxa"/>
          </w:tcPr>
          <w:p w:rsidR="009B6E36" w:rsidRDefault="009B6E36" w:rsidP="007F69F5"/>
        </w:tc>
        <w:tc>
          <w:tcPr>
            <w:tcW w:w="4320" w:type="dxa"/>
          </w:tcPr>
          <w:p w:rsidR="009B6E36" w:rsidRDefault="009B6E36" w:rsidP="007F69F5">
            <w:r>
              <w:t>Update the PDP Manual to include EPDP</w:t>
            </w:r>
          </w:p>
        </w:tc>
        <w:tc>
          <w:tcPr>
            <w:tcW w:w="3420" w:type="dxa"/>
          </w:tcPr>
          <w:p w:rsidR="009B6E36" w:rsidRDefault="009B6E36" w:rsidP="007F69F5"/>
        </w:tc>
        <w:tc>
          <w:tcPr>
            <w:tcW w:w="3420" w:type="dxa"/>
          </w:tcPr>
          <w:p w:rsidR="009B6E36" w:rsidRDefault="007C0A79" w:rsidP="007F69F5">
            <w:r>
              <w:t>Updated – awaiting posting of updated Bylaws to publish updated PDP Manual</w:t>
            </w:r>
          </w:p>
        </w:tc>
      </w:tr>
      <w:tr w:rsidR="009B6E36" w:rsidTr="00B45D9F">
        <w:trPr>
          <w:cantSplit/>
        </w:trPr>
        <w:tc>
          <w:tcPr>
            <w:tcW w:w="828" w:type="dxa"/>
          </w:tcPr>
          <w:p w:rsidR="009B6E36" w:rsidRDefault="009B6E36" w:rsidP="007F69F5">
            <w:r>
              <w:t>20</w:t>
            </w:r>
          </w:p>
        </w:tc>
        <w:tc>
          <w:tcPr>
            <w:tcW w:w="810" w:type="dxa"/>
          </w:tcPr>
          <w:p w:rsidR="009B6E36" w:rsidRDefault="009B6E36" w:rsidP="007F69F5">
            <w:r>
              <w:t>3</w:t>
            </w:r>
          </w:p>
        </w:tc>
        <w:tc>
          <w:tcPr>
            <w:tcW w:w="4320" w:type="dxa"/>
          </w:tcPr>
          <w:p w:rsidR="009B6E36" w:rsidRPr="00C804E5" w:rsidRDefault="00C804E5" w:rsidP="007F69F5">
            <w:pPr>
              <w:rPr>
                <w:rFonts w:eastAsia="Times New Roman" w:cs="Courier New"/>
                <w:color w:val="333333"/>
              </w:rPr>
            </w:pPr>
            <w:r>
              <w:rPr>
                <w:rFonts w:eastAsia="Times New Roman" w:cs="Courier New"/>
                <w:color w:val="333333"/>
              </w:rPr>
              <w:t>A</w:t>
            </w:r>
            <w:r w:rsidRPr="00C804E5">
              <w:rPr>
                <w:rFonts w:eastAsia="Times New Roman" w:cs="Courier New"/>
                <w:color w:val="333333"/>
              </w:rPr>
              <w:t>dd a provision to the GNSO Operating Procedures that clarifies that parallel efforts on similar identical topics should be avoided. . .</w:t>
            </w:r>
            <w:r>
              <w:rPr>
                <w:rFonts w:eastAsia="Times New Roman" w:cs="Courier New"/>
                <w:color w:val="333333"/>
              </w:rPr>
              <w:t xml:space="preserve"> .</w:t>
            </w:r>
          </w:p>
        </w:tc>
        <w:tc>
          <w:tcPr>
            <w:tcW w:w="3420" w:type="dxa"/>
          </w:tcPr>
          <w:p w:rsidR="009B6E36" w:rsidRDefault="00B45D9F" w:rsidP="007F69F5">
            <w:r>
              <w:t>Refer to full wording of Recommendation 3 including suggested approach.</w:t>
            </w:r>
          </w:p>
        </w:tc>
        <w:tc>
          <w:tcPr>
            <w:tcW w:w="3420" w:type="dxa"/>
          </w:tcPr>
          <w:p w:rsidR="009B6E36" w:rsidRDefault="007C0A79" w:rsidP="007F69F5">
            <w:r>
              <w:t>Updated – awaiting posting of updated Bylaws to publish updated PDP Manual</w:t>
            </w:r>
          </w:p>
        </w:tc>
      </w:tr>
      <w:tr w:rsidR="007F69F5" w:rsidTr="00B45D9F">
        <w:trPr>
          <w:cantSplit/>
        </w:trPr>
        <w:tc>
          <w:tcPr>
            <w:tcW w:w="828" w:type="dxa"/>
          </w:tcPr>
          <w:p w:rsidR="007F69F5" w:rsidRDefault="00C804E5" w:rsidP="007F69F5">
            <w:r>
              <w:t>27</w:t>
            </w:r>
          </w:p>
        </w:tc>
        <w:tc>
          <w:tcPr>
            <w:tcW w:w="810" w:type="dxa"/>
          </w:tcPr>
          <w:p w:rsidR="007F69F5" w:rsidRDefault="007F69F5" w:rsidP="007F69F5"/>
        </w:tc>
        <w:tc>
          <w:tcPr>
            <w:tcW w:w="4320" w:type="dxa"/>
          </w:tcPr>
          <w:p w:rsidR="007F69F5" w:rsidRDefault="00C804E5" w:rsidP="007F69F5">
            <w:r>
              <w:t>Ensure the time between Board approval and implementation of the recommendations is as short as possible</w:t>
            </w:r>
          </w:p>
        </w:tc>
        <w:tc>
          <w:tcPr>
            <w:tcW w:w="3420" w:type="dxa"/>
          </w:tcPr>
          <w:p w:rsidR="007F69F5" w:rsidRDefault="007F69F5" w:rsidP="007F69F5"/>
        </w:tc>
        <w:tc>
          <w:tcPr>
            <w:tcW w:w="3420" w:type="dxa"/>
          </w:tcPr>
          <w:p w:rsidR="007F69F5" w:rsidRDefault="007C0A79" w:rsidP="007C0A79">
            <w:r>
              <w:t>Staff responsibility – the Consensus Policy Implementation Framework is intended to aid in this regard.</w:t>
            </w:r>
          </w:p>
        </w:tc>
      </w:tr>
      <w:tr w:rsidR="007F69F5" w:rsidTr="00B45D9F">
        <w:trPr>
          <w:cantSplit/>
        </w:trPr>
        <w:tc>
          <w:tcPr>
            <w:tcW w:w="828" w:type="dxa"/>
          </w:tcPr>
          <w:p w:rsidR="007F69F5" w:rsidRDefault="007F69F5" w:rsidP="007F69F5"/>
        </w:tc>
        <w:tc>
          <w:tcPr>
            <w:tcW w:w="810" w:type="dxa"/>
          </w:tcPr>
          <w:p w:rsidR="007F69F5" w:rsidRDefault="007F69F5" w:rsidP="007F69F5"/>
        </w:tc>
        <w:tc>
          <w:tcPr>
            <w:tcW w:w="4320" w:type="dxa"/>
          </w:tcPr>
          <w:p w:rsidR="007F69F5" w:rsidRDefault="009D2ECA" w:rsidP="007F69F5">
            <w:r>
              <w:t>Make necessary changes to the Bylaws</w:t>
            </w:r>
          </w:p>
        </w:tc>
        <w:tc>
          <w:tcPr>
            <w:tcW w:w="3420" w:type="dxa"/>
          </w:tcPr>
          <w:p w:rsidR="007F69F5" w:rsidRDefault="009D2ECA" w:rsidP="007F69F5">
            <w:r>
              <w:t>See Appendices E &amp; G</w:t>
            </w:r>
          </w:p>
        </w:tc>
        <w:tc>
          <w:tcPr>
            <w:tcW w:w="3420" w:type="dxa"/>
          </w:tcPr>
          <w:p w:rsidR="007F69F5" w:rsidRDefault="007C0A79" w:rsidP="007C0A79">
            <w:r>
              <w:t xml:space="preserve">Updated – awaiting posting of updated Bylaws </w:t>
            </w:r>
          </w:p>
        </w:tc>
      </w:tr>
    </w:tbl>
    <w:p w:rsidR="007F69F5" w:rsidRPr="007F69F5" w:rsidRDefault="007F69F5" w:rsidP="007F69F5"/>
    <w:sectPr w:rsidR="007F69F5" w:rsidRPr="007F69F5" w:rsidSect="007F69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F5"/>
    <w:rsid w:val="003A2AD3"/>
    <w:rsid w:val="005E7412"/>
    <w:rsid w:val="005E7AFB"/>
    <w:rsid w:val="0061158F"/>
    <w:rsid w:val="00682884"/>
    <w:rsid w:val="007C0A79"/>
    <w:rsid w:val="007F69F5"/>
    <w:rsid w:val="008E050D"/>
    <w:rsid w:val="009B6E36"/>
    <w:rsid w:val="009D2ECA"/>
    <w:rsid w:val="00AB1D4C"/>
    <w:rsid w:val="00B22F63"/>
    <w:rsid w:val="00B45D9F"/>
    <w:rsid w:val="00C804E5"/>
    <w:rsid w:val="00D07108"/>
    <w:rsid w:val="00E10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1306">
      <w:bodyDiv w:val="1"/>
      <w:marLeft w:val="0"/>
      <w:marRight w:val="0"/>
      <w:marTop w:val="0"/>
      <w:marBottom w:val="0"/>
      <w:divBdr>
        <w:top w:val="none" w:sz="0" w:space="0" w:color="auto"/>
        <w:left w:val="none" w:sz="0" w:space="0" w:color="auto"/>
        <w:bottom w:val="none" w:sz="0" w:space="0" w:color="auto"/>
        <w:right w:val="none" w:sz="0" w:space="0" w:color="auto"/>
      </w:divBdr>
      <w:divsChild>
        <w:div w:id="1400135841">
          <w:marLeft w:val="0"/>
          <w:marRight w:val="0"/>
          <w:marTop w:val="0"/>
          <w:marBottom w:val="0"/>
          <w:divBdr>
            <w:top w:val="none" w:sz="0" w:space="0" w:color="auto"/>
            <w:left w:val="none" w:sz="0" w:space="0" w:color="auto"/>
            <w:bottom w:val="none" w:sz="0" w:space="0" w:color="auto"/>
            <w:right w:val="none" w:sz="0" w:space="0" w:color="auto"/>
          </w:divBdr>
          <w:divsChild>
            <w:div w:id="1103040252">
              <w:marLeft w:val="0"/>
              <w:marRight w:val="0"/>
              <w:marTop w:val="150"/>
              <w:marBottom w:val="0"/>
              <w:divBdr>
                <w:top w:val="none" w:sz="0" w:space="0" w:color="auto"/>
                <w:left w:val="none" w:sz="0" w:space="0" w:color="auto"/>
                <w:bottom w:val="none" w:sz="0" w:space="0" w:color="auto"/>
                <w:right w:val="none" w:sz="0" w:space="0" w:color="auto"/>
              </w:divBdr>
              <w:divsChild>
                <w:div w:id="1612128974">
                  <w:marLeft w:val="0"/>
                  <w:marRight w:val="0"/>
                  <w:marTop w:val="0"/>
                  <w:marBottom w:val="0"/>
                  <w:divBdr>
                    <w:top w:val="none" w:sz="0" w:space="0" w:color="auto"/>
                    <w:left w:val="none" w:sz="0" w:space="0" w:color="auto"/>
                    <w:bottom w:val="none" w:sz="0" w:space="0" w:color="auto"/>
                    <w:right w:val="none" w:sz="0" w:space="0" w:color="auto"/>
                  </w:divBdr>
                  <w:divsChild>
                    <w:div w:id="809517860">
                      <w:marLeft w:val="0"/>
                      <w:marRight w:val="0"/>
                      <w:marTop w:val="0"/>
                      <w:marBottom w:val="0"/>
                      <w:divBdr>
                        <w:top w:val="none" w:sz="0" w:space="0" w:color="auto"/>
                        <w:left w:val="none" w:sz="0" w:space="0" w:color="auto"/>
                        <w:bottom w:val="none" w:sz="0" w:space="0" w:color="auto"/>
                        <w:right w:val="none" w:sz="0" w:space="0" w:color="auto"/>
                      </w:divBdr>
                      <w:divsChild>
                        <w:div w:id="1795245509">
                          <w:marLeft w:val="0"/>
                          <w:marRight w:val="0"/>
                          <w:marTop w:val="0"/>
                          <w:marBottom w:val="0"/>
                          <w:divBdr>
                            <w:top w:val="none" w:sz="0" w:space="0" w:color="auto"/>
                            <w:left w:val="none" w:sz="0" w:space="0" w:color="auto"/>
                            <w:bottom w:val="none" w:sz="0" w:space="0" w:color="auto"/>
                            <w:right w:val="none" w:sz="0" w:space="0" w:color="auto"/>
                          </w:divBdr>
                          <w:divsChild>
                            <w:div w:id="676225117">
                              <w:marLeft w:val="0"/>
                              <w:marRight w:val="0"/>
                              <w:marTop w:val="0"/>
                              <w:marBottom w:val="0"/>
                              <w:divBdr>
                                <w:top w:val="none" w:sz="0" w:space="0" w:color="auto"/>
                                <w:left w:val="none" w:sz="0" w:space="0" w:color="auto"/>
                                <w:bottom w:val="none" w:sz="0" w:space="0" w:color="auto"/>
                                <w:right w:val="none" w:sz="0" w:space="0" w:color="auto"/>
                              </w:divBdr>
                              <w:divsChild>
                                <w:div w:id="1668049254">
                                  <w:marLeft w:val="0"/>
                                  <w:marRight w:val="0"/>
                                  <w:marTop w:val="0"/>
                                  <w:marBottom w:val="0"/>
                                  <w:divBdr>
                                    <w:top w:val="none" w:sz="0" w:space="0" w:color="auto"/>
                                    <w:left w:val="none" w:sz="0" w:space="0" w:color="auto"/>
                                    <w:bottom w:val="none" w:sz="0" w:space="0" w:color="auto"/>
                                    <w:right w:val="none" w:sz="0" w:space="0" w:color="auto"/>
                                  </w:divBdr>
                                  <w:divsChild>
                                    <w:div w:id="1632439496">
                                      <w:marLeft w:val="0"/>
                                      <w:marRight w:val="0"/>
                                      <w:marTop w:val="0"/>
                                      <w:marBottom w:val="0"/>
                                      <w:divBdr>
                                        <w:top w:val="none" w:sz="0" w:space="0" w:color="auto"/>
                                        <w:left w:val="none" w:sz="0" w:space="0" w:color="auto"/>
                                        <w:bottom w:val="none" w:sz="0" w:space="0" w:color="auto"/>
                                        <w:right w:val="none" w:sz="0" w:space="0" w:color="auto"/>
                                      </w:divBdr>
                                      <w:divsChild>
                                        <w:div w:id="1740667004">
                                          <w:marLeft w:val="0"/>
                                          <w:marRight w:val="0"/>
                                          <w:marTop w:val="0"/>
                                          <w:marBottom w:val="0"/>
                                          <w:divBdr>
                                            <w:top w:val="none" w:sz="0" w:space="0" w:color="auto"/>
                                            <w:left w:val="none" w:sz="0" w:space="0" w:color="auto"/>
                                            <w:bottom w:val="none" w:sz="0" w:space="0" w:color="auto"/>
                                            <w:right w:val="none" w:sz="0" w:space="0" w:color="auto"/>
                                          </w:divBdr>
                                        </w:div>
                                        <w:div w:id="1289312864">
                                          <w:marLeft w:val="0"/>
                                          <w:marRight w:val="0"/>
                                          <w:marTop w:val="0"/>
                                          <w:marBottom w:val="0"/>
                                          <w:divBdr>
                                            <w:top w:val="none" w:sz="0" w:space="0" w:color="auto"/>
                                            <w:left w:val="none" w:sz="0" w:space="0" w:color="auto"/>
                                            <w:bottom w:val="none" w:sz="0" w:space="0" w:color="auto"/>
                                            <w:right w:val="none" w:sz="0" w:space="0" w:color="auto"/>
                                          </w:divBdr>
                                        </w:div>
                                        <w:div w:id="839856260">
                                          <w:marLeft w:val="0"/>
                                          <w:marRight w:val="0"/>
                                          <w:marTop w:val="0"/>
                                          <w:marBottom w:val="0"/>
                                          <w:divBdr>
                                            <w:top w:val="none" w:sz="0" w:space="0" w:color="auto"/>
                                            <w:left w:val="none" w:sz="0" w:space="0" w:color="auto"/>
                                            <w:bottom w:val="none" w:sz="0" w:space="0" w:color="auto"/>
                                            <w:right w:val="none" w:sz="0" w:space="0" w:color="auto"/>
                                          </w:divBdr>
                                        </w:div>
                                        <w:div w:id="1144202253">
                                          <w:marLeft w:val="0"/>
                                          <w:marRight w:val="0"/>
                                          <w:marTop w:val="0"/>
                                          <w:marBottom w:val="0"/>
                                          <w:divBdr>
                                            <w:top w:val="none" w:sz="0" w:space="0" w:color="auto"/>
                                            <w:left w:val="none" w:sz="0" w:space="0" w:color="auto"/>
                                            <w:bottom w:val="none" w:sz="0" w:space="0" w:color="auto"/>
                                            <w:right w:val="none" w:sz="0" w:space="0" w:color="auto"/>
                                          </w:divBdr>
                                        </w:div>
                                        <w:div w:id="617642810">
                                          <w:marLeft w:val="0"/>
                                          <w:marRight w:val="0"/>
                                          <w:marTop w:val="0"/>
                                          <w:marBottom w:val="0"/>
                                          <w:divBdr>
                                            <w:top w:val="none" w:sz="0" w:space="0" w:color="auto"/>
                                            <w:left w:val="none" w:sz="0" w:space="0" w:color="auto"/>
                                            <w:bottom w:val="none" w:sz="0" w:space="0" w:color="auto"/>
                                            <w:right w:val="none" w:sz="0" w:space="0" w:color="auto"/>
                                          </w:divBdr>
                                        </w:div>
                                        <w:div w:id="44380935">
                                          <w:marLeft w:val="0"/>
                                          <w:marRight w:val="0"/>
                                          <w:marTop w:val="0"/>
                                          <w:marBottom w:val="0"/>
                                          <w:divBdr>
                                            <w:top w:val="none" w:sz="0" w:space="0" w:color="auto"/>
                                            <w:left w:val="none" w:sz="0" w:space="0" w:color="auto"/>
                                            <w:bottom w:val="none" w:sz="0" w:space="0" w:color="auto"/>
                                            <w:right w:val="none" w:sz="0" w:space="0" w:color="auto"/>
                                          </w:divBdr>
                                        </w:div>
                                        <w:div w:id="1006640840">
                                          <w:marLeft w:val="0"/>
                                          <w:marRight w:val="0"/>
                                          <w:marTop w:val="0"/>
                                          <w:marBottom w:val="0"/>
                                          <w:divBdr>
                                            <w:top w:val="none" w:sz="0" w:space="0" w:color="auto"/>
                                            <w:left w:val="none" w:sz="0" w:space="0" w:color="auto"/>
                                            <w:bottom w:val="none" w:sz="0" w:space="0" w:color="auto"/>
                                            <w:right w:val="none" w:sz="0" w:space="0" w:color="auto"/>
                                          </w:divBdr>
                                        </w:div>
                                        <w:div w:id="2012558592">
                                          <w:marLeft w:val="0"/>
                                          <w:marRight w:val="0"/>
                                          <w:marTop w:val="0"/>
                                          <w:marBottom w:val="0"/>
                                          <w:divBdr>
                                            <w:top w:val="none" w:sz="0" w:space="0" w:color="auto"/>
                                            <w:left w:val="none" w:sz="0" w:space="0" w:color="auto"/>
                                            <w:bottom w:val="none" w:sz="0" w:space="0" w:color="auto"/>
                                            <w:right w:val="none" w:sz="0" w:space="0" w:color="auto"/>
                                          </w:divBdr>
                                        </w:div>
                                        <w:div w:id="1744832109">
                                          <w:marLeft w:val="0"/>
                                          <w:marRight w:val="0"/>
                                          <w:marTop w:val="0"/>
                                          <w:marBottom w:val="0"/>
                                          <w:divBdr>
                                            <w:top w:val="none" w:sz="0" w:space="0" w:color="auto"/>
                                            <w:left w:val="none" w:sz="0" w:space="0" w:color="auto"/>
                                            <w:bottom w:val="none" w:sz="0" w:space="0" w:color="auto"/>
                                            <w:right w:val="none" w:sz="0" w:space="0" w:color="auto"/>
                                          </w:divBdr>
                                        </w:div>
                                        <w:div w:id="468908">
                                          <w:marLeft w:val="0"/>
                                          <w:marRight w:val="0"/>
                                          <w:marTop w:val="0"/>
                                          <w:marBottom w:val="0"/>
                                          <w:divBdr>
                                            <w:top w:val="none" w:sz="0" w:space="0" w:color="auto"/>
                                            <w:left w:val="none" w:sz="0" w:space="0" w:color="auto"/>
                                            <w:bottom w:val="none" w:sz="0" w:space="0" w:color="auto"/>
                                            <w:right w:val="none" w:sz="0" w:space="0" w:color="auto"/>
                                          </w:divBdr>
                                        </w:div>
                                        <w:div w:id="1995181577">
                                          <w:marLeft w:val="0"/>
                                          <w:marRight w:val="0"/>
                                          <w:marTop w:val="0"/>
                                          <w:marBottom w:val="0"/>
                                          <w:divBdr>
                                            <w:top w:val="none" w:sz="0" w:space="0" w:color="auto"/>
                                            <w:left w:val="none" w:sz="0" w:space="0" w:color="auto"/>
                                            <w:bottom w:val="none" w:sz="0" w:space="0" w:color="auto"/>
                                            <w:right w:val="none" w:sz="0" w:space="0" w:color="auto"/>
                                          </w:divBdr>
                                        </w:div>
                                        <w:div w:id="2071222634">
                                          <w:marLeft w:val="0"/>
                                          <w:marRight w:val="0"/>
                                          <w:marTop w:val="0"/>
                                          <w:marBottom w:val="0"/>
                                          <w:divBdr>
                                            <w:top w:val="none" w:sz="0" w:space="0" w:color="auto"/>
                                            <w:left w:val="none" w:sz="0" w:space="0" w:color="auto"/>
                                            <w:bottom w:val="none" w:sz="0" w:space="0" w:color="auto"/>
                                            <w:right w:val="none" w:sz="0" w:space="0" w:color="auto"/>
                                          </w:divBdr>
                                        </w:div>
                                        <w:div w:id="15243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920537">
      <w:bodyDiv w:val="1"/>
      <w:marLeft w:val="0"/>
      <w:marRight w:val="0"/>
      <w:marTop w:val="0"/>
      <w:marBottom w:val="0"/>
      <w:divBdr>
        <w:top w:val="none" w:sz="0" w:space="0" w:color="auto"/>
        <w:left w:val="none" w:sz="0" w:space="0" w:color="auto"/>
        <w:bottom w:val="none" w:sz="0" w:space="0" w:color="auto"/>
        <w:right w:val="none" w:sz="0" w:space="0" w:color="auto"/>
      </w:divBdr>
      <w:divsChild>
        <w:div w:id="411510097">
          <w:marLeft w:val="0"/>
          <w:marRight w:val="0"/>
          <w:marTop w:val="0"/>
          <w:marBottom w:val="0"/>
          <w:divBdr>
            <w:top w:val="none" w:sz="0" w:space="0" w:color="auto"/>
            <w:left w:val="none" w:sz="0" w:space="0" w:color="auto"/>
            <w:bottom w:val="none" w:sz="0" w:space="0" w:color="auto"/>
            <w:right w:val="none" w:sz="0" w:space="0" w:color="auto"/>
          </w:divBdr>
          <w:divsChild>
            <w:div w:id="1862432834">
              <w:marLeft w:val="0"/>
              <w:marRight w:val="0"/>
              <w:marTop w:val="150"/>
              <w:marBottom w:val="0"/>
              <w:divBdr>
                <w:top w:val="none" w:sz="0" w:space="0" w:color="auto"/>
                <w:left w:val="none" w:sz="0" w:space="0" w:color="auto"/>
                <w:bottom w:val="none" w:sz="0" w:space="0" w:color="auto"/>
                <w:right w:val="none" w:sz="0" w:space="0" w:color="auto"/>
              </w:divBdr>
              <w:divsChild>
                <w:div w:id="1241712747">
                  <w:marLeft w:val="0"/>
                  <w:marRight w:val="0"/>
                  <w:marTop w:val="0"/>
                  <w:marBottom w:val="0"/>
                  <w:divBdr>
                    <w:top w:val="none" w:sz="0" w:space="0" w:color="auto"/>
                    <w:left w:val="none" w:sz="0" w:space="0" w:color="auto"/>
                    <w:bottom w:val="none" w:sz="0" w:space="0" w:color="auto"/>
                    <w:right w:val="none" w:sz="0" w:space="0" w:color="auto"/>
                  </w:divBdr>
                  <w:divsChild>
                    <w:div w:id="761342877">
                      <w:marLeft w:val="0"/>
                      <w:marRight w:val="0"/>
                      <w:marTop w:val="0"/>
                      <w:marBottom w:val="0"/>
                      <w:divBdr>
                        <w:top w:val="none" w:sz="0" w:space="0" w:color="auto"/>
                        <w:left w:val="none" w:sz="0" w:space="0" w:color="auto"/>
                        <w:bottom w:val="none" w:sz="0" w:space="0" w:color="auto"/>
                        <w:right w:val="none" w:sz="0" w:space="0" w:color="auto"/>
                      </w:divBdr>
                      <w:divsChild>
                        <w:div w:id="1301882016">
                          <w:marLeft w:val="0"/>
                          <w:marRight w:val="0"/>
                          <w:marTop w:val="0"/>
                          <w:marBottom w:val="0"/>
                          <w:divBdr>
                            <w:top w:val="none" w:sz="0" w:space="0" w:color="auto"/>
                            <w:left w:val="none" w:sz="0" w:space="0" w:color="auto"/>
                            <w:bottom w:val="none" w:sz="0" w:space="0" w:color="auto"/>
                            <w:right w:val="none" w:sz="0" w:space="0" w:color="auto"/>
                          </w:divBdr>
                          <w:divsChild>
                            <w:div w:id="1760834319">
                              <w:marLeft w:val="0"/>
                              <w:marRight w:val="0"/>
                              <w:marTop w:val="0"/>
                              <w:marBottom w:val="0"/>
                              <w:divBdr>
                                <w:top w:val="none" w:sz="0" w:space="0" w:color="auto"/>
                                <w:left w:val="none" w:sz="0" w:space="0" w:color="auto"/>
                                <w:bottom w:val="none" w:sz="0" w:space="0" w:color="auto"/>
                                <w:right w:val="none" w:sz="0" w:space="0" w:color="auto"/>
                              </w:divBdr>
                              <w:divsChild>
                                <w:div w:id="612249155">
                                  <w:marLeft w:val="0"/>
                                  <w:marRight w:val="0"/>
                                  <w:marTop w:val="0"/>
                                  <w:marBottom w:val="0"/>
                                  <w:divBdr>
                                    <w:top w:val="none" w:sz="0" w:space="0" w:color="auto"/>
                                    <w:left w:val="none" w:sz="0" w:space="0" w:color="auto"/>
                                    <w:bottom w:val="none" w:sz="0" w:space="0" w:color="auto"/>
                                    <w:right w:val="none" w:sz="0" w:space="0" w:color="auto"/>
                                  </w:divBdr>
                                  <w:divsChild>
                                    <w:div w:id="1338387597">
                                      <w:marLeft w:val="0"/>
                                      <w:marRight w:val="0"/>
                                      <w:marTop w:val="0"/>
                                      <w:marBottom w:val="0"/>
                                      <w:divBdr>
                                        <w:top w:val="none" w:sz="0" w:space="0" w:color="auto"/>
                                        <w:left w:val="none" w:sz="0" w:space="0" w:color="auto"/>
                                        <w:bottom w:val="none" w:sz="0" w:space="0" w:color="auto"/>
                                        <w:right w:val="none" w:sz="0" w:space="0" w:color="auto"/>
                                      </w:divBdr>
                                      <w:divsChild>
                                        <w:div w:id="1141579529">
                                          <w:marLeft w:val="0"/>
                                          <w:marRight w:val="0"/>
                                          <w:marTop w:val="0"/>
                                          <w:marBottom w:val="0"/>
                                          <w:divBdr>
                                            <w:top w:val="none" w:sz="0" w:space="0" w:color="auto"/>
                                            <w:left w:val="none" w:sz="0" w:space="0" w:color="auto"/>
                                            <w:bottom w:val="none" w:sz="0" w:space="0" w:color="auto"/>
                                            <w:right w:val="none" w:sz="0" w:space="0" w:color="auto"/>
                                          </w:divBdr>
                                        </w:div>
                                        <w:div w:id="769741978">
                                          <w:marLeft w:val="0"/>
                                          <w:marRight w:val="0"/>
                                          <w:marTop w:val="0"/>
                                          <w:marBottom w:val="0"/>
                                          <w:divBdr>
                                            <w:top w:val="none" w:sz="0" w:space="0" w:color="auto"/>
                                            <w:left w:val="none" w:sz="0" w:space="0" w:color="auto"/>
                                            <w:bottom w:val="none" w:sz="0" w:space="0" w:color="auto"/>
                                            <w:right w:val="none" w:sz="0" w:space="0" w:color="auto"/>
                                          </w:divBdr>
                                        </w:div>
                                        <w:div w:id="779840148">
                                          <w:marLeft w:val="0"/>
                                          <w:marRight w:val="0"/>
                                          <w:marTop w:val="0"/>
                                          <w:marBottom w:val="0"/>
                                          <w:divBdr>
                                            <w:top w:val="none" w:sz="0" w:space="0" w:color="auto"/>
                                            <w:left w:val="none" w:sz="0" w:space="0" w:color="auto"/>
                                            <w:bottom w:val="none" w:sz="0" w:space="0" w:color="auto"/>
                                            <w:right w:val="none" w:sz="0" w:space="0" w:color="auto"/>
                                          </w:divBdr>
                                        </w:div>
                                        <w:div w:id="1294364108">
                                          <w:marLeft w:val="0"/>
                                          <w:marRight w:val="0"/>
                                          <w:marTop w:val="0"/>
                                          <w:marBottom w:val="0"/>
                                          <w:divBdr>
                                            <w:top w:val="none" w:sz="0" w:space="0" w:color="auto"/>
                                            <w:left w:val="none" w:sz="0" w:space="0" w:color="auto"/>
                                            <w:bottom w:val="none" w:sz="0" w:space="0" w:color="auto"/>
                                            <w:right w:val="none" w:sz="0" w:space="0" w:color="auto"/>
                                          </w:divBdr>
                                        </w:div>
                                        <w:div w:id="1351907613">
                                          <w:marLeft w:val="0"/>
                                          <w:marRight w:val="0"/>
                                          <w:marTop w:val="0"/>
                                          <w:marBottom w:val="0"/>
                                          <w:divBdr>
                                            <w:top w:val="none" w:sz="0" w:space="0" w:color="auto"/>
                                            <w:left w:val="none" w:sz="0" w:space="0" w:color="auto"/>
                                            <w:bottom w:val="none" w:sz="0" w:space="0" w:color="auto"/>
                                            <w:right w:val="none" w:sz="0" w:space="0" w:color="auto"/>
                                          </w:divBdr>
                                        </w:div>
                                        <w:div w:id="2111898556">
                                          <w:marLeft w:val="0"/>
                                          <w:marRight w:val="0"/>
                                          <w:marTop w:val="0"/>
                                          <w:marBottom w:val="0"/>
                                          <w:divBdr>
                                            <w:top w:val="none" w:sz="0" w:space="0" w:color="auto"/>
                                            <w:left w:val="none" w:sz="0" w:space="0" w:color="auto"/>
                                            <w:bottom w:val="none" w:sz="0" w:space="0" w:color="auto"/>
                                            <w:right w:val="none" w:sz="0" w:space="0" w:color="auto"/>
                                          </w:divBdr>
                                        </w:div>
                                        <w:div w:id="1164930833">
                                          <w:marLeft w:val="0"/>
                                          <w:marRight w:val="0"/>
                                          <w:marTop w:val="0"/>
                                          <w:marBottom w:val="0"/>
                                          <w:divBdr>
                                            <w:top w:val="none" w:sz="0" w:space="0" w:color="auto"/>
                                            <w:left w:val="none" w:sz="0" w:space="0" w:color="auto"/>
                                            <w:bottom w:val="none" w:sz="0" w:space="0" w:color="auto"/>
                                            <w:right w:val="none" w:sz="0" w:space="0" w:color="auto"/>
                                          </w:divBdr>
                                        </w:div>
                                        <w:div w:id="250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unity.icann.org/display/PIWG/Final+Report+Redline+Version?preview=/53777906/54002979/Policy%20and%20Implementation%20Final%20Report%20-%20redline%20-%20FINAL%20-%201%20June%20201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2016-01-15T23:11:00Z</dcterms:created>
  <dcterms:modified xsi:type="dcterms:W3CDTF">2016-01-15T23:11:00Z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1328263911</vt:i4>
  </property>
  <property fmtid="{D5CDD505-2E9C-101B-9397-08002B2CF9AE}" pid="3" name="_NewReviewCycle">
    <vt:lpwstr/>
  </property>
  <property fmtid="{D5CDD505-2E9C-101B-9397-08002B2CF9AE}" pid="4" name="_EmailSubject">
    <vt:lpwstr>Follow-up on the Policy and Implementation WG Final Recommendations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-366026713</vt:i4>
  </property>
</Properties>
</file>