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0F" w:rsidRDefault="00B4570F" w:rsidP="002221E2">
      <w:pPr>
        <w:rPr>
          <w:rFonts w:ascii="Calibri" w:hAnsi="Calibri"/>
          <w:sz w:val="22"/>
        </w:rPr>
      </w:pPr>
    </w:p>
    <w:p w:rsidR="00B4570F" w:rsidRPr="001D0709" w:rsidRDefault="00B4570F" w:rsidP="002221E2">
      <w:pPr>
        <w:numPr>
          <w:ilvl w:val="0"/>
          <w:numId w:val="6"/>
        </w:numPr>
        <w:rPr>
          <w:rFonts w:ascii="Calibri" w:hAnsi="Calibri"/>
          <w:sz w:val="22"/>
        </w:rPr>
      </w:pPr>
      <w:r>
        <w:rPr>
          <w:rFonts w:ascii="Calibri" w:hAnsi="Calibri"/>
          <w:b/>
          <w:sz w:val="22"/>
        </w:rPr>
        <w:t xml:space="preserve">Foreign Translation – Issue </w:t>
      </w:r>
      <w:r w:rsidRPr="001D0709">
        <w:rPr>
          <w:rFonts w:ascii="Calibri" w:hAnsi="Calibri"/>
          <w:sz w:val="22"/>
        </w:rPr>
        <w:t>still outstanding is how to ensure that doing the translations when recommended by PDP-WT do not slow down PDP process or ensure that all comments received can be considered.</w:t>
      </w:r>
    </w:p>
    <w:p w:rsidR="00B4570F" w:rsidRDefault="00B4570F" w:rsidP="001D0709">
      <w:pPr>
        <w:ind w:left="360"/>
        <w:rPr>
          <w:rFonts w:ascii="Calibri" w:hAnsi="Calibri"/>
          <w:b/>
          <w:sz w:val="22"/>
        </w:rPr>
      </w:pPr>
    </w:p>
    <w:p w:rsidR="00B4570F" w:rsidRDefault="00B4570F" w:rsidP="002221E2">
      <w:pPr>
        <w:numPr>
          <w:ilvl w:val="0"/>
          <w:numId w:val="6"/>
        </w:numPr>
        <w:rPr>
          <w:rFonts w:ascii="Calibri" w:hAnsi="Calibri"/>
          <w:b/>
          <w:sz w:val="22"/>
        </w:rPr>
      </w:pPr>
      <w:r w:rsidRPr="0024145F">
        <w:rPr>
          <w:rFonts w:ascii="Calibri" w:hAnsi="Calibri"/>
          <w:b/>
          <w:sz w:val="22"/>
        </w:rPr>
        <w:t>Voting thresholds</w:t>
      </w:r>
    </w:p>
    <w:p w:rsidR="00B4570F" w:rsidRDefault="00B4570F" w:rsidP="002221E2">
      <w:pPr>
        <w:rPr>
          <w:rFonts w:ascii="Calibri" w:hAnsi="Calibri"/>
          <w:b/>
          <w:sz w:val="22"/>
        </w:rPr>
      </w:pPr>
    </w:p>
    <w:p w:rsidR="00B4570F" w:rsidRDefault="00B4570F" w:rsidP="002221E2">
      <w:pPr>
        <w:rPr>
          <w:rFonts w:ascii="Calibri" w:hAnsi="Calibri"/>
          <w:sz w:val="22"/>
        </w:rPr>
      </w:pPr>
      <w:r>
        <w:rPr>
          <w:rFonts w:ascii="Calibri" w:hAnsi="Calibri"/>
          <w:sz w:val="22"/>
        </w:rPr>
        <w:t>Are the voting thresholds as adopted as part of the new GNSO structure appropriate and effective?  Are there any others?</w:t>
      </w:r>
    </w:p>
    <w:p w:rsidR="00B4570F" w:rsidRDefault="00B4570F" w:rsidP="002221E2">
      <w:pPr>
        <w:rPr>
          <w:rFonts w:ascii="Calibri" w:hAnsi="Calibri"/>
          <w:sz w:val="22"/>
        </w:rPr>
      </w:pPr>
    </w:p>
    <w:p w:rsidR="00B4570F" w:rsidRDefault="00B4570F" w:rsidP="00F85840">
      <w:pPr>
        <w:pStyle w:val="ListParagraph"/>
        <w:numPr>
          <w:ilvl w:val="0"/>
          <w:numId w:val="14"/>
        </w:numPr>
        <w:rPr>
          <w:rFonts w:ascii="Calibri" w:hAnsi="Calibri"/>
          <w:sz w:val="22"/>
        </w:rPr>
      </w:pPr>
      <w:r>
        <w:rPr>
          <w:rFonts w:ascii="Calibri" w:hAnsi="Calibri"/>
          <w:sz w:val="22"/>
        </w:rPr>
        <w:t xml:space="preserve"> Raising an Issue:  C</w:t>
      </w:r>
      <w:r w:rsidRPr="00F85840">
        <w:rPr>
          <w:rFonts w:ascii="Calibri" w:hAnsi="Calibri"/>
          <w:sz w:val="22"/>
        </w:rPr>
        <w:t>ouncil initiation: 25% of the members of the Council of each house or a majority of one house.</w:t>
      </w:r>
    </w:p>
    <w:p w:rsidR="00B4570F" w:rsidRDefault="00B4570F" w:rsidP="00F85840">
      <w:pPr>
        <w:pStyle w:val="ListParagraph"/>
        <w:numPr>
          <w:ilvl w:val="0"/>
          <w:numId w:val="14"/>
        </w:numPr>
        <w:rPr>
          <w:rFonts w:ascii="Calibri" w:hAnsi="Calibri"/>
          <w:sz w:val="22"/>
        </w:rPr>
      </w:pPr>
      <w:r>
        <w:rPr>
          <w:rFonts w:ascii="Calibri" w:hAnsi="Calibri"/>
          <w:sz w:val="22"/>
        </w:rPr>
        <w:t xml:space="preserve">Initiating PDP:  </w:t>
      </w:r>
    </w:p>
    <w:p w:rsidR="00B4570F" w:rsidRDefault="00B4570F" w:rsidP="002221E2">
      <w:pPr>
        <w:pStyle w:val="ListParagraph"/>
        <w:numPr>
          <w:ilvl w:val="1"/>
          <w:numId w:val="14"/>
        </w:numPr>
        <w:rPr>
          <w:rFonts w:ascii="Calibri" w:hAnsi="Calibri"/>
          <w:sz w:val="22"/>
        </w:rPr>
      </w:pPr>
      <w:r w:rsidRPr="00F85840">
        <w:rPr>
          <w:rFonts w:ascii="Calibri" w:hAnsi="Calibri"/>
          <w:sz w:val="22"/>
        </w:rPr>
        <w:t>More than 33% of the Council members of each House; or More than 66% vote of one House</w:t>
      </w:r>
      <w:r>
        <w:rPr>
          <w:rFonts w:ascii="Calibri" w:hAnsi="Calibri"/>
          <w:sz w:val="22"/>
        </w:rPr>
        <w:t xml:space="preserve"> if within scope</w:t>
      </w:r>
    </w:p>
    <w:p w:rsidR="00B4570F" w:rsidRDefault="00B4570F" w:rsidP="002221E2">
      <w:pPr>
        <w:pStyle w:val="ListParagraph"/>
        <w:numPr>
          <w:ilvl w:val="1"/>
          <w:numId w:val="14"/>
        </w:numPr>
        <w:rPr>
          <w:rFonts w:ascii="Calibri" w:hAnsi="Calibri"/>
          <w:sz w:val="22"/>
        </w:rPr>
      </w:pPr>
      <w:r>
        <w:rPr>
          <w:rFonts w:ascii="Calibri" w:hAnsi="Calibri"/>
          <w:sz w:val="22"/>
        </w:rPr>
        <w:t>GNSO Supermajority Vote required if not in scope (75% of one House and a majority of the other house)</w:t>
      </w:r>
    </w:p>
    <w:p w:rsidR="00B4570F" w:rsidRDefault="00B4570F" w:rsidP="005F47AE">
      <w:pPr>
        <w:pStyle w:val="ListParagraph"/>
        <w:numPr>
          <w:ilvl w:val="0"/>
          <w:numId w:val="14"/>
        </w:numPr>
        <w:rPr>
          <w:rFonts w:ascii="Calibri" w:hAnsi="Calibri"/>
          <w:sz w:val="22"/>
        </w:rPr>
      </w:pPr>
      <w:r>
        <w:rPr>
          <w:rFonts w:ascii="Calibri" w:hAnsi="Calibri"/>
          <w:sz w:val="22"/>
        </w:rPr>
        <w:t>Vote on Approving the Charter (</w:t>
      </w:r>
      <w:r>
        <w:rPr>
          <w:rFonts w:ascii="Calibri" w:hAnsi="Calibri"/>
          <w:b/>
          <w:sz w:val="22"/>
        </w:rPr>
        <w:t>Does this apply to modifications to the Charter as well)</w:t>
      </w:r>
    </w:p>
    <w:p w:rsidR="00B4570F" w:rsidRPr="000D26C5" w:rsidRDefault="00B4570F" w:rsidP="005F47AE">
      <w:pPr>
        <w:pStyle w:val="ListParagraph"/>
        <w:numPr>
          <w:ilvl w:val="1"/>
          <w:numId w:val="14"/>
        </w:numPr>
        <w:rPr>
          <w:rFonts w:ascii="Calibri" w:hAnsi="Calibri"/>
          <w:sz w:val="22"/>
        </w:rPr>
      </w:pPr>
      <w:r>
        <w:rPr>
          <w:rFonts w:ascii="Calibri" w:hAnsi="Calibri"/>
          <w:sz w:val="22"/>
        </w:rPr>
        <w:t xml:space="preserve">More </w:t>
      </w:r>
      <w:r w:rsidRPr="000D26C5">
        <w:rPr>
          <w:rFonts w:ascii="Calibri" w:hAnsi="Calibri"/>
          <w:sz w:val="22"/>
        </w:rPr>
        <w:t>than 33% of the Council members of each house;  or More than 66% of one House if within Scope</w:t>
      </w:r>
    </w:p>
    <w:p w:rsidR="00B4570F" w:rsidRPr="000D26C5" w:rsidRDefault="00B4570F" w:rsidP="005F47AE">
      <w:pPr>
        <w:pStyle w:val="ListParagraph"/>
        <w:numPr>
          <w:ilvl w:val="1"/>
          <w:numId w:val="14"/>
        </w:numPr>
        <w:rPr>
          <w:rFonts w:ascii="Calibri" w:hAnsi="Calibri"/>
          <w:sz w:val="22"/>
        </w:rPr>
      </w:pPr>
      <w:r>
        <w:rPr>
          <w:rFonts w:ascii="Calibri" w:hAnsi="Calibri"/>
          <w:sz w:val="22"/>
        </w:rPr>
        <w:t xml:space="preserve">GNSO </w:t>
      </w:r>
      <w:r w:rsidRPr="000D26C5">
        <w:rPr>
          <w:rFonts w:ascii="Calibri" w:hAnsi="Calibri"/>
          <w:sz w:val="22"/>
        </w:rPr>
        <w:t>Supermajority vote required if not in scope</w:t>
      </w:r>
    </w:p>
    <w:p w:rsidR="00B4570F" w:rsidRPr="000D26C5" w:rsidRDefault="00B4570F" w:rsidP="005A2B8D">
      <w:pPr>
        <w:pStyle w:val="ListParagraph"/>
        <w:numPr>
          <w:ilvl w:val="0"/>
          <w:numId w:val="14"/>
        </w:numPr>
        <w:rPr>
          <w:rFonts w:ascii="Calibri" w:hAnsi="Calibri"/>
          <w:sz w:val="22"/>
        </w:rPr>
      </w:pPr>
      <w:r w:rsidRPr="000D26C5">
        <w:rPr>
          <w:rFonts w:ascii="Calibri" w:hAnsi="Calibri"/>
          <w:sz w:val="22"/>
        </w:rPr>
        <w:t>Vote of Council</w:t>
      </w:r>
      <w:r w:rsidRPr="000D26C5">
        <w:rPr>
          <w:rFonts w:ascii="Calibri" w:hAnsi="Calibri"/>
          <w:sz w:val="22"/>
        </w:rPr>
        <w:tab/>
      </w:r>
      <w:r>
        <w:rPr>
          <w:rFonts w:ascii="Calibri" w:hAnsi="Calibri"/>
          <w:sz w:val="22"/>
        </w:rPr>
        <w:t>(From Article 10, Section 3, #9)</w:t>
      </w:r>
    </w:p>
    <w:p w:rsidR="00B4570F" w:rsidRPr="000D26C5" w:rsidRDefault="00B4570F" w:rsidP="000D26C5">
      <w:pPr>
        <w:pStyle w:val="ListParagraph"/>
        <w:numPr>
          <w:ilvl w:val="1"/>
          <w:numId w:val="14"/>
        </w:numPr>
        <w:rPr>
          <w:rFonts w:ascii="Calibri" w:hAnsi="Calibri"/>
          <w:sz w:val="22"/>
        </w:rPr>
      </w:pPr>
      <w:r w:rsidRPr="000D26C5">
        <w:rPr>
          <w:rFonts w:ascii="Calibri" w:hAnsi="Calibri"/>
          <w:sz w:val="22"/>
          <w:u w:val="single"/>
        </w:rPr>
        <w:t>Approve a PDP Recommendation without a GNSO Supermajority</w:t>
      </w:r>
      <w:r w:rsidRPr="000D26C5">
        <w:rPr>
          <w:rFonts w:ascii="Calibri" w:hAnsi="Calibri"/>
          <w:sz w:val="22"/>
        </w:rPr>
        <w:t xml:space="preserve"> – requires an affirmative vote of majority of each House and further requires that one GNSO Council member representative of at least 3 of the 4 Stakeholder Groups supports the Recommendation</w:t>
      </w:r>
    </w:p>
    <w:p w:rsidR="00B4570F" w:rsidRPr="000D26C5" w:rsidRDefault="00B4570F" w:rsidP="000D26C5">
      <w:pPr>
        <w:pStyle w:val="ListParagraph"/>
        <w:numPr>
          <w:ilvl w:val="1"/>
          <w:numId w:val="14"/>
        </w:numPr>
        <w:rPr>
          <w:rFonts w:ascii="Calibri" w:hAnsi="Calibri"/>
          <w:sz w:val="22"/>
        </w:rPr>
      </w:pPr>
      <w:r w:rsidRPr="000D26C5">
        <w:rPr>
          <w:rFonts w:ascii="Calibri" w:hAnsi="Calibri"/>
          <w:sz w:val="22"/>
          <w:u w:val="single"/>
        </w:rPr>
        <w:t>Approve a PDP Recommendation with a GNSO Supermajority</w:t>
      </w:r>
      <w:r w:rsidRPr="000D26C5">
        <w:rPr>
          <w:rFonts w:ascii="Calibri" w:hAnsi="Calibri"/>
          <w:sz w:val="22"/>
        </w:rPr>
        <w:t xml:space="preserve"> – requires an affirmative vote of a GNSO Supermajority; and</w:t>
      </w:r>
    </w:p>
    <w:p w:rsidR="00B4570F" w:rsidRPr="000D26C5" w:rsidRDefault="00B4570F" w:rsidP="000D26C5">
      <w:pPr>
        <w:pStyle w:val="ListParagraph"/>
        <w:numPr>
          <w:ilvl w:val="1"/>
          <w:numId w:val="14"/>
        </w:numPr>
        <w:rPr>
          <w:rFonts w:ascii="Calibri" w:hAnsi="Calibri"/>
          <w:sz w:val="22"/>
        </w:rPr>
      </w:pPr>
      <w:r w:rsidRPr="000D26C5">
        <w:rPr>
          <w:rFonts w:ascii="Calibri" w:hAnsi="Calibri"/>
          <w:sz w:val="22"/>
          <w:u w:val="single"/>
        </w:rPr>
        <w:t>Approve a PDP Recommendation Imposing New obligations on certain Contracting Parties</w:t>
      </w:r>
      <w:r w:rsidRPr="000D26C5">
        <w:rPr>
          <w:rFonts w:ascii="Calibri" w:hAnsi="Calibri"/>
          <w:sz w:val="22"/>
        </w:rPr>
        <w:t>: where an ICANN contract provision specifies that “a two-thirds vote of the council” demonstrates the presence of a consensus, the GNSO Supermajority vote threshold will have to be met or exceeded with respect to any contracting party affected by such contract provision.</w:t>
      </w:r>
    </w:p>
    <w:p w:rsidR="00B4570F" w:rsidRDefault="00B4570F" w:rsidP="000D26C5">
      <w:pPr>
        <w:pStyle w:val="ListParagraph"/>
        <w:numPr>
          <w:ilvl w:val="0"/>
          <w:numId w:val="14"/>
        </w:numPr>
        <w:rPr>
          <w:rFonts w:ascii="Calibri" w:hAnsi="Calibri"/>
          <w:sz w:val="22"/>
        </w:rPr>
      </w:pPr>
      <w:r>
        <w:rPr>
          <w:rFonts w:ascii="Calibri" w:hAnsi="Calibri"/>
          <w:sz w:val="22"/>
        </w:rPr>
        <w:t>Board Vote</w:t>
      </w:r>
    </w:p>
    <w:p w:rsidR="00B4570F" w:rsidRPr="000D26C5" w:rsidRDefault="00B4570F" w:rsidP="000D26C5">
      <w:pPr>
        <w:pStyle w:val="ListParagraph"/>
        <w:numPr>
          <w:ilvl w:val="1"/>
          <w:numId w:val="14"/>
        </w:numPr>
        <w:suppressAutoHyphens w:val="0"/>
        <w:spacing w:beforeAutospacing="1" w:after="100" w:afterAutospacing="1" w:line="240" w:lineRule="auto"/>
        <w:ind w:right="720"/>
        <w:rPr>
          <w:rFonts w:ascii="Calibri" w:hAnsi="Calibri"/>
          <w:sz w:val="22"/>
          <w:lang w:val="en-US" w:eastAsia="en-US"/>
        </w:rPr>
      </w:pPr>
      <w:r w:rsidRPr="000D26C5">
        <w:rPr>
          <w:rFonts w:ascii="Calibri" w:hAnsi="Calibri"/>
          <w:sz w:val="22"/>
          <w:lang w:val="en-US" w:eastAsia="en-US"/>
        </w:rPr>
        <w:t>In the event that the Council reached a GNSO Supermajority Vote, the Board shall adopt the policy according to the GNSO Supermajority Vote recommendation unless by a vote of more than sixty-six (66%) percent of the Board determines that such policy is not in the best interests of the ICANN community or ICANN.</w:t>
      </w:r>
    </w:p>
    <w:p w:rsidR="00B4570F" w:rsidRDefault="00B4570F" w:rsidP="000D26C5">
      <w:pPr>
        <w:pStyle w:val="ListParagraph"/>
        <w:suppressAutoHyphens w:val="0"/>
        <w:spacing w:before="100" w:beforeAutospacing="1" w:afterAutospacing="1" w:line="240" w:lineRule="auto"/>
        <w:ind w:left="1440" w:right="720"/>
        <w:rPr>
          <w:rFonts w:ascii="Calibri" w:hAnsi="Calibri"/>
          <w:sz w:val="22"/>
          <w:lang w:val="en-US" w:eastAsia="en-US"/>
        </w:rPr>
      </w:pPr>
      <w:bookmarkStart w:id="0" w:name="AnnexA-13c"/>
      <w:bookmarkEnd w:id="0"/>
    </w:p>
    <w:p w:rsidR="00B4570F"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In the event that the Board determines not to act in accordance with the GNSO Supermajority Vote recommendation, the Board shall (i) articulate the reasons for its determination in a report to the Council (the "Board Statement"); and (ii) submit the Board Statement to the Council.</w:t>
      </w:r>
    </w:p>
    <w:p w:rsidR="00B4570F" w:rsidRPr="000D26C5" w:rsidRDefault="00B4570F" w:rsidP="000D26C5">
      <w:pPr>
        <w:pStyle w:val="ListParagraph"/>
        <w:rPr>
          <w:rFonts w:ascii="Calibri" w:hAnsi="Calibri"/>
          <w:sz w:val="22"/>
          <w:lang w:val="en-US" w:eastAsia="en-US"/>
        </w:rPr>
      </w:pPr>
    </w:p>
    <w:p w:rsidR="00B4570F" w:rsidRPr="000D26C5"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In the event that the Board determines not to act in accordance with the GNSO Supermajority Vote recommendation, the Board shall (i) articulate the reasons for its determination in a report to the Council (the "Board Statement"); and (ii) submit the Board Statement to the Council.</w:t>
      </w:r>
      <w:bookmarkStart w:id="1" w:name="AnnexA-13d"/>
      <w:bookmarkEnd w:id="1"/>
    </w:p>
    <w:p w:rsidR="00B4570F" w:rsidRDefault="00B4570F" w:rsidP="000D26C5">
      <w:pPr>
        <w:pStyle w:val="ListParagraph"/>
        <w:suppressAutoHyphens w:val="0"/>
        <w:spacing w:before="100" w:beforeAutospacing="1" w:afterAutospacing="1" w:line="240" w:lineRule="auto"/>
        <w:ind w:left="1440" w:right="720"/>
        <w:rPr>
          <w:rFonts w:ascii="Calibri" w:hAnsi="Calibri"/>
          <w:sz w:val="22"/>
          <w:lang w:val="en-US" w:eastAsia="en-US"/>
        </w:rPr>
      </w:pPr>
    </w:p>
    <w:p w:rsidR="00B4570F" w:rsidRPr="000D26C5"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The Council shall review the Board Statement for discussion with the Board within twenty (20) calendar days after the Council's receipt of the Board Statement. The Board shall determine the method (e.g., by teleconference, e-mail, or otherwise) by which the Council and Board will discuss the Board Statement.</w:t>
      </w:r>
      <w:bookmarkStart w:id="2" w:name="AnnexA-13e"/>
      <w:bookmarkEnd w:id="2"/>
    </w:p>
    <w:p w:rsidR="00B4570F" w:rsidRDefault="00B4570F" w:rsidP="000D26C5">
      <w:pPr>
        <w:pStyle w:val="ListParagraph"/>
        <w:suppressAutoHyphens w:val="0"/>
        <w:spacing w:before="100" w:beforeAutospacing="1" w:afterAutospacing="1" w:line="240" w:lineRule="auto"/>
        <w:ind w:left="1440" w:right="720"/>
        <w:rPr>
          <w:rFonts w:ascii="Calibri" w:hAnsi="Calibri"/>
          <w:sz w:val="22"/>
          <w:lang w:val="en-US" w:eastAsia="en-US"/>
        </w:rPr>
      </w:pPr>
    </w:p>
    <w:p w:rsidR="00B4570F" w:rsidRPr="000D26C5"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At the conclusion of the Council and Board discussions, the Council shall meet to affirm or modify its recommendation, and communicate that conclusion (the "Supplemental Recommendation") to the Board, including an explanation for its current recommendation. In the event that the Council is able to reach a GNSO Supermajority Vote on the Supplemental Recommendation, the Board shall adopt the recommendation unless more than sixty-six (66%) percent of the Board determines that such policy is not in the interests of the ICANN community or ICANN.</w:t>
      </w:r>
      <w:bookmarkStart w:id="3" w:name="AnnexA-13f"/>
      <w:bookmarkEnd w:id="3"/>
    </w:p>
    <w:p w:rsidR="00B4570F" w:rsidRDefault="00B4570F" w:rsidP="000D26C5">
      <w:pPr>
        <w:pStyle w:val="ListParagraph"/>
        <w:suppressAutoHyphens w:val="0"/>
        <w:spacing w:before="100" w:beforeAutospacing="1" w:afterAutospacing="1" w:line="240" w:lineRule="auto"/>
        <w:ind w:left="1440" w:right="720"/>
        <w:rPr>
          <w:rFonts w:ascii="Calibri" w:hAnsi="Calibri"/>
          <w:sz w:val="22"/>
          <w:lang w:val="en-US" w:eastAsia="en-US"/>
        </w:rPr>
      </w:pPr>
    </w:p>
    <w:p w:rsidR="00B4570F"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 xml:space="preserve">In any case in which the Council is not able to reach GNSO Supermajority vote, </w:t>
      </w:r>
      <w:r w:rsidRPr="000D26C5">
        <w:rPr>
          <w:rFonts w:ascii="Calibri" w:hAnsi="Calibri"/>
          <w:i/>
          <w:sz w:val="22"/>
          <w:lang w:val="en-US" w:eastAsia="en-US"/>
        </w:rPr>
        <w:t>a majority vote of the Board will be sufficient to act</w:t>
      </w:r>
      <w:r>
        <w:rPr>
          <w:rFonts w:ascii="Calibri" w:hAnsi="Calibri"/>
          <w:i/>
          <w:sz w:val="22"/>
          <w:lang w:val="en-US" w:eastAsia="en-US"/>
        </w:rPr>
        <w:t xml:space="preserve"> [</w:t>
      </w:r>
      <w:r>
        <w:rPr>
          <w:rFonts w:ascii="Calibri" w:hAnsi="Calibri"/>
          <w:b/>
          <w:i/>
          <w:sz w:val="22"/>
          <w:lang w:val="en-US" w:eastAsia="en-US"/>
        </w:rPr>
        <w:t>NOTE – The PDP-WT should discuss what this means? How does this affect contracted parties? In other words, if there is no supermajorit y in the GNSO, but it falls within picket fence, can this be enforced against contracted parties?</w:t>
      </w:r>
      <w:bookmarkStart w:id="4" w:name="AnnexA-13g"/>
      <w:bookmarkEnd w:id="4"/>
      <w:r>
        <w:rPr>
          <w:rFonts w:ascii="Calibri" w:hAnsi="Calibri"/>
          <w:sz w:val="22"/>
          <w:lang w:val="en-US" w:eastAsia="en-US"/>
        </w:rPr>
        <w:t>]</w:t>
      </w:r>
    </w:p>
    <w:p w:rsidR="00B4570F" w:rsidRPr="000D26C5" w:rsidRDefault="00B4570F" w:rsidP="000D26C5">
      <w:pPr>
        <w:pStyle w:val="ListParagraph"/>
        <w:rPr>
          <w:rFonts w:ascii="Calibri" w:hAnsi="Calibri"/>
          <w:sz w:val="22"/>
          <w:lang w:val="en-US" w:eastAsia="en-US"/>
        </w:rPr>
      </w:pPr>
    </w:p>
    <w:p w:rsidR="00B4570F" w:rsidRPr="000D26C5" w:rsidRDefault="00B4570F" w:rsidP="000D26C5">
      <w:pPr>
        <w:pStyle w:val="ListParagraph"/>
        <w:numPr>
          <w:ilvl w:val="1"/>
          <w:numId w:val="14"/>
        </w:numPr>
        <w:suppressAutoHyphens w:val="0"/>
        <w:spacing w:before="100" w:beforeAutospacing="1" w:afterAutospacing="1" w:line="240" w:lineRule="auto"/>
        <w:ind w:right="720"/>
        <w:rPr>
          <w:rFonts w:ascii="Calibri" w:hAnsi="Calibri"/>
          <w:sz w:val="22"/>
          <w:lang w:val="en-US" w:eastAsia="en-US"/>
        </w:rPr>
      </w:pPr>
      <w:r w:rsidRPr="000D26C5">
        <w:rPr>
          <w:rFonts w:ascii="Calibri" w:hAnsi="Calibri"/>
          <w:sz w:val="22"/>
          <w:lang w:val="en-US" w:eastAsia="en-US"/>
        </w:rPr>
        <w:t>When a final decision on a GNSO Council Recommendation or Supplemental Recommendation is timely, the Board shall take a preliminary vote and, where practicable, will publish a tentative decision that allows for a ten (10) day period of public comment prior to a final decision by the Board</w:t>
      </w:r>
      <w:r>
        <w:rPr>
          <w:rFonts w:ascii="Calibri" w:hAnsi="Calibri"/>
          <w:sz w:val="22"/>
          <w:lang w:val="en-US" w:eastAsia="en-US"/>
        </w:rPr>
        <w:t xml:space="preserve"> [</w:t>
      </w:r>
      <w:r>
        <w:rPr>
          <w:rFonts w:ascii="Calibri" w:hAnsi="Calibri"/>
          <w:b/>
          <w:sz w:val="22"/>
          <w:lang w:val="en-US" w:eastAsia="en-US"/>
        </w:rPr>
        <w:t>Does anyone understand what this means?</w:t>
      </w:r>
      <w:r>
        <w:rPr>
          <w:rFonts w:ascii="Calibri" w:hAnsi="Calibri"/>
          <w:sz w:val="22"/>
          <w:lang w:val="en-US" w:eastAsia="en-US"/>
        </w:rPr>
        <w:t>]</w:t>
      </w:r>
    </w:p>
    <w:p w:rsidR="00B4570F" w:rsidRDefault="00B4570F" w:rsidP="000D26C5">
      <w:pPr>
        <w:pStyle w:val="ListParagraph"/>
        <w:ind w:left="1440"/>
        <w:rPr>
          <w:rFonts w:ascii="Calibri" w:hAnsi="Calibri"/>
          <w:sz w:val="22"/>
        </w:rPr>
      </w:pPr>
    </w:p>
    <w:p w:rsidR="00B4570F" w:rsidRPr="005A2B8D" w:rsidRDefault="00B4570F" w:rsidP="00B95359">
      <w:pPr>
        <w:pStyle w:val="ListParagraph"/>
        <w:numPr>
          <w:ilvl w:val="0"/>
          <w:numId w:val="14"/>
        </w:numPr>
        <w:rPr>
          <w:rFonts w:ascii="Calibri" w:hAnsi="Calibri"/>
          <w:sz w:val="22"/>
        </w:rPr>
      </w:pPr>
      <w:r>
        <w:rPr>
          <w:rFonts w:ascii="Calibri" w:hAnsi="Calibri"/>
          <w:bCs/>
          <w:sz w:val="22"/>
        </w:rPr>
        <w:t>Other Item to discuss if time:  Thresholds within a Working Group from WG WT Report along with comments received (incl. Goaddy)</w:t>
      </w:r>
    </w:p>
    <w:sectPr w:rsidR="00B4570F" w:rsidRPr="005A2B8D" w:rsidSect="002221E2">
      <w:footerReference w:type="even" r:id="rId7"/>
      <w:footerReference w:type="default" r:id="rId8"/>
      <w:pgSz w:w="16838" w:h="11899"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0F" w:rsidRDefault="00B4570F">
      <w:pPr>
        <w:spacing w:line="240" w:lineRule="auto"/>
      </w:pPr>
      <w:r>
        <w:separator/>
      </w:r>
    </w:p>
  </w:endnote>
  <w:endnote w:type="continuationSeparator" w:id="0">
    <w:p w:rsidR="00B4570F" w:rsidRDefault="00B457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Courier Ne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Lucida Grande">
    <w:panose1 w:val="00000000000000000000"/>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0F" w:rsidRDefault="00B4570F" w:rsidP="0022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70F" w:rsidRDefault="00B4570F" w:rsidP="002221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0F" w:rsidRPr="00112134" w:rsidRDefault="00B4570F" w:rsidP="002221E2">
    <w:pPr>
      <w:pStyle w:val="Footer"/>
      <w:framePr w:wrap="around" w:vAnchor="text" w:hAnchor="margin" w:xAlign="right" w:y="1"/>
      <w:rPr>
        <w:rStyle w:val="PageNumber"/>
      </w:rPr>
    </w:pPr>
    <w:r w:rsidRPr="00112134">
      <w:rPr>
        <w:rStyle w:val="PageNumber"/>
        <w:rFonts w:ascii="Calibri" w:hAnsi="Calibri"/>
        <w:sz w:val="22"/>
      </w:rPr>
      <w:fldChar w:fldCharType="begin"/>
    </w:r>
    <w:r w:rsidRPr="00112134">
      <w:rPr>
        <w:rStyle w:val="PageNumber"/>
        <w:rFonts w:ascii="Calibri" w:hAnsi="Calibri"/>
        <w:sz w:val="22"/>
      </w:rPr>
      <w:instrText xml:space="preserve">PAGE  </w:instrText>
    </w:r>
    <w:r w:rsidRPr="00112134">
      <w:rPr>
        <w:rStyle w:val="PageNumber"/>
        <w:rFonts w:ascii="Calibri" w:hAnsi="Calibri"/>
        <w:sz w:val="22"/>
      </w:rPr>
      <w:fldChar w:fldCharType="separate"/>
    </w:r>
    <w:r w:rsidRPr="00112134">
      <w:rPr>
        <w:rStyle w:val="PageNumber"/>
        <w:rFonts w:ascii="Calibri" w:hAnsi="Calibri"/>
        <w:noProof/>
        <w:sz w:val="22"/>
      </w:rPr>
      <w:t>2</w:t>
    </w:r>
    <w:r w:rsidRPr="00112134">
      <w:rPr>
        <w:rStyle w:val="PageNumber"/>
        <w:rFonts w:ascii="Calibri" w:hAnsi="Calibri"/>
        <w:sz w:val="22"/>
      </w:rPr>
      <w:fldChar w:fldCharType="end"/>
    </w:r>
  </w:p>
  <w:p w:rsidR="00B4570F" w:rsidRDefault="00B4570F" w:rsidP="002221E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0F" w:rsidRDefault="00B4570F">
      <w:pPr>
        <w:spacing w:line="240" w:lineRule="auto"/>
      </w:pPr>
      <w:r>
        <w:separator/>
      </w:r>
    </w:p>
  </w:footnote>
  <w:footnote w:type="continuationSeparator" w:id="0">
    <w:p w:rsidR="00B4570F" w:rsidRDefault="00B4570F">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848"/>
    <w:multiLevelType w:val="hybridMultilevel"/>
    <w:tmpl w:val="2F1A675A"/>
    <w:lvl w:ilvl="0" w:tplc="13DAD0EA">
      <w:numFmt w:val="bullet"/>
      <w:lvlText w:val="-"/>
      <w:lvlJc w:val="left"/>
      <w:pPr>
        <w:ind w:left="580" w:hanging="360"/>
      </w:pPr>
      <w:rPr>
        <w:rFonts w:ascii="Calibri" w:hAnsi="Calibri" w:hint="default"/>
        <w:b w:val="0"/>
        <w:i w:val="0"/>
        <w:color w:val="auto"/>
        <w:sz w:val="22"/>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nsid w:val="27B20A0F"/>
    <w:multiLevelType w:val="hybridMultilevel"/>
    <w:tmpl w:val="3D729334"/>
    <w:lvl w:ilvl="0" w:tplc="146498D4">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75758"/>
    <w:multiLevelType w:val="multilevel"/>
    <w:tmpl w:val="C8364658"/>
    <w:lvl w:ilvl="0">
      <w:start w:val="1"/>
      <w:numFmt w:val="bullet"/>
      <w:lvlText w:val=""/>
      <w:lvlJc w:val="left"/>
      <w:pPr>
        <w:ind w:left="580" w:hanging="360"/>
      </w:pPr>
      <w:rPr>
        <w:rFonts w:ascii="Wingdings" w:hAnsi="Wingdings" w:hint="default"/>
        <w:b w:val="0"/>
        <w:i w:val="0"/>
        <w:sz w:val="20"/>
      </w:rPr>
    </w:lvl>
    <w:lvl w:ilvl="1">
      <w:start w:val="1"/>
      <w:numFmt w:val="bullet"/>
      <w:lvlText w:val="o"/>
      <w:lvlJc w:val="left"/>
      <w:pPr>
        <w:ind w:left="1660" w:hanging="360"/>
      </w:pPr>
      <w:rPr>
        <w:rFonts w:ascii="Courier New" w:hAnsi="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hint="default"/>
      </w:rPr>
    </w:lvl>
    <w:lvl w:ilvl="8">
      <w:start w:val="1"/>
      <w:numFmt w:val="bullet"/>
      <w:lvlText w:val=""/>
      <w:lvlJc w:val="left"/>
      <w:pPr>
        <w:ind w:left="6700" w:hanging="360"/>
      </w:pPr>
      <w:rPr>
        <w:rFonts w:ascii="Wingdings" w:hAnsi="Wingdings" w:hint="default"/>
      </w:rPr>
    </w:lvl>
  </w:abstractNum>
  <w:abstractNum w:abstractNumId="3">
    <w:nsid w:val="3F9D1E90"/>
    <w:multiLevelType w:val="hybridMultilevel"/>
    <w:tmpl w:val="55B4767C"/>
    <w:lvl w:ilvl="0" w:tplc="A768D9F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47458E"/>
    <w:multiLevelType w:val="hybridMultilevel"/>
    <w:tmpl w:val="0596BD84"/>
    <w:lvl w:ilvl="0" w:tplc="89B6A49E">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40992"/>
    <w:multiLevelType w:val="hybridMultilevel"/>
    <w:tmpl w:val="B2169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422B7"/>
    <w:multiLevelType w:val="hybridMultilevel"/>
    <w:tmpl w:val="0040D8EC"/>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36495"/>
    <w:multiLevelType w:val="hybridMultilevel"/>
    <w:tmpl w:val="C8364658"/>
    <w:lvl w:ilvl="0" w:tplc="DE1C7A5E">
      <w:start w:val="1"/>
      <w:numFmt w:val="bullet"/>
      <w:lvlText w:val=""/>
      <w:lvlJc w:val="left"/>
      <w:pPr>
        <w:ind w:left="580" w:hanging="360"/>
      </w:pPr>
      <w:rPr>
        <w:rFonts w:ascii="Wingdings" w:hAnsi="Wingdings" w:hint="default"/>
        <w:b w:val="0"/>
        <w:i w:val="0"/>
        <w:sz w:val="20"/>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530108DD"/>
    <w:multiLevelType w:val="multilevel"/>
    <w:tmpl w:val="BA109ACE"/>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A17279"/>
    <w:multiLevelType w:val="hybridMultilevel"/>
    <w:tmpl w:val="9F6A3F7A"/>
    <w:lvl w:ilvl="0" w:tplc="D34467CE">
      <w:start w:val="1"/>
      <w:numFmt w:val="lowerLetter"/>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C444C"/>
    <w:multiLevelType w:val="multilevel"/>
    <w:tmpl w:val="C88C40CA"/>
    <w:lvl w:ilvl="0">
      <w:start w:val="1"/>
      <w:numFmt w:val="lowerLetter"/>
      <w:lvlText w:val="%1)"/>
      <w:lvlJc w:val="left"/>
      <w:pPr>
        <w:ind w:left="360" w:hanging="360"/>
      </w:pPr>
      <w:rPr>
        <w:rFonts w:ascii="Calibri" w:hAnsi="Calibr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280100"/>
    <w:multiLevelType w:val="multilevel"/>
    <w:tmpl w:val="1F0C85A8"/>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1A6140"/>
    <w:multiLevelType w:val="hybridMultilevel"/>
    <w:tmpl w:val="C36692C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015C8"/>
    <w:multiLevelType w:val="hybridMultilevel"/>
    <w:tmpl w:val="BA109ACE"/>
    <w:lvl w:ilvl="0" w:tplc="EB4EC0E8">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8"/>
  </w:num>
  <w:num w:numId="5">
    <w:abstractNumId w:val="1"/>
  </w:num>
  <w:num w:numId="6">
    <w:abstractNumId w:val="9"/>
  </w:num>
  <w:num w:numId="7">
    <w:abstractNumId w:val="10"/>
  </w:num>
  <w:num w:numId="8">
    <w:abstractNumId w:val="3"/>
  </w:num>
  <w:num w:numId="9">
    <w:abstractNumId w:val="12"/>
  </w:num>
  <w:num w:numId="10">
    <w:abstractNumId w:val="6"/>
  </w:num>
  <w:num w:numId="11">
    <w:abstractNumId w:val="7"/>
  </w:num>
  <w:num w:numId="12">
    <w:abstractNumId w:val="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D04"/>
    <w:rsid w:val="0001502E"/>
    <w:rsid w:val="000D26C5"/>
    <w:rsid w:val="00112134"/>
    <w:rsid w:val="001D0709"/>
    <w:rsid w:val="002221E2"/>
    <w:rsid w:val="0024145F"/>
    <w:rsid w:val="002A1DEE"/>
    <w:rsid w:val="0040507D"/>
    <w:rsid w:val="004539AC"/>
    <w:rsid w:val="005A2B8D"/>
    <w:rsid w:val="005F47AE"/>
    <w:rsid w:val="0061598E"/>
    <w:rsid w:val="006729A2"/>
    <w:rsid w:val="00B4570F"/>
    <w:rsid w:val="00B7412F"/>
    <w:rsid w:val="00B95359"/>
    <w:rsid w:val="00D53D04"/>
    <w:rsid w:val="00DB5FB5"/>
    <w:rsid w:val="00F8584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04"/>
    <w:pPr>
      <w:suppressAutoHyphens/>
      <w:spacing w:line="360" w:lineRule="auto"/>
    </w:pPr>
    <w:rPr>
      <w:rFonts w:ascii="Garamond" w:eastAsia="Times New Roman" w:hAnsi="Garamond"/>
      <w:sz w:val="24"/>
      <w:lang w:val="en-GB" w:eastAsia="ar-S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53D04"/>
  </w:style>
  <w:style w:type="character" w:customStyle="1" w:styleId="NormalWebChar">
    <w:name w:val="Normal (Web) Char"/>
    <w:basedOn w:val="DefaultParagraphFont"/>
    <w:uiPriority w:val="99"/>
    <w:rsid w:val="00D53D04"/>
    <w:rPr>
      <w:rFonts w:ascii="Garamond" w:hAnsi="Garamond" w:cs="Times New Roman"/>
      <w:sz w:val="20"/>
      <w:lang w:val="en-GB" w:eastAsia="ar-SA" w:bidi="ar-SA"/>
    </w:rPr>
  </w:style>
  <w:style w:type="character" w:customStyle="1" w:styleId="HideTWBExt">
    <w:name w:val="HideTWBExt"/>
    <w:basedOn w:val="DefaultParagraphFont"/>
    <w:uiPriority w:val="99"/>
    <w:rsid w:val="00D53D04"/>
    <w:rPr>
      <w:rFonts w:ascii="Arial" w:hAnsi="Arial" w:cs="Times New Roman"/>
      <w:noProof/>
      <w:vanish/>
      <w:color w:val="000080"/>
      <w:sz w:val="20"/>
    </w:rPr>
  </w:style>
  <w:style w:type="paragraph" w:customStyle="1" w:styleId="ColHeading">
    <w:name w:val="ColHeading"/>
    <w:basedOn w:val="Normal"/>
    <w:uiPriority w:val="99"/>
    <w:rsid w:val="00D53D04"/>
    <w:pPr>
      <w:widowControl w:val="0"/>
      <w:suppressAutoHyphens w:val="0"/>
      <w:spacing w:before="240" w:after="120" w:line="240" w:lineRule="auto"/>
      <w:jc w:val="center"/>
    </w:pPr>
    <w:rPr>
      <w:rFonts w:ascii="Times New Roman" w:hAnsi="Times New Roman"/>
      <w:lang w:eastAsia="en-GB"/>
    </w:rPr>
  </w:style>
  <w:style w:type="paragraph" w:customStyle="1" w:styleId="Normal12Centre">
    <w:name w:val="Normal12Centre"/>
    <w:basedOn w:val="Normal"/>
    <w:uiPriority w:val="99"/>
    <w:rsid w:val="00D53D04"/>
    <w:pPr>
      <w:widowControl w:val="0"/>
      <w:suppressAutoHyphens w:val="0"/>
      <w:spacing w:after="240" w:line="240" w:lineRule="auto"/>
      <w:jc w:val="center"/>
    </w:pPr>
    <w:rPr>
      <w:rFonts w:ascii="Times New Roman" w:hAnsi="Times New Roman"/>
      <w:lang w:eastAsia="en-GB"/>
    </w:rPr>
  </w:style>
  <w:style w:type="character" w:styleId="CommentReference">
    <w:name w:val="annotation reference"/>
    <w:basedOn w:val="DefaultParagraphFont"/>
    <w:uiPriority w:val="99"/>
    <w:semiHidden/>
    <w:rsid w:val="00D53D04"/>
    <w:rPr>
      <w:rFonts w:cs="Times New Roman"/>
      <w:sz w:val="16"/>
    </w:rPr>
  </w:style>
  <w:style w:type="paragraph" w:styleId="CommentText">
    <w:name w:val="annotation text"/>
    <w:basedOn w:val="Normal"/>
    <w:link w:val="CommentTextChar"/>
    <w:uiPriority w:val="99"/>
    <w:semiHidden/>
    <w:rsid w:val="00D53D04"/>
    <w:rPr>
      <w:sz w:val="20"/>
    </w:rPr>
  </w:style>
  <w:style w:type="character" w:customStyle="1" w:styleId="CommentTextChar">
    <w:name w:val="Comment Text Char"/>
    <w:basedOn w:val="DefaultParagraphFont"/>
    <w:link w:val="CommentText"/>
    <w:uiPriority w:val="99"/>
    <w:rsid w:val="00D53D04"/>
    <w:rPr>
      <w:rFonts w:ascii="Garamond" w:hAnsi="Garamond" w:cs="Times New Roman"/>
      <w:sz w:val="20"/>
      <w:lang w:val="en-GB" w:eastAsia="ar-SA" w:bidi="ar-SA"/>
    </w:rPr>
  </w:style>
  <w:style w:type="paragraph" w:styleId="BalloonText">
    <w:name w:val="Balloon Text"/>
    <w:basedOn w:val="Normal"/>
    <w:link w:val="BalloonTextChar"/>
    <w:uiPriority w:val="99"/>
    <w:semiHidden/>
    <w:rsid w:val="00D53D0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D04"/>
    <w:rPr>
      <w:rFonts w:ascii="Lucida Grande" w:hAnsi="Lucida Grande" w:cs="Times New Roman"/>
      <w:sz w:val="18"/>
      <w:lang w:val="en-GB" w:eastAsia="ar-SA" w:bidi="ar-SA"/>
    </w:rPr>
  </w:style>
  <w:style w:type="character" w:styleId="Strong">
    <w:name w:val="Strong"/>
    <w:basedOn w:val="DefaultParagraphFont"/>
    <w:uiPriority w:val="99"/>
    <w:qFormat/>
    <w:rsid w:val="00D53D04"/>
    <w:rPr>
      <w:rFonts w:cs="Times New Roman"/>
      <w:b/>
    </w:rPr>
  </w:style>
  <w:style w:type="character" w:styleId="Hyperlink">
    <w:name w:val="Hyperlink"/>
    <w:basedOn w:val="DefaultParagraphFont"/>
    <w:uiPriority w:val="99"/>
    <w:rsid w:val="00D53D04"/>
    <w:rPr>
      <w:rFonts w:cs="Times New Roman"/>
      <w:color w:val="0000FF"/>
      <w:u w:val="single"/>
    </w:rPr>
  </w:style>
  <w:style w:type="character" w:styleId="Emphasis">
    <w:name w:val="Emphasis"/>
    <w:basedOn w:val="DefaultParagraphFont"/>
    <w:uiPriority w:val="99"/>
    <w:qFormat/>
    <w:rPr>
      <w:rFonts w:cs="Times New Roman"/>
      <w:i/>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rPr>
      <w:rFonts w:ascii="Garamond" w:hAnsi="Garamond" w:cs="Times New Roman"/>
      <w:sz w:val="24"/>
      <w:lang w:val="en-GB" w:eastAsia="ar-SA" w:bidi="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Garamond" w:hAnsi="Garamond" w:cs="Times New Roman"/>
      <w:sz w:val="24"/>
      <w:lang w:val="en-GB" w:eastAsia="ar-SA" w:bidi="ar-SA"/>
    </w:rPr>
  </w:style>
  <w:style w:type="paragraph" w:styleId="FootnoteText">
    <w:name w:val="footnote text"/>
    <w:basedOn w:val="Normal"/>
    <w:link w:val="FootnoteTextChar"/>
    <w:uiPriority w:val="99"/>
    <w:semiHidden/>
    <w:pPr>
      <w:suppressAutoHyphens w:val="0"/>
      <w:spacing w:line="240" w:lineRule="auto"/>
    </w:pPr>
    <w:rPr>
      <w:rFonts w:ascii="Cambria" w:eastAsia="Cambria" w:hAnsi="Cambria"/>
      <w:szCs w:val="24"/>
      <w:lang w:val="en-US" w:eastAsia="en-US"/>
    </w:rPr>
  </w:style>
  <w:style w:type="character" w:customStyle="1" w:styleId="FootnoteTextChar">
    <w:name w:val="Footnote Text Char"/>
    <w:basedOn w:val="DefaultParagraphFont"/>
    <w:link w:val="FootnoteText"/>
    <w:uiPriority w:val="99"/>
    <w:rPr>
      <w:rFonts w:cs="Times New Roman"/>
      <w:sz w:val="24"/>
    </w:rPr>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85840"/>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3521</Characters>
  <Application>Microsoft Macintosh Word</Application>
  <DocSecurity>0</DocSecurity>
  <Lines>0</Lines>
  <Paragraphs>0</Paragraphs>
  <ScaleCrop>false</ScaleCrop>
  <Company>ICANN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Marika Konings</dc:creator>
  <cp:keywords/>
  <cp:lastModifiedBy>James Bladel</cp:lastModifiedBy>
  <cp:revision>2</cp:revision>
  <dcterms:created xsi:type="dcterms:W3CDTF">2010-04-08T12:43:00Z</dcterms:created>
  <dcterms:modified xsi:type="dcterms:W3CDTF">2010-04-08T12:43:00Z</dcterms:modified>
</cp:coreProperties>
</file>