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38"/>
        <w:gridCol w:w="4770"/>
        <w:gridCol w:w="4770"/>
        <w:gridCol w:w="3438"/>
      </w:tblGrid>
      <w:tr w:rsidR="00A6114F" w:rsidTr="00162516">
        <w:tc>
          <w:tcPr>
            <w:tcW w:w="8208" w:type="dxa"/>
            <w:gridSpan w:val="2"/>
            <w:shd w:val="pct15" w:color="auto" w:fill="auto"/>
          </w:tcPr>
          <w:p w:rsidR="00A6114F" w:rsidRPr="005B621F" w:rsidRDefault="00A6114F" w:rsidP="005B621F">
            <w:pPr>
              <w:spacing w:after="0" w:line="240" w:lineRule="auto"/>
              <w:jc w:val="center"/>
              <w:rPr>
                <w:b/>
              </w:rPr>
            </w:pPr>
            <w:r w:rsidRPr="005B621F">
              <w:rPr>
                <w:rFonts w:ascii="Arial" w:hAnsi="Arial"/>
                <w:b/>
                <w:color w:val="4C6CB4"/>
                <w:szCs w:val="24"/>
              </w:rPr>
              <w:t>A.   Planning / Initiation</w:t>
            </w:r>
          </w:p>
        </w:tc>
        <w:tc>
          <w:tcPr>
            <w:tcW w:w="8208" w:type="dxa"/>
            <w:gridSpan w:val="2"/>
            <w:shd w:val="pct15" w:color="auto" w:fill="auto"/>
          </w:tcPr>
          <w:p w:rsidR="00A6114F" w:rsidRPr="005B621F" w:rsidRDefault="00A6114F" w:rsidP="005B621F">
            <w:pPr>
              <w:spacing w:after="0" w:line="240" w:lineRule="auto"/>
              <w:jc w:val="center"/>
              <w:rPr>
                <w:rFonts w:ascii="Arial" w:hAnsi="Arial"/>
                <w:b/>
                <w:color w:val="4C6CB4"/>
                <w:szCs w:val="24"/>
              </w:rPr>
            </w:pPr>
          </w:p>
        </w:tc>
      </w:tr>
      <w:tr w:rsidR="00A6114F" w:rsidTr="00162516">
        <w:trPr>
          <w:gridAfter w:val="1"/>
          <w:wAfter w:w="3438" w:type="dxa"/>
          <w:trHeight w:val="56"/>
        </w:trPr>
        <w:tc>
          <w:tcPr>
            <w:tcW w:w="3438" w:type="dxa"/>
          </w:tcPr>
          <w:p w:rsidR="00A6114F" w:rsidRPr="005B621F" w:rsidRDefault="00A6114F" w:rsidP="005B621F">
            <w:pPr>
              <w:spacing w:after="0" w:line="240" w:lineRule="auto"/>
              <w:rPr>
                <w:b/>
              </w:rPr>
            </w:pPr>
            <w:r w:rsidRPr="005B621F">
              <w:rPr>
                <w:b/>
              </w:rPr>
              <w:t>Issues to be addressed</w:t>
            </w:r>
          </w:p>
        </w:tc>
        <w:tc>
          <w:tcPr>
            <w:tcW w:w="4770" w:type="dxa"/>
          </w:tcPr>
          <w:p w:rsidR="00A6114F" w:rsidRPr="005B621F" w:rsidRDefault="00A6114F" w:rsidP="00B766D4">
            <w:pPr>
              <w:spacing w:after="0" w:line="240" w:lineRule="auto"/>
              <w:rPr>
                <w:b/>
              </w:rPr>
            </w:pPr>
            <w:r w:rsidRPr="005B621F">
              <w:rPr>
                <w:b/>
              </w:rPr>
              <w:t>Current PDP</w:t>
            </w:r>
          </w:p>
        </w:tc>
        <w:tc>
          <w:tcPr>
            <w:tcW w:w="4770" w:type="dxa"/>
          </w:tcPr>
          <w:p w:rsidR="00A6114F" w:rsidRPr="005B621F" w:rsidRDefault="00A6114F" w:rsidP="005B621F">
            <w:pPr>
              <w:spacing w:after="0" w:line="240" w:lineRule="auto"/>
              <w:rPr>
                <w:b/>
              </w:rPr>
            </w:pPr>
            <w:r>
              <w:rPr>
                <w:b/>
              </w:rPr>
              <w:t>Notes from WT Call April 14, 2009</w:t>
            </w:r>
          </w:p>
        </w:tc>
      </w:tr>
      <w:tr w:rsidR="00A6114F" w:rsidTr="00162516">
        <w:trPr>
          <w:gridAfter w:val="1"/>
          <w:wAfter w:w="3438" w:type="dxa"/>
        </w:trPr>
        <w:tc>
          <w:tcPr>
            <w:tcW w:w="3438" w:type="dxa"/>
          </w:tcPr>
          <w:p w:rsidR="00A6114F" w:rsidRPr="005B621F" w:rsidRDefault="00A6114F" w:rsidP="005B621F">
            <w:pPr>
              <w:spacing w:after="0" w:line="240" w:lineRule="auto"/>
              <w:rPr>
                <w:color w:val="000000"/>
              </w:rPr>
            </w:pPr>
            <w:r w:rsidRPr="005B621F">
              <w:rPr>
                <w:color w:val="000000"/>
              </w:rPr>
              <w:t>1.       Who has the right to initiate a request for an issues report</w:t>
            </w:r>
          </w:p>
          <w:p w:rsidR="00A6114F" w:rsidRPr="005B621F" w:rsidRDefault="00A6114F" w:rsidP="005B621F">
            <w:pPr>
              <w:spacing w:after="0" w:line="240" w:lineRule="auto"/>
            </w:pPr>
          </w:p>
        </w:tc>
        <w:tc>
          <w:tcPr>
            <w:tcW w:w="4770" w:type="dxa"/>
          </w:tcPr>
          <w:p w:rsidR="00A6114F" w:rsidRPr="005B621F" w:rsidRDefault="00A6114F" w:rsidP="00B766D4">
            <w:pPr>
              <w:spacing w:after="0" w:line="240" w:lineRule="auto"/>
              <w:rPr>
                <w:b/>
                <w:bCs/>
                <w:color w:val="000000"/>
              </w:rPr>
            </w:pPr>
            <w:r w:rsidRPr="005B621F">
              <w:rPr>
                <w:b/>
                <w:bCs/>
                <w:color w:val="000000"/>
              </w:rPr>
              <w:t xml:space="preserve">1. Raising an Issue.  </w:t>
            </w:r>
            <w:r w:rsidRPr="005B621F">
              <w:rPr>
                <w:color w:val="000000"/>
              </w:rPr>
              <w:t>An issue may be raised by any of the following:</w:t>
            </w:r>
          </w:p>
          <w:p w:rsidR="00A6114F" w:rsidRPr="005B621F" w:rsidRDefault="00A6114F" w:rsidP="00B766D4">
            <w:pPr>
              <w:spacing w:after="0" w:line="240" w:lineRule="auto"/>
              <w:rPr>
                <w:color w:val="000000"/>
              </w:rPr>
            </w:pPr>
            <w:r w:rsidRPr="005B621F">
              <w:rPr>
                <w:color w:val="000000"/>
              </w:rPr>
              <w:t xml:space="preserve">a. </w:t>
            </w:r>
            <w:r w:rsidRPr="005B621F">
              <w:rPr>
                <w:i/>
                <w:iCs/>
                <w:color w:val="000000"/>
              </w:rPr>
              <w:t>Board Initiation.</w:t>
            </w:r>
            <w:r w:rsidRPr="005B621F">
              <w:rPr>
                <w:color w:val="000000"/>
              </w:rPr>
              <w:t xml:space="preserve"> </w:t>
            </w:r>
          </w:p>
          <w:p w:rsidR="00A6114F" w:rsidRPr="005B621F" w:rsidRDefault="00A6114F" w:rsidP="00B766D4">
            <w:pPr>
              <w:spacing w:after="0" w:line="240" w:lineRule="auto"/>
              <w:rPr>
                <w:color w:val="000000"/>
              </w:rPr>
            </w:pPr>
            <w:r w:rsidRPr="005B621F">
              <w:rPr>
                <w:color w:val="000000"/>
              </w:rPr>
              <w:t xml:space="preserve">b. </w:t>
            </w:r>
            <w:r w:rsidRPr="005B621F">
              <w:rPr>
                <w:i/>
                <w:iCs/>
                <w:color w:val="000000"/>
              </w:rPr>
              <w:t>Council Initiation.</w:t>
            </w:r>
            <w:r w:rsidRPr="005B621F">
              <w:rPr>
                <w:color w:val="000000"/>
              </w:rPr>
              <w:t xml:space="preserve"> By a vote of at least twenty-five percent (25%) of the members of the Council present.</w:t>
            </w:r>
          </w:p>
          <w:p w:rsidR="00A6114F" w:rsidRPr="005B621F" w:rsidRDefault="00A6114F" w:rsidP="00B766D4">
            <w:pPr>
              <w:spacing w:after="0" w:line="240" w:lineRule="auto"/>
              <w:rPr>
                <w:color w:val="000000"/>
              </w:rPr>
            </w:pPr>
            <w:r w:rsidRPr="005B621F">
              <w:rPr>
                <w:color w:val="000000"/>
              </w:rPr>
              <w:t xml:space="preserve">c. </w:t>
            </w:r>
            <w:r w:rsidRPr="005B621F">
              <w:rPr>
                <w:i/>
                <w:iCs/>
                <w:color w:val="000000"/>
              </w:rPr>
              <w:t>Advisory Committee Initiation.</w:t>
            </w:r>
            <w:r w:rsidRPr="005B621F">
              <w:rPr>
                <w:color w:val="000000"/>
              </w:rPr>
              <w:t xml:space="preserve"> </w:t>
            </w:r>
          </w:p>
          <w:p w:rsidR="00A6114F" w:rsidRPr="005B621F" w:rsidRDefault="00A6114F" w:rsidP="00B766D4">
            <w:pPr>
              <w:spacing w:after="0" w:line="240" w:lineRule="auto"/>
            </w:pPr>
          </w:p>
        </w:tc>
        <w:tc>
          <w:tcPr>
            <w:tcW w:w="4770" w:type="dxa"/>
          </w:tcPr>
          <w:p w:rsidR="00A6114F" w:rsidRPr="00EA3F29" w:rsidRDefault="00A6114F" w:rsidP="005B621F">
            <w:pPr>
              <w:spacing w:after="0" w:line="240" w:lineRule="auto"/>
              <w:rPr>
                <w:bCs/>
                <w:color w:val="000000"/>
              </w:rPr>
            </w:pPr>
            <w:r w:rsidRPr="00EA3F29">
              <w:rPr>
                <w:bCs/>
                <w:color w:val="000000"/>
              </w:rPr>
              <w:t>Brief discussion on transition issues, with the WT agreeing not to focus on temporary solutions but on a permanent solution.</w:t>
            </w:r>
          </w:p>
          <w:p w:rsidR="00A6114F" w:rsidRPr="00EA3F29" w:rsidRDefault="00A6114F" w:rsidP="007D1A93">
            <w:pPr>
              <w:numPr>
                <w:ilvl w:val="0"/>
                <w:numId w:val="6"/>
                <w:numberingChange w:id="0" w:author="Unknown" w:date="2009-04-21T23:34:00Z" w:original=""/>
              </w:numPr>
              <w:spacing w:after="0" w:line="240" w:lineRule="auto"/>
              <w:rPr>
                <w:bCs/>
                <w:color w:val="000000"/>
              </w:rPr>
            </w:pPr>
            <w:r w:rsidRPr="00EA3F29">
              <w:rPr>
                <w:bCs/>
                <w:color w:val="000000"/>
              </w:rPr>
              <w:t>ICANN Staff to review with legal counsel the proposed changes to Annex A for transition purposes and share with the WT</w:t>
            </w:r>
          </w:p>
          <w:p w:rsidR="00A6114F" w:rsidRPr="00EA3F29" w:rsidRDefault="00A6114F" w:rsidP="005B621F">
            <w:pPr>
              <w:numPr>
                <w:ilvl w:val="0"/>
                <w:numId w:val="6"/>
                <w:numberingChange w:id="1" w:author="Unknown" w:date="2009-04-21T23:34:00Z" w:original=""/>
              </w:numPr>
              <w:spacing w:after="0" w:line="240" w:lineRule="auto"/>
              <w:rPr>
                <w:bCs/>
                <w:color w:val="000000"/>
              </w:rPr>
            </w:pPr>
            <w:r w:rsidRPr="00EA3F29">
              <w:rPr>
                <w:bCs/>
                <w:color w:val="000000"/>
              </w:rPr>
              <w:t>WT would like to provide input to the GNSO in its process of reviewing the draft Bylaws changes for GNSO improvements on whether the PDP related changes are acceptable or need further revision</w:t>
            </w:r>
          </w:p>
          <w:p w:rsidR="00A6114F" w:rsidRPr="00EA3F29" w:rsidRDefault="00A6114F" w:rsidP="005B621F">
            <w:pPr>
              <w:spacing w:after="0" w:line="240" w:lineRule="auto"/>
              <w:rPr>
                <w:bCs/>
                <w:color w:val="000000"/>
              </w:rPr>
            </w:pPr>
          </w:p>
          <w:p w:rsidR="00A6114F" w:rsidRPr="00EA3F29" w:rsidRDefault="00A6114F" w:rsidP="005B621F">
            <w:pPr>
              <w:spacing w:after="0" w:line="240" w:lineRule="auto"/>
              <w:rPr>
                <w:bCs/>
                <w:color w:val="000000"/>
              </w:rPr>
            </w:pPr>
            <w:r w:rsidRPr="00EA3F29">
              <w:rPr>
                <w:bCs/>
                <w:color w:val="000000"/>
              </w:rPr>
              <w:t>Recommendation to adopt Same Criteria from Current PDP and not expand the list of persons or groups that could “raise an issue.”</w:t>
            </w:r>
          </w:p>
          <w:p w:rsidR="00A6114F" w:rsidRPr="00EA3F29" w:rsidRDefault="00A6114F" w:rsidP="005B621F">
            <w:pPr>
              <w:spacing w:after="0" w:line="240" w:lineRule="auto"/>
              <w:rPr>
                <w:bCs/>
                <w:color w:val="000000"/>
              </w:rPr>
            </w:pPr>
          </w:p>
          <w:p w:rsidR="00A6114F" w:rsidRPr="00EA3F29" w:rsidRDefault="00A6114F" w:rsidP="005B621F">
            <w:pPr>
              <w:spacing w:after="0" w:line="240" w:lineRule="auto"/>
              <w:rPr>
                <w:bCs/>
                <w:color w:val="000000"/>
              </w:rPr>
            </w:pPr>
            <w:r w:rsidRPr="00EA3F29">
              <w:rPr>
                <w:bCs/>
                <w:color w:val="000000"/>
              </w:rPr>
              <w:t>Consider whether the GNSO and the AC’s should develop and announce a formal mechanism to allow other parties who may or may not be members of a formal constituency, stakeholder group or advisory committee to make suggestions to the GNSO/AC on topics for an issues report</w:t>
            </w:r>
          </w:p>
          <w:p w:rsidR="00A6114F" w:rsidRPr="00EA3F29" w:rsidRDefault="00A6114F" w:rsidP="00C94FCF">
            <w:pPr>
              <w:numPr>
                <w:ilvl w:val="0"/>
                <w:numId w:val="4"/>
                <w:numberingChange w:id="2" w:author="Unknown" w:date="2009-04-21T23:34:00Z" w:original=""/>
              </w:numPr>
              <w:spacing w:after="0" w:line="240" w:lineRule="auto"/>
              <w:rPr>
                <w:bCs/>
                <w:color w:val="000000"/>
              </w:rPr>
            </w:pPr>
            <w:r w:rsidRPr="00EA3F29">
              <w:rPr>
                <w:bCs/>
                <w:color w:val="000000"/>
              </w:rPr>
              <w:t>Some entities such as APWG/ISOC might have reason to make suggestions</w:t>
            </w:r>
          </w:p>
          <w:p w:rsidR="00A6114F" w:rsidRPr="00EA3F29" w:rsidRDefault="00A6114F" w:rsidP="00C94FCF">
            <w:pPr>
              <w:numPr>
                <w:ilvl w:val="0"/>
                <w:numId w:val="4"/>
                <w:numberingChange w:id="3" w:author="Unknown" w:date="2009-04-21T23:34:00Z" w:original=""/>
              </w:numPr>
              <w:spacing w:after="0" w:line="240" w:lineRule="auto"/>
              <w:rPr>
                <w:bCs/>
                <w:color w:val="000000"/>
              </w:rPr>
            </w:pPr>
            <w:r w:rsidRPr="00EA3F29">
              <w:rPr>
                <w:bCs/>
                <w:color w:val="000000"/>
              </w:rPr>
              <w:t xml:space="preserve">Concern that might encourage random/unqualified submissions from public that just creates unnecessary work on the Council </w:t>
            </w:r>
          </w:p>
          <w:p w:rsidR="00A6114F" w:rsidRPr="00EA3F29" w:rsidRDefault="00A6114F" w:rsidP="00C94FCF">
            <w:pPr>
              <w:numPr>
                <w:ilvl w:val="0"/>
                <w:numId w:val="4"/>
                <w:numberingChange w:id="4" w:author="Unknown" w:date="2009-04-21T23:34:00Z" w:original=""/>
              </w:numPr>
              <w:spacing w:after="0" w:line="240" w:lineRule="auto"/>
              <w:rPr>
                <w:bCs/>
                <w:color w:val="000000"/>
              </w:rPr>
            </w:pPr>
            <w:r w:rsidRPr="00EA3F29">
              <w:rPr>
                <w:bCs/>
                <w:color w:val="000000"/>
              </w:rPr>
              <w:t>Some stated that it is incumbent on these organizations to raise the issues through their stakeholder groups or constituencies.</w:t>
            </w:r>
          </w:p>
          <w:p w:rsidR="00A6114F" w:rsidRDefault="00A6114F" w:rsidP="005B621F">
            <w:pPr>
              <w:spacing w:after="0" w:line="240" w:lineRule="auto"/>
              <w:rPr>
                <w:b/>
                <w:bCs/>
                <w:color w:val="000000"/>
              </w:rPr>
            </w:pPr>
          </w:p>
          <w:p w:rsidR="00A6114F" w:rsidRDefault="00A6114F" w:rsidP="005B621F">
            <w:pPr>
              <w:spacing w:after="0" w:line="240" w:lineRule="auto"/>
              <w:rPr>
                <w:b/>
                <w:bCs/>
                <w:color w:val="000000"/>
              </w:rPr>
            </w:pPr>
            <w:r>
              <w:rPr>
                <w:b/>
                <w:bCs/>
                <w:color w:val="000000"/>
              </w:rPr>
              <w:t xml:space="preserve"> </w:t>
            </w:r>
          </w:p>
          <w:p w:rsidR="00A6114F" w:rsidRPr="005B621F" w:rsidRDefault="00A6114F" w:rsidP="005B621F">
            <w:pPr>
              <w:spacing w:after="0" w:line="240" w:lineRule="auto"/>
              <w:rPr>
                <w:color w:val="000000"/>
              </w:rPr>
            </w:pPr>
            <w:r w:rsidRPr="005B621F">
              <w:rPr>
                <w:color w:val="000000"/>
              </w:rPr>
              <w:t xml:space="preserve"> </w:t>
            </w:r>
          </w:p>
          <w:p w:rsidR="00A6114F" w:rsidRPr="005B621F" w:rsidRDefault="00A6114F" w:rsidP="005B621F">
            <w:pPr>
              <w:spacing w:after="0" w:line="240" w:lineRule="auto"/>
            </w:pPr>
          </w:p>
        </w:tc>
      </w:tr>
      <w:tr w:rsidR="00A6114F" w:rsidTr="00162516">
        <w:trPr>
          <w:gridAfter w:val="1"/>
          <w:wAfter w:w="3438" w:type="dxa"/>
          <w:trHeight w:val="7298"/>
        </w:trPr>
        <w:tc>
          <w:tcPr>
            <w:tcW w:w="3438" w:type="dxa"/>
          </w:tcPr>
          <w:p w:rsidR="00A6114F" w:rsidRDefault="00A6114F" w:rsidP="005B621F">
            <w:pPr>
              <w:spacing w:after="0" w:line="240" w:lineRule="auto"/>
              <w:rPr>
                <w:color w:val="000000"/>
              </w:rPr>
            </w:pPr>
            <w:r>
              <w:rPr>
                <w:color w:val="000000"/>
              </w:rPr>
              <w:t xml:space="preserve"> </w:t>
            </w:r>
          </w:p>
          <w:p w:rsidR="00A6114F" w:rsidRPr="005B621F" w:rsidRDefault="00A6114F" w:rsidP="005B621F">
            <w:pPr>
              <w:spacing w:after="0" w:line="240" w:lineRule="auto"/>
            </w:pPr>
          </w:p>
        </w:tc>
        <w:tc>
          <w:tcPr>
            <w:tcW w:w="4770" w:type="dxa"/>
          </w:tcPr>
          <w:p w:rsidR="00A6114F" w:rsidRPr="005B621F" w:rsidRDefault="00A6114F" w:rsidP="00B766D4">
            <w:pPr>
              <w:spacing w:after="0" w:line="240" w:lineRule="auto"/>
              <w:rPr>
                <w:b/>
                <w:bCs/>
                <w:color w:val="000000"/>
              </w:rPr>
            </w:pPr>
            <w:r w:rsidRPr="005B621F">
              <w:rPr>
                <w:b/>
                <w:bCs/>
                <w:color w:val="000000"/>
              </w:rPr>
              <w:t>2.  Creation of the Issue Report</w:t>
            </w:r>
          </w:p>
          <w:p w:rsidR="00A6114F" w:rsidRPr="005B621F" w:rsidRDefault="00A6114F" w:rsidP="00B766D4">
            <w:pPr>
              <w:spacing w:after="0" w:line="240" w:lineRule="auto"/>
            </w:pPr>
          </w:p>
          <w:p w:rsidR="00A6114F" w:rsidRPr="005B621F" w:rsidRDefault="00A6114F" w:rsidP="00B766D4">
            <w:pPr>
              <w:spacing w:after="0" w:line="240" w:lineRule="auto"/>
              <w:rPr>
                <w:color w:val="000000"/>
              </w:rPr>
            </w:pPr>
            <w:r w:rsidRPr="005B621F">
              <w:rPr>
                <w:color w:val="000000"/>
              </w:rPr>
              <w:t>Within fifteen (15) calendar days after receiving either (i) an instruction from the Board; (ii) a properly supported motion from a Council member; or (iii) a properly supported motion from an Advisory Committee, the Staff Manager will create a report (an "Issue Report"). Each Issue Report shall contain at least the following:</w:t>
            </w:r>
          </w:p>
          <w:p w:rsidR="00A6114F" w:rsidRPr="005B621F" w:rsidRDefault="00A6114F" w:rsidP="00B766D4">
            <w:pPr>
              <w:pStyle w:val="ListParagraph"/>
              <w:numPr>
                <w:ilvl w:val="0"/>
                <w:numId w:val="3"/>
                <w:numberingChange w:id="5" w:author="Unknown" w:date="2009-04-21T23:34:00Z" w:original="%1:1:4:."/>
              </w:numPr>
              <w:spacing w:after="0" w:line="240" w:lineRule="auto"/>
              <w:rPr>
                <w:color w:val="000000"/>
              </w:rPr>
            </w:pPr>
            <w:r w:rsidRPr="005B621F">
              <w:rPr>
                <w:color w:val="000000"/>
              </w:rPr>
              <w:t>The proposed issue raised for consideration;</w:t>
            </w:r>
          </w:p>
          <w:p w:rsidR="00A6114F" w:rsidRPr="005B621F" w:rsidRDefault="00A6114F" w:rsidP="00B766D4">
            <w:pPr>
              <w:pStyle w:val="ListParagraph"/>
              <w:numPr>
                <w:ilvl w:val="0"/>
                <w:numId w:val="3"/>
                <w:numberingChange w:id="6" w:author="Unknown" w:date="2009-04-21T23:34:00Z" w:original="%1:2:4:."/>
              </w:numPr>
              <w:spacing w:after="0" w:line="240" w:lineRule="auto"/>
              <w:rPr>
                <w:color w:val="000000"/>
              </w:rPr>
            </w:pPr>
            <w:r w:rsidRPr="005B621F">
              <w:rPr>
                <w:color w:val="000000"/>
              </w:rPr>
              <w:t xml:space="preserve"> The identity of the party submitting the issue;</w:t>
            </w:r>
          </w:p>
          <w:p w:rsidR="00A6114F" w:rsidRPr="005B621F" w:rsidRDefault="00A6114F" w:rsidP="00B766D4">
            <w:pPr>
              <w:pStyle w:val="ListParagraph"/>
              <w:numPr>
                <w:ilvl w:val="0"/>
                <w:numId w:val="3"/>
                <w:numberingChange w:id="7" w:author="Unknown" w:date="2009-04-21T23:34:00Z" w:original="%1:3:4:."/>
              </w:numPr>
              <w:spacing w:after="0" w:line="240" w:lineRule="auto"/>
              <w:rPr>
                <w:color w:val="000000"/>
              </w:rPr>
            </w:pPr>
            <w:r w:rsidRPr="005B621F">
              <w:rPr>
                <w:color w:val="000000"/>
              </w:rPr>
              <w:t>How that party is affected by the issue;</w:t>
            </w:r>
          </w:p>
          <w:p w:rsidR="00A6114F" w:rsidRPr="005B621F" w:rsidRDefault="00A6114F" w:rsidP="00B766D4">
            <w:pPr>
              <w:pStyle w:val="ListParagraph"/>
              <w:numPr>
                <w:ilvl w:val="0"/>
                <w:numId w:val="3"/>
                <w:numberingChange w:id="8" w:author="Unknown" w:date="2009-04-21T23:34:00Z" w:original="%1:4:4:."/>
              </w:numPr>
              <w:spacing w:after="0" w:line="240" w:lineRule="auto"/>
              <w:rPr>
                <w:color w:val="000000"/>
              </w:rPr>
            </w:pPr>
            <w:r w:rsidRPr="005B621F">
              <w:rPr>
                <w:color w:val="000000"/>
              </w:rPr>
              <w:t>Support for the issue to initiate the PDP;</w:t>
            </w:r>
          </w:p>
          <w:p w:rsidR="00A6114F" w:rsidRPr="005B621F" w:rsidRDefault="00A6114F" w:rsidP="00B766D4">
            <w:pPr>
              <w:pStyle w:val="ListParagraph"/>
              <w:numPr>
                <w:ilvl w:val="0"/>
                <w:numId w:val="3"/>
                <w:numberingChange w:id="9" w:author="Unknown" w:date="2009-04-21T23:34:00Z" w:original="%1:5:4:."/>
              </w:numPr>
              <w:spacing w:after="0" w:line="240" w:lineRule="auto"/>
              <w:rPr>
                <w:color w:val="000000"/>
              </w:rPr>
            </w:pPr>
            <w:r w:rsidRPr="005B621F">
              <w:rPr>
                <w:color w:val="000000"/>
              </w:rPr>
              <w:t>A recommendation from the Staff Manager as to whether the Council should initiate the PDP for this issue (the "Staff Recommendation"). Each Staff Recommendation shall include the opinion of the ICANN General Counsel regarding whether the issue proposed to initiate the PDP is properly within the scope of the ICANN policy process and within the scope of the GNSO. In determining whether the issue is properly within the scope of the ICANN policy process, the General Counsel shall examine whether such issue:</w:t>
            </w:r>
          </w:p>
          <w:p w:rsidR="00A6114F" w:rsidRPr="005B621F" w:rsidRDefault="00A6114F" w:rsidP="00B766D4">
            <w:pPr>
              <w:pStyle w:val="ListParagraph"/>
              <w:spacing w:after="0" w:line="240" w:lineRule="auto"/>
              <w:ind w:left="1422" w:hanging="342"/>
              <w:rPr>
                <w:color w:val="000000"/>
              </w:rPr>
            </w:pPr>
            <w:r w:rsidRPr="005B621F">
              <w:rPr>
                <w:color w:val="000000"/>
              </w:rPr>
              <w:t>1.   is within the scope of ICANN's mission statement;</w:t>
            </w:r>
          </w:p>
          <w:p w:rsidR="00A6114F" w:rsidRPr="005B621F" w:rsidRDefault="00A6114F" w:rsidP="00B766D4">
            <w:pPr>
              <w:pStyle w:val="ListParagraph"/>
              <w:spacing w:after="0" w:line="240" w:lineRule="auto"/>
              <w:ind w:left="1422" w:hanging="342"/>
              <w:rPr>
                <w:color w:val="000000"/>
              </w:rPr>
            </w:pPr>
            <w:r w:rsidRPr="005B621F">
              <w:rPr>
                <w:color w:val="000000"/>
              </w:rPr>
              <w:t>2. is broadly applicable to multiple situations or organizations;</w:t>
            </w:r>
          </w:p>
          <w:p w:rsidR="00A6114F" w:rsidRPr="005B621F" w:rsidRDefault="00A6114F" w:rsidP="00B766D4">
            <w:pPr>
              <w:pStyle w:val="ListParagraph"/>
              <w:spacing w:after="0" w:line="240" w:lineRule="auto"/>
              <w:ind w:left="1422" w:hanging="342"/>
              <w:rPr>
                <w:color w:val="000000"/>
              </w:rPr>
            </w:pPr>
            <w:r w:rsidRPr="005B621F">
              <w:rPr>
                <w:color w:val="000000"/>
              </w:rPr>
              <w:t>3. is likely to have lasting value or applicability, albeit with the need for occasional updates;</w:t>
            </w:r>
          </w:p>
          <w:p w:rsidR="00A6114F" w:rsidRPr="005B621F" w:rsidRDefault="00A6114F" w:rsidP="00B766D4">
            <w:pPr>
              <w:pStyle w:val="ListParagraph"/>
              <w:spacing w:after="0" w:line="240" w:lineRule="auto"/>
              <w:ind w:left="1422" w:hanging="342"/>
              <w:rPr>
                <w:color w:val="000000"/>
              </w:rPr>
            </w:pPr>
            <w:r w:rsidRPr="005B621F">
              <w:rPr>
                <w:color w:val="000000"/>
              </w:rPr>
              <w:t>4. will establish a guide or framework for future decision-making; or</w:t>
            </w:r>
          </w:p>
          <w:p w:rsidR="00A6114F" w:rsidRPr="005B621F" w:rsidRDefault="00A6114F" w:rsidP="00B766D4">
            <w:pPr>
              <w:pStyle w:val="ListParagraph"/>
              <w:spacing w:after="0" w:line="240" w:lineRule="auto"/>
              <w:ind w:left="1422" w:hanging="342"/>
              <w:rPr>
                <w:color w:val="000000"/>
              </w:rPr>
            </w:pPr>
            <w:r w:rsidRPr="005B621F">
              <w:rPr>
                <w:color w:val="000000"/>
              </w:rPr>
              <w:t>5. implicates or affects an existing ICANN policy.</w:t>
            </w:r>
          </w:p>
          <w:p w:rsidR="00A6114F" w:rsidRPr="005B621F" w:rsidRDefault="00A6114F" w:rsidP="00B766D4">
            <w:pPr>
              <w:pStyle w:val="ListParagraph"/>
              <w:spacing w:after="0" w:line="240" w:lineRule="auto"/>
              <w:ind w:left="1080"/>
              <w:rPr>
                <w:color w:val="000000"/>
              </w:rPr>
            </w:pPr>
          </w:p>
          <w:p w:rsidR="00A6114F" w:rsidRPr="005B621F" w:rsidRDefault="00A6114F" w:rsidP="00B766D4">
            <w:pPr>
              <w:spacing w:after="0" w:line="240" w:lineRule="auto"/>
              <w:ind w:left="1062" w:hanging="360"/>
              <w:rPr>
                <w:color w:val="000000"/>
              </w:rPr>
            </w:pPr>
            <w:r w:rsidRPr="005B621F">
              <w:rPr>
                <w:color w:val="000000"/>
              </w:rPr>
              <w:t xml:space="preserve">   f.  On or before the fifteen (15) day deadline, the Staff  Manager shall distribute the Issue Report to the full Council for a vote on whether to initiate the PDP, as discussed below.</w:t>
            </w:r>
          </w:p>
          <w:p w:rsidR="00A6114F" w:rsidRPr="005B621F" w:rsidRDefault="00A6114F" w:rsidP="00B766D4">
            <w:pPr>
              <w:spacing w:after="0" w:line="240" w:lineRule="auto"/>
            </w:pPr>
          </w:p>
          <w:p w:rsidR="00A6114F" w:rsidRPr="005B621F" w:rsidRDefault="00A6114F" w:rsidP="00B766D4">
            <w:pPr>
              <w:spacing w:after="0" w:line="240" w:lineRule="auto"/>
            </w:pPr>
          </w:p>
          <w:p w:rsidR="00A6114F" w:rsidRPr="005B621F" w:rsidRDefault="00A6114F" w:rsidP="00B766D4">
            <w:pPr>
              <w:spacing w:after="0" w:line="240" w:lineRule="auto"/>
            </w:pPr>
          </w:p>
        </w:tc>
        <w:tc>
          <w:tcPr>
            <w:tcW w:w="4770" w:type="dxa"/>
          </w:tcPr>
          <w:p w:rsidR="00A6114F" w:rsidRDefault="00A6114F" w:rsidP="005B621F">
            <w:pPr>
              <w:spacing w:after="0" w:line="240" w:lineRule="auto"/>
            </w:pPr>
          </w:p>
          <w:p w:rsidR="00A6114F" w:rsidRDefault="00A6114F" w:rsidP="005B621F">
            <w:pPr>
              <w:spacing w:after="0" w:line="240" w:lineRule="auto"/>
            </w:pPr>
            <w:r>
              <w:t xml:space="preserve">Discussed reviewing IETF “Birds of a Feather” (See RFC sent by Bertrand on list)  </w:t>
            </w:r>
          </w:p>
          <w:p w:rsidR="00A6114F" w:rsidRDefault="00A6114F" w:rsidP="005B621F">
            <w:pPr>
              <w:spacing w:after="0" w:line="240" w:lineRule="auto"/>
            </w:pPr>
          </w:p>
          <w:p w:rsidR="00A6114F" w:rsidRPr="00EA3F29" w:rsidRDefault="00A6114F" w:rsidP="005B621F">
            <w:pPr>
              <w:spacing w:after="0" w:line="240" w:lineRule="auto"/>
            </w:pPr>
            <w:r>
              <w:t xml:space="preserve">Suggestion to use a Briefing/Scoping White Paper similar to that used by the OECD that provides an executive summary of  research, information obtained through educational </w:t>
            </w:r>
            <w:r w:rsidRPr="00EA3F29">
              <w:t>workshops prior to creating an Issues Report This early paper could cover a, b and c in the current PDP; Council could then make a “go/no-go decision for more in depth Issues Paper which should be put out for public comment (this includes also d and e from current PDP).</w:t>
            </w:r>
          </w:p>
          <w:p w:rsidR="00A6114F" w:rsidRDefault="00A6114F" w:rsidP="00C94FCF">
            <w:pPr>
              <w:numPr>
                <w:ilvl w:val="0"/>
                <w:numId w:val="5"/>
                <w:numberingChange w:id="10" w:author="Unknown" w:date="2009-04-21T23:34:00Z" w:original=""/>
              </w:numPr>
              <w:spacing w:after="0" w:line="240" w:lineRule="auto"/>
            </w:pPr>
            <w:r>
              <w:t>Third party researchers could be used to gather the appropriate information</w:t>
            </w:r>
          </w:p>
          <w:p w:rsidR="00A6114F" w:rsidRDefault="00A6114F" w:rsidP="00C94FCF">
            <w:pPr>
              <w:numPr>
                <w:ilvl w:val="0"/>
                <w:numId w:val="5"/>
                <w:numberingChange w:id="11" w:author="Unknown" w:date="2009-04-21T23:34:00Z" w:original=""/>
              </w:numPr>
              <w:spacing w:after="0" w:line="240" w:lineRule="auto"/>
            </w:pPr>
            <w:r>
              <w:t>May delay process of initiating a PDP but may result in a better understanding of the issues and a more efficient use of the PDP process</w:t>
            </w:r>
          </w:p>
          <w:p w:rsidR="00A6114F" w:rsidRDefault="00A6114F" w:rsidP="00C94FCF">
            <w:pPr>
              <w:numPr>
                <w:ilvl w:val="0"/>
                <w:numId w:val="5"/>
                <w:numberingChange w:id="12" w:author="Unknown" w:date="2009-04-21T23:34:00Z" w:original=""/>
              </w:numPr>
              <w:spacing w:after="0" w:line="240" w:lineRule="auto"/>
            </w:pPr>
            <w:r>
              <w:t>Could be used to educate the GAC/other ACs on topics under consideration</w:t>
            </w:r>
          </w:p>
          <w:p w:rsidR="00A6114F" w:rsidRDefault="00A6114F" w:rsidP="00C94FCF">
            <w:pPr>
              <w:numPr>
                <w:ilvl w:val="0"/>
                <w:numId w:val="5"/>
                <w:numberingChange w:id="13" w:author="Unknown" w:date="2009-04-21T23:34:00Z" w:original=""/>
              </w:numPr>
              <w:spacing w:after="0" w:line="240" w:lineRule="auto"/>
            </w:pPr>
            <w:r>
              <w:t>After comment period, Council should then make a decision about going into a PDP.</w:t>
            </w:r>
          </w:p>
          <w:p w:rsidR="00A6114F" w:rsidRDefault="00A6114F" w:rsidP="007D1A93">
            <w:pPr>
              <w:spacing w:after="0" w:line="240" w:lineRule="auto"/>
              <w:ind w:left="360"/>
            </w:pPr>
          </w:p>
          <w:p w:rsidR="00A6114F" w:rsidRPr="00F976CF" w:rsidRDefault="00A6114F" w:rsidP="007D1A93">
            <w:pPr>
              <w:spacing w:after="0" w:line="240" w:lineRule="auto"/>
            </w:pPr>
            <w:r>
              <w:t>[</w:t>
            </w:r>
            <w:r>
              <w:rPr>
                <w:i/>
              </w:rPr>
              <w:t>Need to continue on this topic on next call</w:t>
            </w:r>
            <w:r>
              <w:t>]</w:t>
            </w:r>
          </w:p>
          <w:p w:rsidR="00A6114F" w:rsidRPr="005B621F" w:rsidRDefault="00A6114F" w:rsidP="005B621F">
            <w:pPr>
              <w:spacing w:after="0" w:line="240" w:lineRule="auto"/>
            </w:pPr>
          </w:p>
        </w:tc>
      </w:tr>
      <w:tr w:rsidR="00A6114F" w:rsidTr="00162516">
        <w:trPr>
          <w:gridAfter w:val="1"/>
          <w:wAfter w:w="3438" w:type="dxa"/>
        </w:trPr>
        <w:tc>
          <w:tcPr>
            <w:tcW w:w="3438" w:type="dxa"/>
          </w:tcPr>
          <w:p w:rsidR="00A6114F" w:rsidRPr="005B621F" w:rsidRDefault="00A6114F" w:rsidP="005B621F">
            <w:pPr>
              <w:spacing w:after="0" w:line="240" w:lineRule="auto"/>
              <w:rPr>
                <w:color w:val="000000"/>
              </w:rPr>
            </w:pPr>
            <w:r w:rsidRPr="005B621F">
              <w:rPr>
                <w:color w:val="000000"/>
              </w:rPr>
              <w:t>3.       Issues Scoping – identify the agreed upon goal of the PDP</w:t>
            </w:r>
          </w:p>
          <w:p w:rsidR="00A6114F" w:rsidRPr="005B621F" w:rsidRDefault="00A6114F" w:rsidP="005B621F">
            <w:pPr>
              <w:spacing w:after="0" w:line="240" w:lineRule="auto"/>
            </w:pPr>
          </w:p>
        </w:tc>
        <w:tc>
          <w:tcPr>
            <w:tcW w:w="4770" w:type="dxa"/>
          </w:tcPr>
          <w:p w:rsidR="00A6114F" w:rsidRPr="005B621F" w:rsidRDefault="00A6114F" w:rsidP="00B766D4">
            <w:pPr>
              <w:spacing w:after="0" w:line="240" w:lineRule="auto"/>
            </w:pPr>
            <w:r w:rsidRPr="005B621F">
              <w:t>Not Addressed.</w:t>
            </w:r>
          </w:p>
        </w:tc>
        <w:tc>
          <w:tcPr>
            <w:tcW w:w="4770" w:type="dxa"/>
          </w:tcPr>
          <w:p w:rsidR="00A6114F" w:rsidRPr="005B621F" w:rsidRDefault="00A6114F" w:rsidP="005B621F">
            <w:pPr>
              <w:spacing w:after="0" w:line="240" w:lineRule="auto"/>
            </w:pPr>
          </w:p>
        </w:tc>
      </w:tr>
      <w:tr w:rsidR="00A6114F" w:rsidTr="00162516">
        <w:trPr>
          <w:gridAfter w:val="1"/>
          <w:wAfter w:w="3438" w:type="dxa"/>
        </w:trPr>
        <w:tc>
          <w:tcPr>
            <w:tcW w:w="3438" w:type="dxa"/>
          </w:tcPr>
          <w:p w:rsidR="00A6114F" w:rsidRPr="005B621F" w:rsidRDefault="00A6114F" w:rsidP="005B621F">
            <w:pPr>
              <w:spacing w:after="0" w:line="240" w:lineRule="auto"/>
              <w:rPr>
                <w:color w:val="000000"/>
              </w:rPr>
            </w:pPr>
            <w:r w:rsidRPr="005B621F">
              <w:rPr>
                <w:color w:val="000000"/>
              </w:rPr>
              <w:t>4.       What can be the end result of a PDP</w:t>
            </w:r>
          </w:p>
          <w:p w:rsidR="00A6114F" w:rsidRPr="005B621F" w:rsidRDefault="00A6114F" w:rsidP="005B621F">
            <w:pPr>
              <w:spacing w:after="0" w:line="240" w:lineRule="auto"/>
            </w:pPr>
          </w:p>
        </w:tc>
        <w:tc>
          <w:tcPr>
            <w:tcW w:w="4770" w:type="dxa"/>
          </w:tcPr>
          <w:p w:rsidR="00A6114F" w:rsidRPr="005B621F" w:rsidRDefault="00A6114F" w:rsidP="00B766D4">
            <w:pPr>
              <w:spacing w:after="0" w:line="240" w:lineRule="auto"/>
            </w:pPr>
            <w:r w:rsidRPr="005B621F">
              <w:t>Not Addressed.</w:t>
            </w:r>
          </w:p>
        </w:tc>
        <w:tc>
          <w:tcPr>
            <w:tcW w:w="4770" w:type="dxa"/>
          </w:tcPr>
          <w:p w:rsidR="00A6114F" w:rsidRPr="005B621F" w:rsidRDefault="00A6114F" w:rsidP="005B621F">
            <w:pPr>
              <w:spacing w:after="0" w:line="240" w:lineRule="auto"/>
            </w:pPr>
          </w:p>
        </w:tc>
      </w:tr>
      <w:tr w:rsidR="00A6114F" w:rsidTr="00162516">
        <w:trPr>
          <w:gridAfter w:val="1"/>
          <w:wAfter w:w="3438" w:type="dxa"/>
        </w:trPr>
        <w:tc>
          <w:tcPr>
            <w:tcW w:w="3438" w:type="dxa"/>
          </w:tcPr>
          <w:p w:rsidR="00A6114F" w:rsidRPr="005B621F" w:rsidRDefault="00A6114F" w:rsidP="005B621F">
            <w:pPr>
              <w:spacing w:after="0" w:line="240" w:lineRule="auto"/>
              <w:rPr>
                <w:color w:val="000000"/>
              </w:rPr>
            </w:pPr>
            <w:r w:rsidRPr="005B621F">
              <w:rPr>
                <w:color w:val="000000"/>
              </w:rPr>
              <w:t>5.       The ongoing  role of the Office of the General Counsel in providing legal advice to the policy development process</w:t>
            </w:r>
          </w:p>
          <w:p w:rsidR="00A6114F" w:rsidRPr="005B621F" w:rsidRDefault="00A6114F" w:rsidP="005B621F">
            <w:pPr>
              <w:spacing w:after="0" w:line="240" w:lineRule="auto"/>
            </w:pPr>
          </w:p>
        </w:tc>
        <w:tc>
          <w:tcPr>
            <w:tcW w:w="4770" w:type="dxa"/>
          </w:tcPr>
          <w:p w:rsidR="00A6114F" w:rsidRPr="005B621F" w:rsidRDefault="00A6114F" w:rsidP="00B766D4">
            <w:pPr>
              <w:spacing w:after="0" w:line="240" w:lineRule="auto"/>
            </w:pPr>
            <w:r w:rsidRPr="005B621F">
              <w:t>See 2(e) above.</w:t>
            </w:r>
          </w:p>
        </w:tc>
        <w:tc>
          <w:tcPr>
            <w:tcW w:w="4770" w:type="dxa"/>
          </w:tcPr>
          <w:p w:rsidR="00A6114F" w:rsidRPr="005B621F" w:rsidRDefault="00A6114F" w:rsidP="005B621F">
            <w:pPr>
              <w:spacing w:after="0" w:line="240" w:lineRule="auto"/>
            </w:pPr>
          </w:p>
        </w:tc>
      </w:tr>
      <w:tr w:rsidR="00A6114F" w:rsidTr="00162516">
        <w:trPr>
          <w:gridAfter w:val="1"/>
          <w:wAfter w:w="3438" w:type="dxa"/>
        </w:trPr>
        <w:tc>
          <w:tcPr>
            <w:tcW w:w="3438" w:type="dxa"/>
          </w:tcPr>
          <w:p w:rsidR="00A6114F" w:rsidRPr="005B621F" w:rsidRDefault="00A6114F" w:rsidP="005B621F">
            <w:pPr>
              <w:spacing w:after="0" w:line="240" w:lineRule="auto"/>
              <w:rPr>
                <w:color w:val="000000"/>
              </w:rPr>
            </w:pPr>
            <w:r w:rsidRPr="005B621F">
              <w:rPr>
                <w:color w:val="000000"/>
              </w:rPr>
              <w:t>6.       How to incorporate public comments</w:t>
            </w:r>
          </w:p>
          <w:p w:rsidR="00A6114F" w:rsidRPr="005B621F" w:rsidRDefault="00A6114F" w:rsidP="005B621F">
            <w:pPr>
              <w:spacing w:after="0" w:line="240" w:lineRule="auto"/>
            </w:pPr>
          </w:p>
        </w:tc>
        <w:tc>
          <w:tcPr>
            <w:tcW w:w="4770" w:type="dxa"/>
          </w:tcPr>
          <w:p w:rsidR="00A6114F" w:rsidRPr="005B621F" w:rsidRDefault="00A6114F" w:rsidP="00B766D4">
            <w:pPr>
              <w:spacing w:after="0" w:line="240" w:lineRule="auto"/>
            </w:pPr>
            <w:r w:rsidRPr="005B621F">
              <w:t>Not Addressed.</w:t>
            </w:r>
          </w:p>
        </w:tc>
        <w:tc>
          <w:tcPr>
            <w:tcW w:w="4770" w:type="dxa"/>
          </w:tcPr>
          <w:p w:rsidR="00A6114F" w:rsidRPr="005B621F" w:rsidRDefault="00A6114F" w:rsidP="005B621F">
            <w:pPr>
              <w:spacing w:after="0" w:line="240" w:lineRule="auto"/>
            </w:pPr>
          </w:p>
        </w:tc>
      </w:tr>
      <w:tr w:rsidR="00A6114F" w:rsidTr="00162516">
        <w:trPr>
          <w:gridAfter w:val="1"/>
          <w:wAfter w:w="3438" w:type="dxa"/>
        </w:trPr>
        <w:tc>
          <w:tcPr>
            <w:tcW w:w="3438" w:type="dxa"/>
          </w:tcPr>
          <w:p w:rsidR="00A6114F" w:rsidRPr="005B621F" w:rsidRDefault="00A6114F" w:rsidP="005B621F">
            <w:pPr>
              <w:spacing w:after="0" w:line="240" w:lineRule="auto"/>
            </w:pPr>
            <w:r w:rsidRPr="005B621F">
              <w:t>7.  Whether to conduct informative workshops to educate the public</w:t>
            </w:r>
          </w:p>
        </w:tc>
        <w:tc>
          <w:tcPr>
            <w:tcW w:w="4770" w:type="dxa"/>
          </w:tcPr>
          <w:p w:rsidR="00A6114F" w:rsidRPr="005B621F" w:rsidRDefault="00A6114F" w:rsidP="00B766D4">
            <w:pPr>
              <w:spacing w:after="0" w:line="240" w:lineRule="auto"/>
            </w:pPr>
            <w:r w:rsidRPr="005B621F">
              <w:t>Not Addressed.</w:t>
            </w:r>
          </w:p>
        </w:tc>
        <w:tc>
          <w:tcPr>
            <w:tcW w:w="4770" w:type="dxa"/>
          </w:tcPr>
          <w:p w:rsidR="00A6114F" w:rsidRPr="005B621F" w:rsidRDefault="00A6114F" w:rsidP="005B621F">
            <w:pPr>
              <w:spacing w:after="0" w:line="240" w:lineRule="auto"/>
            </w:pPr>
          </w:p>
        </w:tc>
      </w:tr>
      <w:tr w:rsidR="00A6114F" w:rsidTr="00162516">
        <w:trPr>
          <w:gridAfter w:val="1"/>
          <w:wAfter w:w="3438" w:type="dxa"/>
        </w:trPr>
        <w:tc>
          <w:tcPr>
            <w:tcW w:w="3438" w:type="dxa"/>
          </w:tcPr>
          <w:p w:rsidR="00A6114F" w:rsidRPr="005B621F" w:rsidRDefault="00A6114F" w:rsidP="005B621F">
            <w:pPr>
              <w:spacing w:after="0" w:line="240" w:lineRule="auto"/>
            </w:pPr>
            <w:r w:rsidRPr="005B621F">
              <w:t> 8. How to make PDPs more efficient</w:t>
            </w:r>
          </w:p>
        </w:tc>
        <w:tc>
          <w:tcPr>
            <w:tcW w:w="4770" w:type="dxa"/>
          </w:tcPr>
          <w:p w:rsidR="00A6114F" w:rsidRPr="005B621F" w:rsidRDefault="00A6114F" w:rsidP="00B766D4">
            <w:pPr>
              <w:spacing w:after="0" w:line="240" w:lineRule="auto"/>
            </w:pPr>
            <w:r w:rsidRPr="005B621F">
              <w:t>Not Addressed.</w:t>
            </w:r>
          </w:p>
        </w:tc>
        <w:tc>
          <w:tcPr>
            <w:tcW w:w="4770" w:type="dxa"/>
          </w:tcPr>
          <w:p w:rsidR="00A6114F" w:rsidRPr="005B621F" w:rsidRDefault="00A6114F" w:rsidP="005B621F">
            <w:pPr>
              <w:spacing w:after="0" w:line="240" w:lineRule="auto"/>
            </w:pPr>
          </w:p>
        </w:tc>
      </w:tr>
      <w:tr w:rsidR="00A6114F" w:rsidTr="00162516">
        <w:trPr>
          <w:gridAfter w:val="1"/>
          <w:wAfter w:w="3438" w:type="dxa"/>
        </w:trPr>
        <w:tc>
          <w:tcPr>
            <w:tcW w:w="3438" w:type="dxa"/>
          </w:tcPr>
          <w:p w:rsidR="00A6114F" w:rsidRPr="005B621F" w:rsidRDefault="00A6114F" w:rsidP="005B621F">
            <w:pPr>
              <w:spacing w:after="0" w:line="240" w:lineRule="auto"/>
            </w:pPr>
            <w:r w:rsidRPr="005B621F">
              <w:t>9.  Expected Outcome of Planning/Initiation Phase</w:t>
            </w:r>
          </w:p>
        </w:tc>
        <w:tc>
          <w:tcPr>
            <w:tcW w:w="4770" w:type="dxa"/>
          </w:tcPr>
          <w:p w:rsidR="00A6114F" w:rsidRPr="005B621F" w:rsidRDefault="00A6114F" w:rsidP="00B766D4">
            <w:pPr>
              <w:spacing w:after="0" w:line="240" w:lineRule="auto"/>
            </w:pPr>
            <w:r w:rsidRPr="005B621F">
              <w:t>Not Addressed.</w:t>
            </w:r>
          </w:p>
        </w:tc>
        <w:tc>
          <w:tcPr>
            <w:tcW w:w="4770" w:type="dxa"/>
          </w:tcPr>
          <w:p w:rsidR="00A6114F" w:rsidRPr="005B621F" w:rsidRDefault="00A6114F" w:rsidP="005B621F">
            <w:pPr>
              <w:spacing w:after="0" w:line="240" w:lineRule="auto"/>
            </w:pPr>
          </w:p>
        </w:tc>
      </w:tr>
      <w:tr w:rsidR="00A6114F" w:rsidTr="00162516">
        <w:trPr>
          <w:gridAfter w:val="1"/>
          <w:wAfter w:w="3438" w:type="dxa"/>
        </w:trPr>
        <w:tc>
          <w:tcPr>
            <w:tcW w:w="3438" w:type="dxa"/>
          </w:tcPr>
          <w:p w:rsidR="00A6114F" w:rsidRPr="005B621F" w:rsidRDefault="00A6114F" w:rsidP="005B621F">
            <w:pPr>
              <w:spacing w:after="0" w:line="240" w:lineRule="auto"/>
            </w:pPr>
            <w:r w:rsidRPr="005B621F">
              <w:t>10.  Build in flexibility to allow for additional research and/or fact finding.</w:t>
            </w:r>
          </w:p>
        </w:tc>
        <w:tc>
          <w:tcPr>
            <w:tcW w:w="4770" w:type="dxa"/>
          </w:tcPr>
          <w:p w:rsidR="00A6114F" w:rsidRPr="005B621F" w:rsidRDefault="00A6114F" w:rsidP="00B766D4">
            <w:pPr>
              <w:spacing w:after="0" w:line="240" w:lineRule="auto"/>
            </w:pPr>
            <w:r w:rsidRPr="005B621F">
              <w:t>Not Addressed.</w:t>
            </w:r>
          </w:p>
        </w:tc>
        <w:tc>
          <w:tcPr>
            <w:tcW w:w="4770" w:type="dxa"/>
          </w:tcPr>
          <w:p w:rsidR="00A6114F" w:rsidRPr="005B621F" w:rsidRDefault="00A6114F" w:rsidP="005B621F">
            <w:pPr>
              <w:spacing w:after="0" w:line="240" w:lineRule="auto"/>
            </w:pPr>
          </w:p>
        </w:tc>
      </w:tr>
      <w:tr w:rsidR="00A6114F" w:rsidTr="00162516">
        <w:trPr>
          <w:gridAfter w:val="1"/>
          <w:wAfter w:w="3438" w:type="dxa"/>
        </w:trPr>
        <w:tc>
          <w:tcPr>
            <w:tcW w:w="3438" w:type="dxa"/>
          </w:tcPr>
          <w:p w:rsidR="00A6114F" w:rsidRPr="005B621F" w:rsidRDefault="00A6114F" w:rsidP="005B621F">
            <w:pPr>
              <w:spacing w:after="0" w:line="240" w:lineRule="auto"/>
              <w:rPr>
                <w:color w:val="000000"/>
              </w:rPr>
            </w:pPr>
            <w:r w:rsidRPr="005B621F">
              <w:rPr>
                <w:color w:val="000000"/>
              </w:rPr>
              <w:t>11.       Whether to conduct preliminary economic analysis, such as to evaluate market demands, impact to Community,  ICANN staff costs, and other resources needed from ICANN</w:t>
            </w:r>
          </w:p>
          <w:p w:rsidR="00A6114F" w:rsidRPr="005B621F" w:rsidRDefault="00A6114F" w:rsidP="005B621F">
            <w:pPr>
              <w:spacing w:after="0" w:line="240" w:lineRule="auto"/>
              <w:rPr>
                <w:color w:val="000000"/>
              </w:rPr>
            </w:pPr>
          </w:p>
        </w:tc>
        <w:tc>
          <w:tcPr>
            <w:tcW w:w="4770" w:type="dxa"/>
          </w:tcPr>
          <w:p w:rsidR="00A6114F" w:rsidRPr="005B621F" w:rsidRDefault="00A6114F" w:rsidP="00B766D4">
            <w:pPr>
              <w:spacing w:after="0" w:line="240" w:lineRule="auto"/>
            </w:pPr>
            <w:r w:rsidRPr="005B621F">
              <w:t>Not Addressed.</w:t>
            </w:r>
          </w:p>
        </w:tc>
        <w:tc>
          <w:tcPr>
            <w:tcW w:w="4770" w:type="dxa"/>
          </w:tcPr>
          <w:p w:rsidR="00A6114F" w:rsidRPr="005B621F" w:rsidRDefault="00A6114F" w:rsidP="005B621F">
            <w:pPr>
              <w:spacing w:after="0" w:line="240" w:lineRule="auto"/>
            </w:pPr>
          </w:p>
        </w:tc>
      </w:tr>
    </w:tbl>
    <w:p w:rsidR="00A6114F" w:rsidRDefault="00A6114F"/>
    <w:sectPr w:rsidR="00A6114F" w:rsidSect="0016251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14F" w:rsidRDefault="00A6114F" w:rsidP="0079185B">
      <w:pPr>
        <w:spacing w:after="0" w:line="240" w:lineRule="auto"/>
      </w:pPr>
      <w:r>
        <w:separator/>
      </w:r>
    </w:p>
  </w:endnote>
  <w:endnote w:type="continuationSeparator" w:id="1">
    <w:p w:rsidR="00A6114F" w:rsidRDefault="00A6114F" w:rsidP="00791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14F" w:rsidRDefault="00A6114F" w:rsidP="0079185B">
      <w:pPr>
        <w:spacing w:after="0" w:line="240" w:lineRule="auto"/>
      </w:pPr>
      <w:r>
        <w:separator/>
      </w:r>
    </w:p>
  </w:footnote>
  <w:footnote w:type="continuationSeparator" w:id="1">
    <w:p w:rsidR="00A6114F" w:rsidRDefault="00A6114F" w:rsidP="007918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D08"/>
    <w:multiLevelType w:val="hybridMultilevel"/>
    <w:tmpl w:val="D8ACC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12DE3"/>
    <w:multiLevelType w:val="hybridMultilevel"/>
    <w:tmpl w:val="3618A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1D4F1F"/>
    <w:multiLevelType w:val="hybridMultilevel"/>
    <w:tmpl w:val="4150F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4C47C9"/>
    <w:multiLevelType w:val="hybridMultilevel"/>
    <w:tmpl w:val="3D903F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F635796"/>
    <w:multiLevelType w:val="hybridMultilevel"/>
    <w:tmpl w:val="55921944"/>
    <w:lvl w:ilvl="0" w:tplc="12186AE6">
      <w:start w:val="1"/>
      <w:numFmt w:val="lowerLetter"/>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3944F7F"/>
    <w:multiLevelType w:val="hybridMultilevel"/>
    <w:tmpl w:val="49D025AA"/>
    <w:lvl w:ilvl="0" w:tplc="1BD88F8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trackRevision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185B"/>
    <w:rsid w:val="00004444"/>
    <w:rsid w:val="00064CE7"/>
    <w:rsid w:val="000D2F7C"/>
    <w:rsid w:val="00162516"/>
    <w:rsid w:val="001B4D7F"/>
    <w:rsid w:val="00225E2B"/>
    <w:rsid w:val="002336E9"/>
    <w:rsid w:val="0030698C"/>
    <w:rsid w:val="00327F87"/>
    <w:rsid w:val="003544CB"/>
    <w:rsid w:val="003C6C71"/>
    <w:rsid w:val="00453B30"/>
    <w:rsid w:val="005255C8"/>
    <w:rsid w:val="005B621F"/>
    <w:rsid w:val="005C0F5B"/>
    <w:rsid w:val="005E1AF3"/>
    <w:rsid w:val="006020D3"/>
    <w:rsid w:val="00644CB8"/>
    <w:rsid w:val="006D760B"/>
    <w:rsid w:val="00745D7E"/>
    <w:rsid w:val="00772ED5"/>
    <w:rsid w:val="0079185B"/>
    <w:rsid w:val="007941C0"/>
    <w:rsid w:val="007D1A93"/>
    <w:rsid w:val="008761AE"/>
    <w:rsid w:val="008B08A2"/>
    <w:rsid w:val="008C7509"/>
    <w:rsid w:val="0097530F"/>
    <w:rsid w:val="009B293F"/>
    <w:rsid w:val="009D4409"/>
    <w:rsid w:val="009F5299"/>
    <w:rsid w:val="009F5B12"/>
    <w:rsid w:val="00A0162C"/>
    <w:rsid w:val="00A07E46"/>
    <w:rsid w:val="00A12F68"/>
    <w:rsid w:val="00A41AE8"/>
    <w:rsid w:val="00A6114F"/>
    <w:rsid w:val="00A906C9"/>
    <w:rsid w:val="00AB2976"/>
    <w:rsid w:val="00AE7A88"/>
    <w:rsid w:val="00B133D0"/>
    <w:rsid w:val="00B41C5E"/>
    <w:rsid w:val="00B766D4"/>
    <w:rsid w:val="00B85E0D"/>
    <w:rsid w:val="00BB2EF1"/>
    <w:rsid w:val="00BD241F"/>
    <w:rsid w:val="00C04108"/>
    <w:rsid w:val="00C70A0A"/>
    <w:rsid w:val="00C7366D"/>
    <w:rsid w:val="00C94FCF"/>
    <w:rsid w:val="00CB3AF9"/>
    <w:rsid w:val="00CE2B12"/>
    <w:rsid w:val="00D11812"/>
    <w:rsid w:val="00D230C2"/>
    <w:rsid w:val="00DA13FE"/>
    <w:rsid w:val="00E85531"/>
    <w:rsid w:val="00EA3F29"/>
    <w:rsid w:val="00F0148F"/>
    <w:rsid w:val="00F16132"/>
    <w:rsid w:val="00F55ACE"/>
    <w:rsid w:val="00F8068A"/>
    <w:rsid w:val="00F868D2"/>
    <w:rsid w:val="00F976CF"/>
    <w:rsid w:val="00FE3E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5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9185B"/>
    <w:rPr>
      <w:sz w:val="24"/>
      <w:szCs w:val="24"/>
    </w:rPr>
  </w:style>
  <w:style w:type="character" w:customStyle="1" w:styleId="FootnoteTextChar">
    <w:name w:val="Footnote Text Char"/>
    <w:basedOn w:val="DefaultParagraphFont"/>
    <w:link w:val="FootnoteText"/>
    <w:uiPriority w:val="99"/>
    <w:semiHidden/>
    <w:locked/>
    <w:rsid w:val="0079185B"/>
    <w:rPr>
      <w:rFonts w:ascii="Calibri" w:hAnsi="Calibri" w:cs="Times New Roman"/>
      <w:sz w:val="24"/>
      <w:szCs w:val="24"/>
    </w:rPr>
  </w:style>
  <w:style w:type="character" w:styleId="FootnoteReference">
    <w:name w:val="footnote reference"/>
    <w:basedOn w:val="DefaultParagraphFont"/>
    <w:uiPriority w:val="99"/>
    <w:semiHidden/>
    <w:rsid w:val="0079185B"/>
    <w:rPr>
      <w:rFonts w:cs="Times New Roman"/>
      <w:vertAlign w:val="superscript"/>
    </w:rPr>
  </w:style>
  <w:style w:type="table" w:styleId="TableGrid">
    <w:name w:val="Table Grid"/>
    <w:basedOn w:val="TableNormal"/>
    <w:uiPriority w:val="99"/>
    <w:rsid w:val="00B85E0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45D7E"/>
    <w:pPr>
      <w:ind w:left="720"/>
      <w:contextualSpacing/>
    </w:pPr>
  </w:style>
  <w:style w:type="paragraph" w:styleId="BalloonText">
    <w:name w:val="Balloon Text"/>
    <w:basedOn w:val="Normal"/>
    <w:link w:val="BalloonTextChar"/>
    <w:uiPriority w:val="99"/>
    <w:semiHidden/>
    <w:rsid w:val="00F97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76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7656390">
      <w:marLeft w:val="0"/>
      <w:marRight w:val="0"/>
      <w:marTop w:val="0"/>
      <w:marBottom w:val="0"/>
      <w:divBdr>
        <w:top w:val="none" w:sz="0" w:space="0" w:color="auto"/>
        <w:left w:val="none" w:sz="0" w:space="0" w:color="auto"/>
        <w:bottom w:val="none" w:sz="0" w:space="0" w:color="auto"/>
        <w:right w:val="none" w:sz="0" w:space="0" w:color="auto"/>
      </w:divBdr>
    </w:div>
    <w:div w:id="2127656391">
      <w:marLeft w:val="0"/>
      <w:marRight w:val="0"/>
      <w:marTop w:val="0"/>
      <w:marBottom w:val="0"/>
      <w:divBdr>
        <w:top w:val="none" w:sz="0" w:space="0" w:color="auto"/>
        <w:left w:val="none" w:sz="0" w:space="0" w:color="auto"/>
        <w:bottom w:val="none" w:sz="0" w:space="0" w:color="auto"/>
        <w:right w:val="none" w:sz="0" w:space="0" w:color="auto"/>
      </w:divBdr>
    </w:div>
    <w:div w:id="2127656392">
      <w:marLeft w:val="0"/>
      <w:marRight w:val="0"/>
      <w:marTop w:val="0"/>
      <w:marBottom w:val="0"/>
      <w:divBdr>
        <w:top w:val="none" w:sz="0" w:space="0" w:color="auto"/>
        <w:left w:val="none" w:sz="0" w:space="0" w:color="auto"/>
        <w:bottom w:val="none" w:sz="0" w:space="0" w:color="auto"/>
        <w:right w:val="none" w:sz="0" w:space="0" w:color="auto"/>
      </w:divBdr>
    </w:div>
    <w:div w:id="2127656393">
      <w:marLeft w:val="0"/>
      <w:marRight w:val="0"/>
      <w:marTop w:val="0"/>
      <w:marBottom w:val="0"/>
      <w:divBdr>
        <w:top w:val="none" w:sz="0" w:space="0" w:color="auto"/>
        <w:left w:val="none" w:sz="0" w:space="0" w:color="auto"/>
        <w:bottom w:val="none" w:sz="0" w:space="0" w:color="auto"/>
        <w:right w:val="none" w:sz="0" w:space="0" w:color="auto"/>
      </w:divBdr>
    </w:div>
    <w:div w:id="2127656394">
      <w:marLeft w:val="0"/>
      <w:marRight w:val="0"/>
      <w:marTop w:val="0"/>
      <w:marBottom w:val="0"/>
      <w:divBdr>
        <w:top w:val="none" w:sz="0" w:space="0" w:color="auto"/>
        <w:left w:val="none" w:sz="0" w:space="0" w:color="auto"/>
        <w:bottom w:val="none" w:sz="0" w:space="0" w:color="auto"/>
        <w:right w:val="none" w:sz="0" w:space="0" w:color="auto"/>
      </w:divBdr>
    </w:div>
    <w:div w:id="2127656395">
      <w:marLeft w:val="0"/>
      <w:marRight w:val="0"/>
      <w:marTop w:val="0"/>
      <w:marBottom w:val="0"/>
      <w:divBdr>
        <w:top w:val="none" w:sz="0" w:space="0" w:color="auto"/>
        <w:left w:val="none" w:sz="0" w:space="0" w:color="auto"/>
        <w:bottom w:val="none" w:sz="0" w:space="0" w:color="auto"/>
        <w:right w:val="none" w:sz="0" w:space="0" w:color="auto"/>
      </w:divBdr>
    </w:div>
    <w:div w:id="2127656396">
      <w:marLeft w:val="0"/>
      <w:marRight w:val="0"/>
      <w:marTop w:val="0"/>
      <w:marBottom w:val="0"/>
      <w:divBdr>
        <w:top w:val="none" w:sz="0" w:space="0" w:color="auto"/>
        <w:left w:val="none" w:sz="0" w:space="0" w:color="auto"/>
        <w:bottom w:val="none" w:sz="0" w:space="0" w:color="auto"/>
        <w:right w:val="none" w:sz="0" w:space="0" w:color="auto"/>
      </w:divBdr>
    </w:div>
    <w:div w:id="2127656397">
      <w:marLeft w:val="0"/>
      <w:marRight w:val="0"/>
      <w:marTop w:val="0"/>
      <w:marBottom w:val="0"/>
      <w:divBdr>
        <w:top w:val="none" w:sz="0" w:space="0" w:color="auto"/>
        <w:left w:val="none" w:sz="0" w:space="0" w:color="auto"/>
        <w:bottom w:val="none" w:sz="0" w:space="0" w:color="auto"/>
        <w:right w:val="none" w:sz="0" w:space="0" w:color="auto"/>
      </w:divBdr>
    </w:div>
    <w:div w:id="2127656398">
      <w:marLeft w:val="0"/>
      <w:marRight w:val="0"/>
      <w:marTop w:val="0"/>
      <w:marBottom w:val="0"/>
      <w:divBdr>
        <w:top w:val="none" w:sz="0" w:space="0" w:color="auto"/>
        <w:left w:val="none" w:sz="0" w:space="0" w:color="auto"/>
        <w:bottom w:val="none" w:sz="0" w:space="0" w:color="auto"/>
        <w:right w:val="none" w:sz="0" w:space="0" w:color="auto"/>
      </w:divBdr>
    </w:div>
    <w:div w:id="2127656399">
      <w:marLeft w:val="0"/>
      <w:marRight w:val="0"/>
      <w:marTop w:val="0"/>
      <w:marBottom w:val="0"/>
      <w:divBdr>
        <w:top w:val="none" w:sz="0" w:space="0" w:color="auto"/>
        <w:left w:val="none" w:sz="0" w:space="0" w:color="auto"/>
        <w:bottom w:val="none" w:sz="0" w:space="0" w:color="auto"/>
        <w:right w:val="none" w:sz="0" w:space="0" w:color="auto"/>
      </w:divBdr>
    </w:div>
    <w:div w:id="2127656400">
      <w:marLeft w:val="0"/>
      <w:marRight w:val="0"/>
      <w:marTop w:val="0"/>
      <w:marBottom w:val="0"/>
      <w:divBdr>
        <w:top w:val="none" w:sz="0" w:space="0" w:color="auto"/>
        <w:left w:val="none" w:sz="0" w:space="0" w:color="auto"/>
        <w:bottom w:val="none" w:sz="0" w:space="0" w:color="auto"/>
        <w:right w:val="none" w:sz="0" w:space="0" w:color="auto"/>
      </w:divBdr>
    </w:div>
    <w:div w:id="2127656401">
      <w:marLeft w:val="0"/>
      <w:marRight w:val="0"/>
      <w:marTop w:val="0"/>
      <w:marBottom w:val="0"/>
      <w:divBdr>
        <w:top w:val="none" w:sz="0" w:space="0" w:color="auto"/>
        <w:left w:val="none" w:sz="0" w:space="0" w:color="auto"/>
        <w:bottom w:val="none" w:sz="0" w:space="0" w:color="auto"/>
        <w:right w:val="none" w:sz="0" w:space="0" w:color="auto"/>
      </w:divBdr>
    </w:div>
    <w:div w:id="2127656402">
      <w:marLeft w:val="0"/>
      <w:marRight w:val="0"/>
      <w:marTop w:val="0"/>
      <w:marBottom w:val="0"/>
      <w:divBdr>
        <w:top w:val="none" w:sz="0" w:space="0" w:color="auto"/>
        <w:left w:val="none" w:sz="0" w:space="0" w:color="auto"/>
        <w:bottom w:val="none" w:sz="0" w:space="0" w:color="auto"/>
        <w:right w:val="none" w:sz="0" w:space="0" w:color="auto"/>
      </w:divBdr>
    </w:div>
    <w:div w:id="2127656403">
      <w:marLeft w:val="0"/>
      <w:marRight w:val="0"/>
      <w:marTop w:val="0"/>
      <w:marBottom w:val="0"/>
      <w:divBdr>
        <w:top w:val="none" w:sz="0" w:space="0" w:color="auto"/>
        <w:left w:val="none" w:sz="0" w:space="0" w:color="auto"/>
        <w:bottom w:val="none" w:sz="0" w:space="0" w:color="auto"/>
        <w:right w:val="none" w:sz="0" w:space="0" w:color="auto"/>
      </w:divBdr>
    </w:div>
    <w:div w:id="2127656404">
      <w:marLeft w:val="0"/>
      <w:marRight w:val="0"/>
      <w:marTop w:val="0"/>
      <w:marBottom w:val="0"/>
      <w:divBdr>
        <w:top w:val="none" w:sz="0" w:space="0" w:color="auto"/>
        <w:left w:val="none" w:sz="0" w:space="0" w:color="auto"/>
        <w:bottom w:val="none" w:sz="0" w:space="0" w:color="auto"/>
        <w:right w:val="none" w:sz="0" w:space="0" w:color="auto"/>
      </w:divBdr>
    </w:div>
    <w:div w:id="2127656405">
      <w:marLeft w:val="0"/>
      <w:marRight w:val="0"/>
      <w:marTop w:val="0"/>
      <w:marBottom w:val="0"/>
      <w:divBdr>
        <w:top w:val="none" w:sz="0" w:space="0" w:color="auto"/>
        <w:left w:val="none" w:sz="0" w:space="0" w:color="auto"/>
        <w:bottom w:val="none" w:sz="0" w:space="0" w:color="auto"/>
        <w:right w:val="none" w:sz="0" w:space="0" w:color="auto"/>
      </w:divBdr>
    </w:div>
    <w:div w:id="2127656406">
      <w:marLeft w:val="0"/>
      <w:marRight w:val="0"/>
      <w:marTop w:val="0"/>
      <w:marBottom w:val="0"/>
      <w:divBdr>
        <w:top w:val="none" w:sz="0" w:space="0" w:color="auto"/>
        <w:left w:val="none" w:sz="0" w:space="0" w:color="auto"/>
        <w:bottom w:val="none" w:sz="0" w:space="0" w:color="auto"/>
        <w:right w:val="none" w:sz="0" w:space="0" w:color="auto"/>
      </w:divBdr>
    </w:div>
    <w:div w:id="2127656407">
      <w:marLeft w:val="0"/>
      <w:marRight w:val="0"/>
      <w:marTop w:val="0"/>
      <w:marBottom w:val="0"/>
      <w:divBdr>
        <w:top w:val="none" w:sz="0" w:space="0" w:color="auto"/>
        <w:left w:val="none" w:sz="0" w:space="0" w:color="auto"/>
        <w:bottom w:val="none" w:sz="0" w:space="0" w:color="auto"/>
        <w:right w:val="none" w:sz="0" w:space="0" w:color="auto"/>
      </w:divBdr>
    </w:div>
    <w:div w:id="2127656408">
      <w:marLeft w:val="0"/>
      <w:marRight w:val="0"/>
      <w:marTop w:val="0"/>
      <w:marBottom w:val="0"/>
      <w:divBdr>
        <w:top w:val="none" w:sz="0" w:space="0" w:color="auto"/>
        <w:left w:val="none" w:sz="0" w:space="0" w:color="auto"/>
        <w:bottom w:val="none" w:sz="0" w:space="0" w:color="auto"/>
        <w:right w:val="none" w:sz="0" w:space="0" w:color="auto"/>
      </w:divBdr>
    </w:div>
    <w:div w:id="2127656409">
      <w:marLeft w:val="0"/>
      <w:marRight w:val="0"/>
      <w:marTop w:val="0"/>
      <w:marBottom w:val="0"/>
      <w:divBdr>
        <w:top w:val="none" w:sz="0" w:space="0" w:color="auto"/>
        <w:left w:val="none" w:sz="0" w:space="0" w:color="auto"/>
        <w:bottom w:val="none" w:sz="0" w:space="0" w:color="auto"/>
        <w:right w:val="none" w:sz="0" w:space="0" w:color="auto"/>
      </w:divBdr>
    </w:div>
    <w:div w:id="2127656410">
      <w:marLeft w:val="0"/>
      <w:marRight w:val="0"/>
      <w:marTop w:val="0"/>
      <w:marBottom w:val="0"/>
      <w:divBdr>
        <w:top w:val="none" w:sz="0" w:space="0" w:color="auto"/>
        <w:left w:val="none" w:sz="0" w:space="0" w:color="auto"/>
        <w:bottom w:val="none" w:sz="0" w:space="0" w:color="auto"/>
        <w:right w:val="none" w:sz="0" w:space="0" w:color="auto"/>
      </w:divBdr>
    </w:div>
    <w:div w:id="2127656411">
      <w:marLeft w:val="0"/>
      <w:marRight w:val="0"/>
      <w:marTop w:val="0"/>
      <w:marBottom w:val="0"/>
      <w:divBdr>
        <w:top w:val="none" w:sz="0" w:space="0" w:color="auto"/>
        <w:left w:val="none" w:sz="0" w:space="0" w:color="auto"/>
        <w:bottom w:val="none" w:sz="0" w:space="0" w:color="auto"/>
        <w:right w:val="none" w:sz="0" w:space="0" w:color="auto"/>
      </w:divBdr>
    </w:div>
    <w:div w:id="2127656412">
      <w:marLeft w:val="0"/>
      <w:marRight w:val="0"/>
      <w:marTop w:val="0"/>
      <w:marBottom w:val="0"/>
      <w:divBdr>
        <w:top w:val="none" w:sz="0" w:space="0" w:color="auto"/>
        <w:left w:val="none" w:sz="0" w:space="0" w:color="auto"/>
        <w:bottom w:val="none" w:sz="0" w:space="0" w:color="auto"/>
        <w:right w:val="none" w:sz="0" w:space="0" w:color="auto"/>
      </w:divBdr>
    </w:div>
    <w:div w:id="2127656413">
      <w:marLeft w:val="0"/>
      <w:marRight w:val="0"/>
      <w:marTop w:val="0"/>
      <w:marBottom w:val="0"/>
      <w:divBdr>
        <w:top w:val="none" w:sz="0" w:space="0" w:color="auto"/>
        <w:left w:val="none" w:sz="0" w:space="0" w:color="auto"/>
        <w:bottom w:val="none" w:sz="0" w:space="0" w:color="auto"/>
        <w:right w:val="none" w:sz="0" w:space="0" w:color="auto"/>
      </w:divBdr>
    </w:div>
    <w:div w:id="2127656414">
      <w:marLeft w:val="0"/>
      <w:marRight w:val="0"/>
      <w:marTop w:val="0"/>
      <w:marBottom w:val="0"/>
      <w:divBdr>
        <w:top w:val="none" w:sz="0" w:space="0" w:color="auto"/>
        <w:left w:val="none" w:sz="0" w:space="0" w:color="auto"/>
        <w:bottom w:val="none" w:sz="0" w:space="0" w:color="auto"/>
        <w:right w:val="none" w:sz="0" w:space="0" w:color="auto"/>
      </w:divBdr>
    </w:div>
    <w:div w:id="2127656415">
      <w:marLeft w:val="0"/>
      <w:marRight w:val="0"/>
      <w:marTop w:val="0"/>
      <w:marBottom w:val="0"/>
      <w:divBdr>
        <w:top w:val="none" w:sz="0" w:space="0" w:color="auto"/>
        <w:left w:val="none" w:sz="0" w:space="0" w:color="auto"/>
        <w:bottom w:val="none" w:sz="0" w:space="0" w:color="auto"/>
        <w:right w:val="none" w:sz="0" w:space="0" w:color="auto"/>
      </w:divBdr>
    </w:div>
    <w:div w:id="2127656416">
      <w:marLeft w:val="0"/>
      <w:marRight w:val="0"/>
      <w:marTop w:val="0"/>
      <w:marBottom w:val="0"/>
      <w:divBdr>
        <w:top w:val="none" w:sz="0" w:space="0" w:color="auto"/>
        <w:left w:val="none" w:sz="0" w:space="0" w:color="auto"/>
        <w:bottom w:val="none" w:sz="0" w:space="0" w:color="auto"/>
        <w:right w:val="none" w:sz="0" w:space="0" w:color="auto"/>
      </w:divBdr>
    </w:div>
    <w:div w:id="2127656417">
      <w:marLeft w:val="0"/>
      <w:marRight w:val="0"/>
      <w:marTop w:val="0"/>
      <w:marBottom w:val="0"/>
      <w:divBdr>
        <w:top w:val="none" w:sz="0" w:space="0" w:color="auto"/>
        <w:left w:val="none" w:sz="0" w:space="0" w:color="auto"/>
        <w:bottom w:val="none" w:sz="0" w:space="0" w:color="auto"/>
        <w:right w:val="none" w:sz="0" w:space="0" w:color="auto"/>
      </w:divBdr>
    </w:div>
    <w:div w:id="2127656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739</Words>
  <Characters>4213</Characters>
  <Application>Microsoft Office Outlook</Application>
  <DocSecurity>0</DocSecurity>
  <Lines>0</Lines>
  <Paragraphs>0</Paragraphs>
  <ScaleCrop>false</ScaleCrop>
  <Company>NeuStar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Jeff Neuman</dc:creator>
  <cp:keywords/>
  <dc:description/>
  <cp:lastModifiedBy>IT</cp:lastModifiedBy>
  <cp:revision>3</cp:revision>
  <dcterms:created xsi:type="dcterms:W3CDTF">2009-04-22T05:34:00Z</dcterms:created>
  <dcterms:modified xsi:type="dcterms:W3CDTF">2009-04-22T05:34:00Z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oFAAfyEHtdkN2VXRk0DKnpEBExLQIJscQnjJ2j0iZOrOSJc4KSBvVCDkNF514zaAEQ3uwnvqe9Jetez/2o7lSdcmEgz2wPX/bfDIEId41KfohfX3Pi3PlpJ+0Btu8DWYW0XGKH9Afi5kiRxdfnn1xtupXHn6on15W+3BIrUjwMCGwBMoV3T+UlsR4cwanTnEEHz4a9tNwepvqBmqeFYTsRqRz33o+GLU+Z7iEOrg9I8LT3SQLGayX+7wV</vt:lpwstr>
  </property>
  <property fmtid="{D5CDD505-2E9C-101B-9397-08002B2CF9AE}" pid="3" name="MAIL_MSG_ID2">
    <vt:lpwstr>3IyFnAdYsg+8Ps1SpZPGvcfZDFDjig9AX7vBFJgIcOhmaVEiVCzgwLpCsxmi34/6jaGcfSA4mR43XJtTwBUQz6XhqJJvkYQ/iyJ7Ndk8V64</vt:lpwstr>
  </property>
  <property fmtid="{D5CDD505-2E9C-101B-9397-08002B2CF9AE}" pid="4" name="RESPONSE_SENDER_NAME">
    <vt:lpwstr>sAAAb0xRtPDW5Usx2qnCS6CqLoX5UQByetH8+fOpVflZ6TY=</vt:lpwstr>
  </property>
  <property fmtid="{D5CDD505-2E9C-101B-9397-08002B2CF9AE}" pid="5" name="EMAIL_OWNER_ADDRESS">
    <vt:lpwstr>4AAAMz5NUQ6P8J/RnFWEEyY0agWFUVJtZZhFi85WMuCrtrBb7G9nxIWL1g==</vt:lpwstr>
  </property>
</Properties>
</file>