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B833" w14:textId="15D6BC3D" w:rsidR="007674A6" w:rsidRDefault="007674A6" w:rsidP="00047BC2">
      <w:pPr>
        <w:spacing w:before="100" w:beforeAutospacing="1" w:after="100" w:afterAutospacing="1" w:line="240" w:lineRule="auto"/>
        <w:rPr>
          <w:rFonts w:ascii="Cambria" w:eastAsia="Times New Roman" w:hAnsi="Cambria"/>
          <w:b/>
          <w:szCs w:val="24"/>
        </w:rPr>
      </w:pPr>
      <w:r w:rsidRPr="00CC0D5D">
        <w:rPr>
          <w:rFonts w:ascii="Cambria" w:eastAsia="Times New Roman" w:hAnsi="Cambria"/>
          <w:b/>
          <w:szCs w:val="24"/>
        </w:rPr>
        <w:t>Background</w:t>
      </w:r>
      <w:r w:rsidR="002D4944">
        <w:rPr>
          <w:rFonts w:ascii="Cambria" w:eastAsia="Times New Roman" w:hAnsi="Cambria"/>
          <w:b/>
          <w:szCs w:val="24"/>
        </w:rPr>
        <w:t xml:space="preserve"> and </w:t>
      </w:r>
      <w:r w:rsidR="00EB6B14" w:rsidRPr="00CC0D5D">
        <w:rPr>
          <w:rFonts w:ascii="Cambria" w:eastAsia="Times New Roman" w:hAnsi="Cambria"/>
          <w:b/>
          <w:szCs w:val="24"/>
        </w:rPr>
        <w:t>Purpose</w:t>
      </w:r>
      <w:r w:rsidR="00663411">
        <w:rPr>
          <w:rFonts w:ascii="Cambria" w:eastAsia="Times New Roman" w:hAnsi="Cambria"/>
          <w:b/>
          <w:szCs w:val="24"/>
        </w:rPr>
        <w:t xml:space="preserve">  </w:t>
      </w:r>
    </w:p>
    <w:p w14:paraId="0A4254BC" w14:textId="00F96A77" w:rsidR="00B4020E" w:rsidRPr="00B4020E" w:rsidRDefault="00B4020E" w:rsidP="00047BC2">
      <w:pPr>
        <w:spacing w:before="100" w:beforeAutospacing="1" w:after="100" w:afterAutospacing="1" w:line="240" w:lineRule="auto"/>
        <w:rPr>
          <w:rFonts w:ascii="Times New Roman" w:eastAsia="Times New Roman" w:hAnsi="Times New Roman"/>
          <w:sz w:val="24"/>
          <w:szCs w:val="24"/>
        </w:rPr>
      </w:pPr>
      <w:r w:rsidRPr="00B4020E">
        <w:rPr>
          <w:rFonts w:ascii="Times New Roman" w:eastAsia="Times New Roman" w:hAnsi="Times New Roman"/>
          <w:sz w:val="24"/>
          <w:szCs w:val="24"/>
        </w:rPr>
        <w:t>The objective of the GNSO Review</w:t>
      </w:r>
      <w:r w:rsidR="00FC2520">
        <w:rPr>
          <w:rStyle w:val="FootnoteReference"/>
          <w:rFonts w:ascii="Times New Roman" w:eastAsia="Times New Roman" w:hAnsi="Times New Roman"/>
          <w:sz w:val="24"/>
          <w:szCs w:val="24"/>
        </w:rPr>
        <w:footnoteReference w:id="1"/>
      </w:r>
      <w:r w:rsidRPr="00B4020E">
        <w:rPr>
          <w:rFonts w:ascii="Times New Roman" w:eastAsia="Times New Roman" w:hAnsi="Times New Roman"/>
          <w:sz w:val="24"/>
          <w:szCs w:val="24"/>
        </w:rPr>
        <w:t xml:space="preserve"> is to examine organizational effectiveness of the GNSO, including its structure components (GNSO Council, GNSO Working Groups, GNSO Stakeholder Groups and Constituencies). The review </w:t>
      </w:r>
      <w:r w:rsidR="004B71FA">
        <w:rPr>
          <w:rFonts w:ascii="Times New Roman" w:eastAsia="Times New Roman" w:hAnsi="Times New Roman"/>
          <w:sz w:val="24"/>
          <w:szCs w:val="24"/>
        </w:rPr>
        <w:t xml:space="preserve">scheduled to begin on or about 1 July 2014 </w:t>
      </w:r>
      <w:r w:rsidRPr="00B4020E">
        <w:rPr>
          <w:rFonts w:ascii="Times New Roman" w:eastAsia="Times New Roman" w:hAnsi="Times New Roman"/>
          <w:sz w:val="24"/>
          <w:szCs w:val="24"/>
        </w:rPr>
        <w:t>will be tightly scoped based on objective and quantifiable criteria provided to the independent examiner.</w:t>
      </w:r>
    </w:p>
    <w:p w14:paraId="2BE710AD" w14:textId="689ABE7F" w:rsidR="00B4020E" w:rsidRPr="00B4020E" w:rsidRDefault="00B4020E" w:rsidP="00B4020E">
      <w:pPr>
        <w:spacing w:before="100" w:beforeAutospacing="1" w:after="100" w:afterAutospacing="1" w:line="240" w:lineRule="auto"/>
        <w:rPr>
          <w:rFonts w:ascii="Times New Roman" w:eastAsia="Times New Roman" w:hAnsi="Times New Roman"/>
          <w:sz w:val="24"/>
          <w:szCs w:val="24"/>
        </w:rPr>
      </w:pPr>
      <w:r w:rsidRPr="00B4020E">
        <w:rPr>
          <w:rFonts w:ascii="Times New Roman" w:eastAsia="Times New Roman" w:hAnsi="Times New Roman"/>
          <w:sz w:val="24"/>
          <w:szCs w:val="24"/>
        </w:rPr>
        <w:t>Involvement of the GNSO community as well as input and participation from the broader community are important components of this review process.</w:t>
      </w:r>
      <w:r w:rsidR="002E5E90">
        <w:rPr>
          <w:rFonts w:ascii="Times New Roman" w:eastAsia="Times New Roman" w:hAnsi="Times New Roman"/>
          <w:sz w:val="24"/>
          <w:szCs w:val="24"/>
        </w:rPr>
        <w:t xml:space="preserve">  </w:t>
      </w:r>
      <w:r w:rsidRPr="00B4020E">
        <w:rPr>
          <w:rFonts w:ascii="Times New Roman" w:eastAsia="Times New Roman" w:hAnsi="Times New Roman"/>
          <w:sz w:val="24"/>
          <w:szCs w:val="24"/>
        </w:rPr>
        <w:t xml:space="preserve">As discussed in GNSO Council meetings, </w:t>
      </w:r>
      <w:r w:rsidR="004B71FA">
        <w:rPr>
          <w:rFonts w:ascii="Times New Roman" w:eastAsia="Times New Roman" w:hAnsi="Times New Roman"/>
          <w:sz w:val="24"/>
          <w:szCs w:val="24"/>
        </w:rPr>
        <w:t>the Structural Improvements Committee of the Board (SIC) has requested</w:t>
      </w:r>
      <w:r w:rsidRPr="00B4020E">
        <w:rPr>
          <w:rFonts w:ascii="Times New Roman" w:eastAsia="Times New Roman" w:hAnsi="Times New Roman"/>
          <w:sz w:val="24"/>
          <w:szCs w:val="24"/>
        </w:rPr>
        <w:t xml:space="preserve"> that a GNSO Review Working Party be assembled to function as a liaison between the GNSO, the independent examiner and the SIC, to provide input on review criteria and the 360 Assessment, coordinate interviews and objectively supply clarification and responses to the draft findings and recommendations. Once a final report is issued and the Board takes action on it, as appropriate, the GNSO Review Working Party is expected to coordinate with the GNSO community to prepare an Implementation Plan and champion implementation of improvement activities.</w:t>
      </w:r>
    </w:p>
    <w:p w14:paraId="76FCC33F" w14:textId="6E0B177F" w:rsidR="0057376F" w:rsidRPr="00FE1B00" w:rsidRDefault="004B71FA" w:rsidP="001A7DF4">
      <w:pPr>
        <w:spacing w:before="100" w:beforeAutospacing="1" w:after="100" w:afterAutospacing="1" w:line="240" w:lineRule="auto"/>
        <w:rPr>
          <w:rFonts w:ascii="Times New Roman" w:eastAsia="Times New Roman" w:hAnsi="Times New Roman"/>
          <w:szCs w:val="24"/>
        </w:rPr>
      </w:pPr>
      <w:r w:rsidRPr="003D26C0">
        <w:rPr>
          <w:rFonts w:ascii="Times New Roman" w:eastAsia="Times New Roman" w:hAnsi="Times New Roman"/>
          <w:szCs w:val="24"/>
        </w:rPr>
        <w:t xml:space="preserve">Please see the recent </w:t>
      </w:r>
      <w:hyperlink r:id="rId9" w:history="1">
        <w:r w:rsidRPr="003D26C0">
          <w:rPr>
            <w:rStyle w:val="Hyperlink"/>
            <w:rFonts w:ascii="Times New Roman" w:eastAsia="Times New Roman" w:hAnsi="Times New Roman"/>
            <w:szCs w:val="24"/>
          </w:rPr>
          <w:t>announcement</w:t>
        </w:r>
      </w:hyperlink>
      <w:r w:rsidRPr="003D26C0">
        <w:rPr>
          <w:rFonts w:ascii="Times New Roman" w:eastAsia="Times New Roman" w:hAnsi="Times New Roman"/>
          <w:szCs w:val="24"/>
        </w:rPr>
        <w:t xml:space="preserve"> about the GNSO Review for additional information</w:t>
      </w:r>
      <w:r>
        <w:rPr>
          <w:rFonts w:ascii="Times New Roman" w:eastAsia="Times New Roman" w:hAnsi="Times New Roman"/>
          <w:szCs w:val="24"/>
        </w:rPr>
        <w:t xml:space="preserve"> and background</w:t>
      </w:r>
      <w:r w:rsidRPr="003D26C0">
        <w:rPr>
          <w:rFonts w:ascii="Times New Roman" w:eastAsia="Times New Roman" w:hAnsi="Times New Roman"/>
          <w:szCs w:val="24"/>
        </w:rPr>
        <w:t>.</w:t>
      </w:r>
    </w:p>
    <w:p w14:paraId="4474B112" w14:textId="2D0211AC" w:rsidR="00F961F3" w:rsidRPr="00CC0D5D" w:rsidRDefault="00F961F3" w:rsidP="00B13E66">
      <w:pPr>
        <w:spacing w:before="100" w:beforeAutospacing="1" w:after="100" w:afterAutospacing="1" w:line="240" w:lineRule="auto"/>
        <w:rPr>
          <w:rFonts w:ascii="Cambria" w:eastAsia="Times New Roman" w:hAnsi="Cambria"/>
          <w:b/>
          <w:szCs w:val="24"/>
        </w:rPr>
      </w:pPr>
      <w:r w:rsidRPr="00CC0D5D">
        <w:rPr>
          <w:rFonts w:ascii="Cambria" w:eastAsia="Times New Roman" w:hAnsi="Cambria"/>
          <w:b/>
          <w:szCs w:val="24"/>
        </w:rPr>
        <w:t>Responsibilities</w:t>
      </w:r>
      <w:r w:rsidR="009F41E9">
        <w:rPr>
          <w:rFonts w:ascii="Cambria" w:eastAsia="Times New Roman" w:hAnsi="Cambria"/>
          <w:b/>
          <w:szCs w:val="24"/>
        </w:rPr>
        <w:t xml:space="preserve"> and </w:t>
      </w:r>
      <w:r w:rsidR="006A530B">
        <w:rPr>
          <w:rFonts w:ascii="Cambria" w:eastAsia="Times New Roman" w:hAnsi="Cambria"/>
          <w:b/>
          <w:szCs w:val="24"/>
        </w:rPr>
        <w:t>Scope of W</w:t>
      </w:r>
      <w:r w:rsidR="009F41E9">
        <w:rPr>
          <w:rFonts w:ascii="Cambria" w:eastAsia="Times New Roman" w:hAnsi="Cambria"/>
          <w:b/>
          <w:szCs w:val="24"/>
        </w:rPr>
        <w:t>ork</w:t>
      </w:r>
    </w:p>
    <w:p w14:paraId="4BB9E285" w14:textId="18B3CC84" w:rsidR="00F961F3" w:rsidRPr="00C73CE9" w:rsidRDefault="00C73CE9" w:rsidP="00F0410E">
      <w:pPr>
        <w:spacing w:before="100" w:beforeAutospacing="1" w:after="100" w:afterAutospacing="1" w:line="240" w:lineRule="auto"/>
        <w:rPr>
          <w:rFonts w:ascii="Times New Roman" w:eastAsia="Times New Roman" w:hAnsi="Times New Roman"/>
          <w:szCs w:val="24"/>
        </w:rPr>
      </w:pPr>
      <w:r w:rsidRPr="00990718">
        <w:rPr>
          <w:rFonts w:ascii="Times New Roman" w:eastAsia="Times New Roman" w:hAnsi="Times New Roman"/>
          <w:sz w:val="24"/>
          <w:szCs w:val="24"/>
        </w:rPr>
        <w:t>Given the changing environment, including changes in participating stakeholders, and the lessons gleaned from the last review of the GNSO, the SIC considers the planning of the review to be of paramount importance in order to ensure that the recommendations for improvement are useful and implementable.</w:t>
      </w:r>
      <w:r w:rsidRPr="004B71FA">
        <w:rPr>
          <w:rFonts w:ascii="Times New Roman" w:eastAsia="Times New Roman" w:hAnsi="Times New Roman"/>
          <w:szCs w:val="24"/>
        </w:rPr>
        <w:t xml:space="preserve"> </w:t>
      </w:r>
      <w:r>
        <w:rPr>
          <w:rFonts w:ascii="Times New Roman" w:eastAsia="Times New Roman" w:hAnsi="Times New Roman"/>
          <w:szCs w:val="24"/>
        </w:rPr>
        <w:t xml:space="preserve">An important component of the GNSO Review process, </w:t>
      </w:r>
      <w:r>
        <w:rPr>
          <w:rFonts w:ascii="Times New Roman" w:eastAsia="Times New Roman" w:hAnsi="Times New Roman"/>
          <w:sz w:val="24"/>
          <w:szCs w:val="24"/>
        </w:rPr>
        <w:t>t</w:t>
      </w:r>
      <w:r w:rsidR="003C5541" w:rsidRPr="00B727FF">
        <w:rPr>
          <w:rFonts w:ascii="Times New Roman" w:eastAsia="Times New Roman" w:hAnsi="Times New Roman"/>
          <w:sz w:val="24"/>
          <w:szCs w:val="24"/>
        </w:rPr>
        <w:t>he GNSO Review Working Group Party</w:t>
      </w:r>
      <w:r w:rsidR="00A348C8" w:rsidRPr="00B727FF">
        <w:rPr>
          <w:rFonts w:ascii="Times New Roman" w:eastAsia="Times New Roman" w:hAnsi="Times New Roman"/>
          <w:sz w:val="24"/>
          <w:szCs w:val="24"/>
        </w:rPr>
        <w:t xml:space="preserve"> will be assembled to</w:t>
      </w:r>
      <w:r w:rsidR="00F961F3" w:rsidRPr="00B727FF">
        <w:rPr>
          <w:rFonts w:ascii="Times New Roman" w:eastAsia="Times New Roman" w:hAnsi="Times New Roman"/>
          <w:sz w:val="24"/>
          <w:szCs w:val="24"/>
        </w:rPr>
        <w:t>:</w:t>
      </w:r>
    </w:p>
    <w:p w14:paraId="3A333561" w14:textId="46D0F987" w:rsidR="009F41E9" w:rsidRPr="00B727FF" w:rsidRDefault="009F41E9" w:rsidP="00CB22CC">
      <w:pPr>
        <w:numPr>
          <w:ilvl w:val="0"/>
          <w:numId w:val="15"/>
        </w:numPr>
        <w:spacing w:before="100" w:beforeAutospacing="1" w:after="100" w:afterAutospacing="1" w:line="240" w:lineRule="auto"/>
        <w:rPr>
          <w:rFonts w:ascii="Times New Roman" w:eastAsia="Times New Roman" w:hAnsi="Times New Roman"/>
          <w:sz w:val="24"/>
          <w:szCs w:val="24"/>
        </w:rPr>
      </w:pPr>
      <w:r w:rsidRPr="00B727FF">
        <w:rPr>
          <w:rFonts w:ascii="Times New Roman" w:eastAsia="Times New Roman" w:hAnsi="Times New Roman"/>
          <w:sz w:val="24"/>
          <w:szCs w:val="24"/>
        </w:rPr>
        <w:t>Function as a liaison between the GNSO, the independent examiner and the SIC</w:t>
      </w:r>
      <w:r w:rsidR="00A348C8" w:rsidRPr="00B727FF">
        <w:rPr>
          <w:rFonts w:ascii="Times New Roman" w:eastAsia="Times New Roman" w:hAnsi="Times New Roman"/>
          <w:sz w:val="24"/>
          <w:szCs w:val="24"/>
        </w:rPr>
        <w:t>;</w:t>
      </w:r>
    </w:p>
    <w:p w14:paraId="3533E022" w14:textId="6BA3AA23" w:rsidR="00EE1884" w:rsidRPr="00B727FF" w:rsidRDefault="00C73CE9" w:rsidP="00CB22CC">
      <w:pPr>
        <w:numPr>
          <w:ilvl w:val="0"/>
          <w:numId w:val="1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w:t>
      </w:r>
      <w:r w:rsidR="00A348C8" w:rsidRPr="00B727FF">
        <w:rPr>
          <w:rFonts w:ascii="Times New Roman" w:eastAsia="Times New Roman" w:hAnsi="Times New Roman"/>
          <w:sz w:val="24"/>
          <w:szCs w:val="24"/>
        </w:rPr>
        <w:t>rovide input on review criteria and the 360 Assessment</w:t>
      </w:r>
      <w:r w:rsidR="005831C9">
        <w:rPr>
          <w:rStyle w:val="FootnoteReference"/>
          <w:rFonts w:ascii="Times New Roman" w:eastAsia="Times New Roman" w:hAnsi="Times New Roman"/>
          <w:sz w:val="24"/>
          <w:szCs w:val="24"/>
        </w:rPr>
        <w:footnoteReference w:id="2"/>
      </w:r>
      <w:r w:rsidR="00EE1884" w:rsidRPr="00B727FF">
        <w:rPr>
          <w:rFonts w:ascii="Times New Roman" w:eastAsia="Times New Roman" w:hAnsi="Times New Roman"/>
          <w:sz w:val="24"/>
          <w:szCs w:val="24"/>
        </w:rPr>
        <w:t>;</w:t>
      </w:r>
    </w:p>
    <w:p w14:paraId="4BF37B3B" w14:textId="1D6D72D3" w:rsidR="009A1DC2" w:rsidRPr="00FE1B00" w:rsidRDefault="00663411" w:rsidP="00CB22CC">
      <w:pPr>
        <w:numPr>
          <w:ilvl w:val="0"/>
          <w:numId w:val="15"/>
        </w:numPr>
        <w:spacing w:before="100" w:beforeAutospacing="1" w:after="100" w:afterAutospacing="1" w:line="240" w:lineRule="auto"/>
        <w:rPr>
          <w:rFonts w:ascii="Times New Roman" w:eastAsia="Times New Roman" w:hAnsi="Times New Roman"/>
          <w:sz w:val="24"/>
          <w:szCs w:val="24"/>
        </w:rPr>
      </w:pPr>
      <w:r w:rsidRPr="00B727FF">
        <w:rPr>
          <w:rFonts w:ascii="Times New Roman" w:eastAsia="Times New Roman" w:hAnsi="Times New Roman"/>
          <w:sz w:val="24"/>
          <w:szCs w:val="24"/>
        </w:rPr>
        <w:t>Serve as additional conduit for input from, and requests to, GNSO constituencies/stakeholder groups, Council</w:t>
      </w:r>
      <w:r w:rsidR="003D3ED0">
        <w:rPr>
          <w:rFonts w:ascii="Times New Roman" w:eastAsia="Times New Roman" w:hAnsi="Times New Roman"/>
          <w:sz w:val="24"/>
          <w:szCs w:val="24"/>
        </w:rPr>
        <w:t>;</w:t>
      </w:r>
    </w:p>
    <w:p w14:paraId="56CB70E8" w14:textId="36760F05" w:rsidR="00CA3338" w:rsidRPr="00B727FF" w:rsidRDefault="007F36BD" w:rsidP="00CB22CC">
      <w:pPr>
        <w:numPr>
          <w:ilvl w:val="0"/>
          <w:numId w:val="15"/>
        </w:numPr>
        <w:spacing w:before="100" w:beforeAutospacing="1" w:after="100" w:afterAutospacing="1" w:line="240" w:lineRule="auto"/>
        <w:rPr>
          <w:rFonts w:ascii="Times New Roman" w:eastAsia="Times New Roman" w:hAnsi="Times New Roman"/>
          <w:sz w:val="24"/>
          <w:szCs w:val="24"/>
        </w:rPr>
      </w:pPr>
      <w:r w:rsidRPr="00B727FF">
        <w:rPr>
          <w:rFonts w:ascii="Times New Roman" w:eastAsia="Times New Roman" w:hAnsi="Times New Roman"/>
          <w:sz w:val="24"/>
          <w:szCs w:val="24"/>
        </w:rPr>
        <w:t xml:space="preserve">Act as sounding board: </w:t>
      </w:r>
      <w:r w:rsidR="00A52DEE" w:rsidRPr="00B727FF">
        <w:rPr>
          <w:rFonts w:ascii="Times New Roman" w:eastAsia="Times New Roman" w:hAnsi="Times New Roman"/>
          <w:sz w:val="24"/>
          <w:szCs w:val="24"/>
        </w:rPr>
        <w:t>o</w:t>
      </w:r>
      <w:r w:rsidR="009A1DC2" w:rsidRPr="00B727FF">
        <w:rPr>
          <w:rFonts w:ascii="Times New Roman" w:eastAsia="Times New Roman" w:hAnsi="Times New Roman"/>
          <w:sz w:val="24"/>
          <w:szCs w:val="24"/>
        </w:rPr>
        <w:t xml:space="preserve">ffer </w:t>
      </w:r>
      <w:r w:rsidR="00CA3338" w:rsidRPr="00B727FF">
        <w:rPr>
          <w:rFonts w:ascii="Times New Roman" w:eastAsia="Times New Roman" w:hAnsi="Times New Roman"/>
          <w:sz w:val="24"/>
          <w:szCs w:val="24"/>
        </w:rPr>
        <w:t xml:space="preserve">objective </w:t>
      </w:r>
      <w:r w:rsidR="009A1DC2" w:rsidRPr="00B727FF">
        <w:rPr>
          <w:rFonts w:ascii="Times New Roman" w:eastAsia="Times New Roman" w:hAnsi="Times New Roman"/>
          <w:sz w:val="24"/>
          <w:szCs w:val="24"/>
        </w:rPr>
        <w:t xml:space="preserve">guidance, reactions </w:t>
      </w:r>
      <w:r w:rsidR="00B727FF" w:rsidRPr="00B727FF">
        <w:rPr>
          <w:rFonts w:ascii="Times New Roman" w:eastAsia="Times New Roman" w:hAnsi="Times New Roman"/>
          <w:sz w:val="24"/>
          <w:szCs w:val="24"/>
        </w:rPr>
        <w:t xml:space="preserve">and comments to any preliminary </w:t>
      </w:r>
      <w:r w:rsidR="009A1DC2" w:rsidRPr="00B727FF">
        <w:rPr>
          <w:rFonts w:ascii="Times New Roman" w:eastAsia="Times New Roman" w:hAnsi="Times New Roman"/>
          <w:sz w:val="24"/>
          <w:szCs w:val="24"/>
        </w:rPr>
        <w:t>conclusions and assessment</w:t>
      </w:r>
      <w:r w:rsidR="00CA3338" w:rsidRPr="00B727FF">
        <w:rPr>
          <w:rFonts w:ascii="Times New Roman" w:eastAsia="Times New Roman" w:hAnsi="Times New Roman"/>
          <w:sz w:val="24"/>
          <w:szCs w:val="24"/>
        </w:rPr>
        <w:t xml:space="preserve"> and </w:t>
      </w:r>
      <w:r w:rsidR="00663411" w:rsidRPr="00B727FF">
        <w:rPr>
          <w:rFonts w:ascii="Times New Roman" w:eastAsia="Times New Roman" w:hAnsi="Times New Roman"/>
          <w:sz w:val="24"/>
          <w:szCs w:val="24"/>
        </w:rPr>
        <w:t xml:space="preserve">helping to </w:t>
      </w:r>
      <w:r w:rsidR="00CA3338" w:rsidRPr="00B727FF">
        <w:rPr>
          <w:rFonts w:ascii="Times New Roman" w:eastAsia="Times New Roman" w:hAnsi="Times New Roman"/>
          <w:sz w:val="24"/>
          <w:szCs w:val="24"/>
        </w:rPr>
        <w:t xml:space="preserve">ensure the draft report issued by the independent </w:t>
      </w:r>
      <w:r w:rsidR="00B727FF" w:rsidRPr="00B727FF">
        <w:rPr>
          <w:rFonts w:ascii="Times New Roman" w:eastAsia="Times New Roman" w:hAnsi="Times New Roman"/>
          <w:sz w:val="24"/>
          <w:szCs w:val="24"/>
        </w:rPr>
        <w:t>examiner</w:t>
      </w:r>
      <w:r w:rsidR="00CA3338" w:rsidRPr="00B727FF">
        <w:rPr>
          <w:rFonts w:ascii="Times New Roman" w:eastAsia="Times New Roman" w:hAnsi="Times New Roman"/>
          <w:sz w:val="24"/>
          <w:szCs w:val="24"/>
        </w:rPr>
        <w:t xml:space="preserve"> accurately reflects </w:t>
      </w:r>
      <w:r w:rsidR="00A52DEE" w:rsidRPr="00B727FF">
        <w:rPr>
          <w:rFonts w:ascii="Times New Roman" w:eastAsia="Times New Roman" w:hAnsi="Times New Roman"/>
          <w:sz w:val="24"/>
          <w:szCs w:val="24"/>
        </w:rPr>
        <w:t>the GNSO structure, scope and dynamics;</w:t>
      </w:r>
    </w:p>
    <w:p w14:paraId="55B75264" w14:textId="5B5D87BE" w:rsidR="009A1DC2" w:rsidRPr="00B727FF" w:rsidRDefault="003D3ED0" w:rsidP="00CB22CC">
      <w:pPr>
        <w:numPr>
          <w:ilvl w:val="0"/>
          <w:numId w:val="15"/>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w:t>
      </w:r>
      <w:r w:rsidRPr="003D3ED0">
        <w:rPr>
          <w:rFonts w:ascii="Times New Roman" w:eastAsia="Times New Roman" w:hAnsi="Times New Roman"/>
          <w:sz w:val="24"/>
          <w:szCs w:val="24"/>
        </w:rPr>
        <w:t>oordinate with the GNSO community to prepare an Implementation Plan and champion implementation of improvement activities</w:t>
      </w:r>
      <w:r w:rsidR="007F36BD" w:rsidRPr="00B727FF">
        <w:rPr>
          <w:rFonts w:ascii="Times New Roman" w:eastAsia="Times New Roman" w:hAnsi="Times New Roman"/>
          <w:sz w:val="24"/>
          <w:szCs w:val="24"/>
        </w:rPr>
        <w:t>;</w:t>
      </w:r>
    </w:p>
    <w:p w14:paraId="138AE9DA" w14:textId="2110DD49" w:rsidR="002E5E90" w:rsidRPr="002E5E90" w:rsidRDefault="002A6B97" w:rsidP="006A530B">
      <w:pPr>
        <w:numPr>
          <w:ilvl w:val="0"/>
          <w:numId w:val="15"/>
        </w:numPr>
        <w:spacing w:before="100" w:beforeAutospacing="1" w:after="100" w:afterAutospacing="1" w:line="240" w:lineRule="auto"/>
        <w:rPr>
          <w:rFonts w:ascii="Times New Roman" w:eastAsia="Times New Roman" w:hAnsi="Times New Roman"/>
          <w:sz w:val="24"/>
          <w:szCs w:val="24"/>
        </w:rPr>
      </w:pPr>
      <w:r w:rsidRPr="00B727FF">
        <w:rPr>
          <w:rFonts w:ascii="Times New Roman" w:eastAsia="Times New Roman" w:hAnsi="Times New Roman"/>
          <w:sz w:val="24"/>
          <w:szCs w:val="24"/>
        </w:rPr>
        <w:t>Perform</w:t>
      </w:r>
      <w:r w:rsidR="00A264C7" w:rsidRPr="00B727FF">
        <w:rPr>
          <w:rFonts w:ascii="Times New Roman" w:eastAsia="Times New Roman" w:hAnsi="Times New Roman"/>
          <w:sz w:val="24"/>
          <w:szCs w:val="24"/>
        </w:rPr>
        <w:t xml:space="preserve"> </w:t>
      </w:r>
      <w:r w:rsidR="00B727FF" w:rsidRPr="00B727FF">
        <w:rPr>
          <w:rFonts w:ascii="Times New Roman" w:eastAsia="Times New Roman" w:hAnsi="Times New Roman"/>
          <w:sz w:val="24"/>
          <w:szCs w:val="24"/>
        </w:rPr>
        <w:t>s</w:t>
      </w:r>
      <w:r w:rsidR="0071348F" w:rsidRPr="00B727FF">
        <w:rPr>
          <w:rFonts w:ascii="Times New Roman" w:eastAsia="Times New Roman" w:hAnsi="Times New Roman"/>
          <w:sz w:val="24"/>
          <w:szCs w:val="24"/>
        </w:rPr>
        <w:t xml:space="preserve">upport </w:t>
      </w:r>
      <w:r w:rsidR="00A264C7" w:rsidRPr="00B727FF">
        <w:rPr>
          <w:rFonts w:ascii="Times New Roman" w:eastAsia="Times New Roman" w:hAnsi="Times New Roman"/>
          <w:sz w:val="24"/>
          <w:szCs w:val="24"/>
        </w:rPr>
        <w:t>communication/awareness activities to encourage participation</w:t>
      </w:r>
      <w:r w:rsidR="007E01A0" w:rsidRPr="00B727FF">
        <w:rPr>
          <w:rFonts w:ascii="Times New Roman" w:eastAsia="Times New Roman" w:hAnsi="Times New Roman"/>
          <w:sz w:val="24"/>
          <w:szCs w:val="24"/>
        </w:rPr>
        <w:t>;</w:t>
      </w:r>
    </w:p>
    <w:p w14:paraId="6E42CB3C" w14:textId="77777777" w:rsidR="004269D8" w:rsidRDefault="004269D8" w:rsidP="00EF134F">
      <w:pPr>
        <w:spacing w:before="100" w:beforeAutospacing="1" w:after="100" w:afterAutospacing="1" w:line="240" w:lineRule="auto"/>
        <w:rPr>
          <w:rFonts w:ascii="Cambria" w:eastAsia="Times New Roman" w:hAnsi="Cambria"/>
          <w:b/>
          <w:szCs w:val="24"/>
        </w:rPr>
      </w:pPr>
    </w:p>
    <w:p w14:paraId="137BB86E" w14:textId="77777777" w:rsidR="004269D8" w:rsidRDefault="004269D8" w:rsidP="00EF134F">
      <w:pPr>
        <w:spacing w:before="100" w:beforeAutospacing="1" w:after="100" w:afterAutospacing="1" w:line="240" w:lineRule="auto"/>
        <w:rPr>
          <w:rFonts w:ascii="Cambria" w:eastAsia="Times New Roman" w:hAnsi="Cambria"/>
          <w:b/>
          <w:szCs w:val="24"/>
        </w:rPr>
      </w:pPr>
    </w:p>
    <w:p w14:paraId="4299275F" w14:textId="77777777" w:rsidR="004269D8" w:rsidRDefault="004414A3" w:rsidP="00EF134F">
      <w:pPr>
        <w:spacing w:before="100" w:beforeAutospacing="1" w:after="100" w:afterAutospacing="1" w:line="240" w:lineRule="auto"/>
        <w:rPr>
          <w:rFonts w:ascii="Cambria" w:eastAsia="Times New Roman" w:hAnsi="Cambria"/>
          <w:b/>
          <w:szCs w:val="24"/>
        </w:rPr>
      </w:pPr>
      <w:r w:rsidRPr="00CC0D5D">
        <w:rPr>
          <w:rFonts w:ascii="Cambria" w:eastAsia="Times New Roman" w:hAnsi="Cambria"/>
          <w:b/>
          <w:szCs w:val="24"/>
        </w:rPr>
        <w:lastRenderedPageBreak/>
        <w:t>Membership</w:t>
      </w:r>
      <w:r w:rsidR="00CB22CC">
        <w:rPr>
          <w:rFonts w:ascii="Cambria" w:eastAsia="Times New Roman" w:hAnsi="Cambria"/>
          <w:b/>
          <w:szCs w:val="24"/>
        </w:rPr>
        <w:t xml:space="preserve"> and</w:t>
      </w:r>
      <w:r w:rsidR="003B203F" w:rsidRPr="00CC0D5D">
        <w:rPr>
          <w:rFonts w:ascii="Cambria" w:eastAsia="Times New Roman" w:hAnsi="Cambria"/>
          <w:b/>
          <w:szCs w:val="24"/>
        </w:rPr>
        <w:t xml:space="preserve"> Desired Skills</w:t>
      </w:r>
    </w:p>
    <w:p w14:paraId="3285427C" w14:textId="40CDF14E" w:rsidR="00B4499C" w:rsidRPr="004269D8" w:rsidRDefault="00B4499C" w:rsidP="00EF134F">
      <w:pPr>
        <w:spacing w:before="100" w:beforeAutospacing="1" w:after="100" w:afterAutospacing="1" w:line="240" w:lineRule="auto"/>
        <w:rPr>
          <w:rFonts w:ascii="Cambria" w:eastAsia="Times New Roman" w:hAnsi="Cambria"/>
          <w:b/>
          <w:szCs w:val="24"/>
        </w:rPr>
      </w:pPr>
      <w:r w:rsidRPr="00B727FF">
        <w:rPr>
          <w:rFonts w:ascii="Times New Roman" w:eastAsia="Times New Roman" w:hAnsi="Times New Roman"/>
          <w:sz w:val="24"/>
          <w:szCs w:val="24"/>
        </w:rPr>
        <w:t xml:space="preserve">The membership of the </w:t>
      </w:r>
      <w:r w:rsidR="00482D1C" w:rsidRPr="00B727FF">
        <w:rPr>
          <w:rFonts w:ascii="Times New Roman" w:eastAsia="Times New Roman" w:hAnsi="Times New Roman"/>
          <w:sz w:val="24"/>
          <w:szCs w:val="24"/>
        </w:rPr>
        <w:t xml:space="preserve">GNSO Review Working Party </w:t>
      </w:r>
      <w:r w:rsidR="00EF134F" w:rsidRPr="00B727FF">
        <w:rPr>
          <w:rFonts w:ascii="Times New Roman" w:eastAsia="Times New Roman" w:hAnsi="Times New Roman"/>
          <w:sz w:val="24"/>
          <w:szCs w:val="24"/>
        </w:rPr>
        <w:t xml:space="preserve">is proposed to include </w:t>
      </w:r>
      <w:r w:rsidR="00A400CF">
        <w:rPr>
          <w:rFonts w:ascii="Times New Roman" w:eastAsia="Times New Roman" w:hAnsi="Times New Roman"/>
          <w:sz w:val="24"/>
          <w:szCs w:val="24"/>
        </w:rPr>
        <w:t xml:space="preserve">members </w:t>
      </w:r>
      <w:r w:rsidR="007127E8">
        <w:rPr>
          <w:rFonts w:ascii="Times New Roman" w:eastAsia="Times New Roman" w:hAnsi="Times New Roman"/>
          <w:sz w:val="24"/>
          <w:szCs w:val="24"/>
        </w:rPr>
        <w:t>representing the diversity of the GNSO community</w:t>
      </w:r>
      <w:r w:rsidR="00EF134F" w:rsidRPr="00B727FF">
        <w:rPr>
          <w:rFonts w:ascii="Times New Roman" w:eastAsia="Times New Roman" w:hAnsi="Times New Roman"/>
          <w:sz w:val="24"/>
          <w:szCs w:val="24"/>
        </w:rPr>
        <w:t>.</w:t>
      </w:r>
      <w:r w:rsidR="00A83E43" w:rsidRPr="00B727FF">
        <w:rPr>
          <w:rFonts w:ascii="Times New Roman" w:eastAsia="Times New Roman" w:hAnsi="Times New Roman"/>
          <w:sz w:val="24"/>
          <w:szCs w:val="24"/>
        </w:rPr>
        <w:t xml:space="preserve">  </w:t>
      </w:r>
      <w:r w:rsidR="00BE5ED1">
        <w:rPr>
          <w:rFonts w:ascii="Times New Roman" w:eastAsia="Times New Roman" w:hAnsi="Times New Roman"/>
          <w:sz w:val="24"/>
          <w:szCs w:val="24"/>
        </w:rPr>
        <w:t xml:space="preserve"> The </w:t>
      </w:r>
      <w:r w:rsidR="00287B8B">
        <w:rPr>
          <w:rFonts w:ascii="Times New Roman" w:eastAsia="Times New Roman" w:hAnsi="Times New Roman"/>
          <w:sz w:val="24"/>
          <w:szCs w:val="24"/>
        </w:rPr>
        <w:t>activities</w:t>
      </w:r>
      <w:r w:rsidR="00BE5ED1">
        <w:rPr>
          <w:rFonts w:ascii="Times New Roman" w:eastAsia="Times New Roman" w:hAnsi="Times New Roman"/>
          <w:sz w:val="24"/>
          <w:szCs w:val="24"/>
        </w:rPr>
        <w:t xml:space="preserve"> of th</w:t>
      </w:r>
      <w:r w:rsidR="00287B8B">
        <w:rPr>
          <w:rFonts w:ascii="Times New Roman" w:eastAsia="Times New Roman" w:hAnsi="Times New Roman"/>
          <w:sz w:val="24"/>
          <w:szCs w:val="24"/>
        </w:rPr>
        <w:t>e</w:t>
      </w:r>
      <w:r w:rsidR="00BE5ED1">
        <w:rPr>
          <w:rFonts w:ascii="Times New Roman" w:eastAsia="Times New Roman" w:hAnsi="Times New Roman"/>
          <w:sz w:val="24"/>
          <w:szCs w:val="24"/>
        </w:rPr>
        <w:t xml:space="preserve"> GNSO Review Working Party will be conducted in an open an</w:t>
      </w:r>
      <w:r w:rsidR="00287B8B">
        <w:rPr>
          <w:rFonts w:ascii="Times New Roman" w:eastAsia="Times New Roman" w:hAnsi="Times New Roman"/>
          <w:sz w:val="24"/>
          <w:szCs w:val="24"/>
        </w:rPr>
        <w:t>d</w:t>
      </w:r>
      <w:r w:rsidR="00BE5ED1">
        <w:rPr>
          <w:rFonts w:ascii="Times New Roman" w:eastAsia="Times New Roman" w:hAnsi="Times New Roman"/>
          <w:sz w:val="24"/>
          <w:szCs w:val="24"/>
        </w:rPr>
        <w:t xml:space="preserve"> fully transparent manner</w:t>
      </w:r>
      <w:r w:rsidR="00287B8B">
        <w:rPr>
          <w:rFonts w:ascii="Times New Roman" w:eastAsia="Times New Roman" w:hAnsi="Times New Roman"/>
          <w:sz w:val="24"/>
          <w:szCs w:val="24"/>
        </w:rPr>
        <w:t xml:space="preserve">. Any individual </w:t>
      </w:r>
      <w:r w:rsidR="00BE5ED1">
        <w:rPr>
          <w:rFonts w:ascii="Times New Roman" w:eastAsia="Times New Roman" w:hAnsi="Times New Roman"/>
          <w:sz w:val="24"/>
          <w:szCs w:val="24"/>
        </w:rPr>
        <w:t xml:space="preserve">wishing to provide input </w:t>
      </w:r>
      <w:r w:rsidR="00287B8B">
        <w:rPr>
          <w:rFonts w:ascii="Times New Roman" w:eastAsia="Times New Roman" w:hAnsi="Times New Roman"/>
          <w:sz w:val="24"/>
          <w:szCs w:val="24"/>
        </w:rPr>
        <w:t>is</w:t>
      </w:r>
      <w:r w:rsidR="00BE5ED1">
        <w:rPr>
          <w:rFonts w:ascii="Times New Roman" w:eastAsia="Times New Roman" w:hAnsi="Times New Roman"/>
          <w:sz w:val="24"/>
          <w:szCs w:val="24"/>
        </w:rPr>
        <w:t xml:space="preserve"> welcome to participate either as a member of the Working Party or </w:t>
      </w:r>
      <w:r w:rsidR="00287B8B">
        <w:rPr>
          <w:rFonts w:ascii="Times New Roman" w:eastAsia="Times New Roman" w:hAnsi="Times New Roman"/>
          <w:sz w:val="24"/>
          <w:szCs w:val="24"/>
        </w:rPr>
        <w:t>by providing feedback to the GNSO Review Working Party.</w:t>
      </w:r>
    </w:p>
    <w:p w14:paraId="3D54564E" w14:textId="14D83C89" w:rsidR="003B203F" w:rsidRPr="002370DC" w:rsidRDefault="004B5E99" w:rsidP="00EF134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w:t>
      </w:r>
      <w:r w:rsidR="00B727FF" w:rsidRPr="002370DC">
        <w:rPr>
          <w:rFonts w:ascii="Times New Roman" w:eastAsia="Times New Roman" w:hAnsi="Times New Roman"/>
          <w:sz w:val="24"/>
          <w:szCs w:val="24"/>
        </w:rPr>
        <w:t>nowledge of the GNSO structure and operat</w:t>
      </w:r>
      <w:r w:rsidR="000B578B">
        <w:rPr>
          <w:rFonts w:ascii="Times New Roman" w:eastAsia="Times New Roman" w:hAnsi="Times New Roman"/>
          <w:sz w:val="24"/>
          <w:szCs w:val="24"/>
        </w:rPr>
        <w:t xml:space="preserve">ions as well as experience in </w:t>
      </w:r>
      <w:r w:rsidR="00B727FF" w:rsidRPr="002370DC">
        <w:rPr>
          <w:rFonts w:ascii="Times New Roman" w:eastAsia="Times New Roman" w:hAnsi="Times New Roman"/>
          <w:sz w:val="24"/>
          <w:szCs w:val="24"/>
        </w:rPr>
        <w:t>evaluating performance and processes</w:t>
      </w:r>
      <w:r w:rsidR="000B578B">
        <w:rPr>
          <w:rFonts w:ascii="Times New Roman" w:eastAsia="Times New Roman" w:hAnsi="Times New Roman"/>
          <w:sz w:val="24"/>
          <w:szCs w:val="24"/>
        </w:rPr>
        <w:t xml:space="preserve"> based on a set of objective criteria</w:t>
      </w:r>
      <w:r w:rsidR="00B727FF" w:rsidRPr="002370DC">
        <w:rPr>
          <w:rFonts w:ascii="Times New Roman" w:eastAsia="Times New Roman" w:hAnsi="Times New Roman"/>
          <w:sz w:val="24"/>
          <w:szCs w:val="24"/>
        </w:rPr>
        <w:t xml:space="preserve"> would be useful.  </w:t>
      </w:r>
      <w:r w:rsidR="003B203F" w:rsidRPr="002370DC">
        <w:rPr>
          <w:rFonts w:ascii="Times New Roman" w:eastAsia="Times New Roman" w:hAnsi="Times New Roman"/>
          <w:sz w:val="24"/>
          <w:szCs w:val="24"/>
        </w:rPr>
        <w:t>Members are expected to participate actively and to devote sufficient time</w:t>
      </w:r>
      <w:r w:rsidR="00EA583D" w:rsidRPr="002370DC">
        <w:rPr>
          <w:rFonts w:ascii="Times New Roman" w:eastAsia="Times New Roman" w:hAnsi="Times New Roman"/>
          <w:sz w:val="24"/>
          <w:szCs w:val="24"/>
        </w:rPr>
        <w:t xml:space="preserve"> to the process</w:t>
      </w:r>
      <w:r w:rsidR="003B203F" w:rsidRPr="002370DC">
        <w:rPr>
          <w:rFonts w:ascii="Times New Roman" w:eastAsia="Times New Roman" w:hAnsi="Times New Roman"/>
          <w:sz w:val="24"/>
          <w:szCs w:val="24"/>
        </w:rPr>
        <w:t>.</w:t>
      </w:r>
      <w:r w:rsidR="00C73A41" w:rsidRPr="002370DC">
        <w:rPr>
          <w:rFonts w:ascii="Times New Roman" w:eastAsia="Times New Roman" w:hAnsi="Times New Roman"/>
          <w:sz w:val="24"/>
          <w:szCs w:val="24"/>
        </w:rPr>
        <w:t xml:space="preserve">  Time commitment is expected to be</w:t>
      </w:r>
      <w:r w:rsidR="00ED570F">
        <w:rPr>
          <w:rFonts w:ascii="Times New Roman" w:eastAsia="Times New Roman" w:hAnsi="Times New Roman"/>
          <w:sz w:val="24"/>
          <w:szCs w:val="24"/>
        </w:rPr>
        <w:t xml:space="preserve"> 50 – </w:t>
      </w:r>
      <w:bookmarkStart w:id="0" w:name="_GoBack"/>
      <w:bookmarkEnd w:id="0"/>
      <w:r w:rsidR="00ED570F">
        <w:rPr>
          <w:rFonts w:ascii="Times New Roman" w:eastAsia="Times New Roman" w:hAnsi="Times New Roman"/>
          <w:sz w:val="24"/>
          <w:szCs w:val="24"/>
        </w:rPr>
        <w:t>80</w:t>
      </w:r>
      <w:r w:rsidR="00CD01D3" w:rsidRPr="002370DC">
        <w:rPr>
          <w:rFonts w:ascii="Times New Roman" w:eastAsia="Times New Roman" w:hAnsi="Times New Roman"/>
          <w:sz w:val="24"/>
          <w:szCs w:val="24"/>
        </w:rPr>
        <w:t xml:space="preserve"> hours</w:t>
      </w:r>
      <w:r w:rsidR="00B727FF" w:rsidRPr="002370DC">
        <w:rPr>
          <w:rFonts w:ascii="Times New Roman" w:eastAsia="Times New Roman" w:hAnsi="Times New Roman"/>
          <w:sz w:val="24"/>
          <w:szCs w:val="24"/>
        </w:rPr>
        <w:t xml:space="preserve"> within the next 9 months.  </w:t>
      </w:r>
      <w:r w:rsidR="00642116" w:rsidRPr="002370DC">
        <w:rPr>
          <w:rFonts w:ascii="Times New Roman" w:eastAsia="Times New Roman" w:hAnsi="Times New Roman"/>
          <w:sz w:val="24"/>
          <w:szCs w:val="24"/>
        </w:rPr>
        <w:t xml:space="preserve"> </w:t>
      </w:r>
      <w:r w:rsidR="00A52DEE" w:rsidRPr="002370DC">
        <w:rPr>
          <w:rFonts w:ascii="Times New Roman" w:eastAsia="Times New Roman" w:hAnsi="Times New Roman"/>
          <w:sz w:val="24"/>
          <w:szCs w:val="24"/>
        </w:rPr>
        <w:t>Commitment to</w:t>
      </w:r>
      <w:r w:rsidR="00EA583D" w:rsidRPr="002370DC">
        <w:rPr>
          <w:rFonts w:ascii="Times New Roman" w:eastAsia="Times New Roman" w:hAnsi="Times New Roman"/>
          <w:sz w:val="24"/>
          <w:szCs w:val="24"/>
        </w:rPr>
        <w:t xml:space="preserve"> and compliance with</w:t>
      </w:r>
      <w:r w:rsidR="00A52DEE" w:rsidRPr="002370DC">
        <w:rPr>
          <w:rFonts w:ascii="Times New Roman" w:eastAsia="Times New Roman" w:hAnsi="Times New Roman"/>
          <w:sz w:val="24"/>
          <w:szCs w:val="24"/>
        </w:rPr>
        <w:t xml:space="preserve"> ICANN’s bottom-up, multistakeholder model, and accounta</w:t>
      </w:r>
      <w:r w:rsidR="00EA583D" w:rsidRPr="002370DC">
        <w:rPr>
          <w:rFonts w:ascii="Times New Roman" w:eastAsia="Times New Roman" w:hAnsi="Times New Roman"/>
          <w:sz w:val="24"/>
          <w:szCs w:val="24"/>
        </w:rPr>
        <w:t>bility and transparency ethics are</w:t>
      </w:r>
      <w:r w:rsidR="00A52DEE" w:rsidRPr="002370DC">
        <w:rPr>
          <w:rFonts w:ascii="Times New Roman" w:eastAsia="Times New Roman" w:hAnsi="Times New Roman"/>
          <w:sz w:val="24"/>
          <w:szCs w:val="24"/>
        </w:rPr>
        <w:t xml:space="preserve"> a requirement. </w:t>
      </w:r>
    </w:p>
    <w:p w14:paraId="677FBE35" w14:textId="68BA7475" w:rsidR="000317B6" w:rsidRPr="00CC0D5D" w:rsidRDefault="000317B6" w:rsidP="00B13E66">
      <w:pPr>
        <w:spacing w:before="100" w:beforeAutospacing="1" w:after="100" w:afterAutospacing="1" w:line="240" w:lineRule="auto"/>
        <w:rPr>
          <w:rFonts w:ascii="Cambria" w:eastAsia="Times New Roman" w:hAnsi="Cambria"/>
          <w:b/>
          <w:szCs w:val="24"/>
        </w:rPr>
      </w:pPr>
      <w:r w:rsidRPr="00CC0D5D">
        <w:rPr>
          <w:rFonts w:ascii="Cambria" w:eastAsia="Times New Roman" w:hAnsi="Cambria"/>
          <w:b/>
          <w:szCs w:val="24"/>
        </w:rPr>
        <w:t>Timeline</w:t>
      </w:r>
      <w:r w:rsidR="00234050" w:rsidRPr="00CC0D5D">
        <w:rPr>
          <w:rFonts w:ascii="Cambria" w:eastAsia="Times New Roman" w:hAnsi="Cambria"/>
          <w:b/>
          <w:szCs w:val="24"/>
        </w:rPr>
        <w:t xml:space="preserve"> </w:t>
      </w:r>
      <w:r w:rsidR="002370DC">
        <w:rPr>
          <w:rFonts w:ascii="Cambria" w:eastAsia="Times New Roman" w:hAnsi="Cambria"/>
          <w:b/>
          <w:szCs w:val="24"/>
        </w:rPr>
        <w:t xml:space="preserve">and </w:t>
      </w:r>
      <w:r w:rsidR="00234050" w:rsidRPr="00CC0D5D">
        <w:rPr>
          <w:rFonts w:ascii="Cambria" w:eastAsia="Times New Roman" w:hAnsi="Cambria"/>
          <w:b/>
          <w:szCs w:val="24"/>
        </w:rPr>
        <w:t>Milestones</w:t>
      </w:r>
    </w:p>
    <w:p w14:paraId="4EA4DC9A" w14:textId="774004F5" w:rsidR="00642116" w:rsidRPr="00FE1B00" w:rsidRDefault="00DD786F" w:rsidP="00F0410E">
      <w:pPr>
        <w:spacing w:before="100" w:beforeAutospacing="1" w:after="100" w:afterAutospacing="1" w:line="240" w:lineRule="auto"/>
        <w:rPr>
          <w:rFonts w:ascii="Times New Roman" w:eastAsia="Times New Roman" w:hAnsi="Times New Roman"/>
          <w:sz w:val="24"/>
          <w:szCs w:val="24"/>
        </w:rPr>
      </w:pPr>
      <w:r w:rsidRPr="002370DC">
        <w:rPr>
          <w:rFonts w:ascii="Times New Roman" w:eastAsia="Times New Roman" w:hAnsi="Times New Roman"/>
          <w:sz w:val="24"/>
          <w:szCs w:val="24"/>
        </w:rPr>
        <w:t>T</w:t>
      </w:r>
      <w:r w:rsidR="000317B6" w:rsidRPr="002370DC">
        <w:rPr>
          <w:rFonts w:ascii="Times New Roman" w:eastAsia="Times New Roman" w:hAnsi="Times New Roman"/>
          <w:sz w:val="24"/>
          <w:szCs w:val="24"/>
        </w:rPr>
        <w:t xml:space="preserve">he </w:t>
      </w:r>
      <w:r w:rsidR="00A264C7" w:rsidRPr="002370DC">
        <w:rPr>
          <w:rFonts w:ascii="Times New Roman" w:eastAsia="Times New Roman" w:hAnsi="Times New Roman"/>
          <w:sz w:val="24"/>
          <w:szCs w:val="24"/>
        </w:rPr>
        <w:t>GNSO review working party</w:t>
      </w:r>
      <w:r w:rsidR="005C40EE" w:rsidRPr="002370DC">
        <w:rPr>
          <w:rFonts w:ascii="Times New Roman" w:eastAsia="Times New Roman" w:hAnsi="Times New Roman"/>
          <w:sz w:val="24"/>
          <w:szCs w:val="24"/>
        </w:rPr>
        <w:t xml:space="preserve"> is invited to</w:t>
      </w:r>
      <w:r w:rsidR="00DD22CA" w:rsidRPr="002370DC">
        <w:rPr>
          <w:rFonts w:ascii="Times New Roman" w:eastAsia="Times New Roman" w:hAnsi="Times New Roman"/>
          <w:sz w:val="24"/>
          <w:szCs w:val="24"/>
        </w:rPr>
        <w:t xml:space="preserve"> plan its</w:t>
      </w:r>
      <w:r w:rsidR="00EA6DB4" w:rsidRPr="002370DC">
        <w:rPr>
          <w:rFonts w:ascii="Times New Roman" w:eastAsia="Times New Roman" w:hAnsi="Times New Roman"/>
          <w:sz w:val="24"/>
          <w:szCs w:val="24"/>
        </w:rPr>
        <w:t xml:space="preserve"> </w:t>
      </w:r>
      <w:r w:rsidR="00A264C7" w:rsidRPr="002370DC">
        <w:rPr>
          <w:rFonts w:ascii="Times New Roman" w:eastAsia="Times New Roman" w:hAnsi="Times New Roman"/>
          <w:sz w:val="24"/>
          <w:szCs w:val="24"/>
        </w:rPr>
        <w:t>activities</w:t>
      </w:r>
      <w:r w:rsidR="00EA6DB4" w:rsidRPr="002370DC">
        <w:rPr>
          <w:rFonts w:ascii="Times New Roman" w:eastAsia="Times New Roman" w:hAnsi="Times New Roman"/>
          <w:sz w:val="24"/>
          <w:szCs w:val="24"/>
        </w:rPr>
        <w:t xml:space="preserve"> </w:t>
      </w:r>
      <w:r w:rsidR="00DD22CA" w:rsidRPr="002370DC">
        <w:rPr>
          <w:rFonts w:ascii="Times New Roman" w:eastAsia="Times New Roman" w:hAnsi="Times New Roman"/>
          <w:sz w:val="24"/>
          <w:szCs w:val="24"/>
        </w:rPr>
        <w:t xml:space="preserve">to </w:t>
      </w:r>
      <w:r w:rsidR="00EA583D" w:rsidRPr="002370DC">
        <w:rPr>
          <w:rFonts w:ascii="Times New Roman" w:eastAsia="Times New Roman" w:hAnsi="Times New Roman"/>
          <w:sz w:val="24"/>
          <w:szCs w:val="24"/>
        </w:rPr>
        <w:t>conform</w:t>
      </w:r>
      <w:r w:rsidR="00DD22CA" w:rsidRPr="002370DC">
        <w:rPr>
          <w:rFonts w:ascii="Times New Roman" w:eastAsia="Times New Roman" w:hAnsi="Times New Roman"/>
          <w:sz w:val="24"/>
          <w:szCs w:val="24"/>
        </w:rPr>
        <w:t xml:space="preserve"> with</w:t>
      </w:r>
      <w:r w:rsidR="00EA6DB4" w:rsidRPr="002370DC">
        <w:rPr>
          <w:rFonts w:ascii="Times New Roman" w:eastAsia="Times New Roman" w:hAnsi="Times New Roman"/>
          <w:sz w:val="24"/>
          <w:szCs w:val="24"/>
        </w:rPr>
        <w:t xml:space="preserve"> the following</w:t>
      </w:r>
      <w:r w:rsidR="005C40EE" w:rsidRPr="002370DC">
        <w:rPr>
          <w:rFonts w:ascii="Times New Roman" w:eastAsia="Times New Roman" w:hAnsi="Times New Roman"/>
          <w:sz w:val="24"/>
          <w:szCs w:val="24"/>
        </w:rPr>
        <w:t xml:space="preserve"> </w:t>
      </w:r>
      <w:r w:rsidR="00A264C7" w:rsidRPr="002370DC">
        <w:rPr>
          <w:rFonts w:ascii="Times New Roman" w:eastAsia="Times New Roman" w:hAnsi="Times New Roman"/>
          <w:sz w:val="24"/>
          <w:szCs w:val="24"/>
        </w:rPr>
        <w:t xml:space="preserve">schedule and </w:t>
      </w:r>
      <w:r w:rsidR="005C40EE" w:rsidRPr="002370DC">
        <w:rPr>
          <w:rFonts w:ascii="Times New Roman" w:eastAsia="Times New Roman" w:hAnsi="Times New Roman"/>
          <w:sz w:val="24"/>
          <w:szCs w:val="24"/>
        </w:rPr>
        <w:t>GNSO review</w:t>
      </w:r>
      <w:r w:rsidR="00EA6DB4" w:rsidRPr="002370DC">
        <w:rPr>
          <w:rFonts w:ascii="Times New Roman" w:eastAsia="Times New Roman" w:hAnsi="Times New Roman"/>
          <w:sz w:val="24"/>
          <w:szCs w:val="24"/>
        </w:rPr>
        <w:t xml:space="preserve"> milestones</w:t>
      </w:r>
      <w:r w:rsidR="00FA615C" w:rsidRPr="002370DC">
        <w:rPr>
          <w:rFonts w:ascii="Times New Roman" w:eastAsia="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710"/>
        <w:gridCol w:w="2898"/>
      </w:tblGrid>
      <w:tr w:rsidR="00AD23E1" w:rsidRPr="00916A85" w14:paraId="641E901B" w14:textId="77777777" w:rsidTr="00FE1B00">
        <w:trPr>
          <w:trHeight w:val="683"/>
        </w:trPr>
        <w:tc>
          <w:tcPr>
            <w:tcW w:w="4968" w:type="dxa"/>
            <w:shd w:val="clear" w:color="auto" w:fill="CCCCCC"/>
            <w:vAlign w:val="center"/>
          </w:tcPr>
          <w:p w14:paraId="5FEFEDBF" w14:textId="4139CD55" w:rsidR="00AD23E1" w:rsidRPr="00916A85" w:rsidRDefault="00FE1B00" w:rsidP="00FE1B00">
            <w:pPr>
              <w:jc w:val="center"/>
              <w:rPr>
                <w:rFonts w:ascii="Avenir Book" w:hAnsi="Avenir Book"/>
                <w:b/>
                <w:szCs w:val="24"/>
              </w:rPr>
            </w:pPr>
            <w:r>
              <w:rPr>
                <w:rFonts w:ascii="Avenir Book" w:hAnsi="Avenir Book"/>
                <w:b/>
                <w:szCs w:val="24"/>
              </w:rPr>
              <w:t xml:space="preserve">Activities And </w:t>
            </w:r>
            <w:r w:rsidRPr="00916A85">
              <w:rPr>
                <w:rFonts w:ascii="Avenir Book" w:hAnsi="Avenir Book"/>
                <w:b/>
                <w:szCs w:val="24"/>
              </w:rPr>
              <w:t>Milestone</w:t>
            </w:r>
            <w:r>
              <w:rPr>
                <w:rFonts w:ascii="Avenir Book" w:hAnsi="Avenir Book"/>
                <w:b/>
                <w:szCs w:val="24"/>
              </w:rPr>
              <w:t>s</w:t>
            </w:r>
          </w:p>
        </w:tc>
        <w:tc>
          <w:tcPr>
            <w:tcW w:w="1710" w:type="dxa"/>
            <w:shd w:val="clear" w:color="auto" w:fill="CCCCCC"/>
            <w:vAlign w:val="center"/>
          </w:tcPr>
          <w:p w14:paraId="1280A184" w14:textId="404A50AF" w:rsidR="00AD23E1" w:rsidRPr="002370DC" w:rsidRDefault="00FE1B00" w:rsidP="00FE1B00">
            <w:pPr>
              <w:jc w:val="center"/>
              <w:rPr>
                <w:rFonts w:ascii="Avenir Book" w:hAnsi="Avenir Book"/>
                <w:b/>
                <w:szCs w:val="24"/>
              </w:rPr>
            </w:pPr>
            <w:r w:rsidRPr="002370DC">
              <w:rPr>
                <w:rFonts w:ascii="Avenir Book" w:hAnsi="Avenir Book"/>
                <w:b/>
                <w:szCs w:val="24"/>
              </w:rPr>
              <w:t>Expected Time Commitment</w:t>
            </w:r>
          </w:p>
        </w:tc>
        <w:tc>
          <w:tcPr>
            <w:tcW w:w="2898" w:type="dxa"/>
            <w:shd w:val="clear" w:color="auto" w:fill="CCCCCC"/>
            <w:vAlign w:val="center"/>
          </w:tcPr>
          <w:p w14:paraId="6BC0F25B" w14:textId="3DD99CC8" w:rsidR="00AD23E1" w:rsidRPr="00916A85" w:rsidRDefault="00FE1B00" w:rsidP="00FE1B00">
            <w:pPr>
              <w:jc w:val="center"/>
              <w:rPr>
                <w:rFonts w:ascii="Avenir Book" w:hAnsi="Avenir Book"/>
                <w:b/>
                <w:szCs w:val="24"/>
              </w:rPr>
            </w:pPr>
            <w:r w:rsidRPr="00916A85">
              <w:rPr>
                <w:rFonts w:ascii="Avenir Book" w:hAnsi="Avenir Book"/>
                <w:b/>
                <w:szCs w:val="24"/>
              </w:rPr>
              <w:t>Tentative Completion Date</w:t>
            </w:r>
          </w:p>
        </w:tc>
      </w:tr>
      <w:tr w:rsidR="006C25E5" w:rsidRPr="00916A85" w14:paraId="7AB47F8A" w14:textId="77777777" w:rsidTr="00FE1B00">
        <w:tc>
          <w:tcPr>
            <w:tcW w:w="4968" w:type="dxa"/>
            <w:shd w:val="clear" w:color="auto" w:fill="auto"/>
            <w:vAlign w:val="center"/>
          </w:tcPr>
          <w:p w14:paraId="104E72D0" w14:textId="53E02584" w:rsidR="006C25E5" w:rsidRPr="00FC6E1D" w:rsidRDefault="006C25E5" w:rsidP="006C25E5">
            <w:pPr>
              <w:rPr>
                <w:rFonts w:ascii="Times New Roman" w:hAnsi="Times New Roman"/>
                <w:szCs w:val="24"/>
              </w:rPr>
            </w:pPr>
            <w:r w:rsidRPr="00FC6E1D">
              <w:rPr>
                <w:rFonts w:ascii="Times New Roman" w:hAnsi="Times New Roman"/>
                <w:szCs w:val="24"/>
              </w:rPr>
              <w:t>GNSO to identify GNSO Review Working Party</w:t>
            </w:r>
            <w:r w:rsidRPr="00FC6E1D">
              <w:rPr>
                <w:rFonts w:ascii="Times New Roman" w:hAnsi="Times New Roman"/>
                <w:szCs w:val="24"/>
              </w:rPr>
              <w:tab/>
            </w:r>
          </w:p>
        </w:tc>
        <w:tc>
          <w:tcPr>
            <w:tcW w:w="1710" w:type="dxa"/>
            <w:vAlign w:val="center"/>
          </w:tcPr>
          <w:p w14:paraId="2C975421" w14:textId="77777777" w:rsidR="006C25E5" w:rsidRPr="00FC6E1D" w:rsidRDefault="006C25E5" w:rsidP="00CD01D3">
            <w:pPr>
              <w:rPr>
                <w:rFonts w:ascii="Times New Roman" w:hAnsi="Times New Roman"/>
                <w:szCs w:val="24"/>
              </w:rPr>
            </w:pPr>
          </w:p>
        </w:tc>
        <w:tc>
          <w:tcPr>
            <w:tcW w:w="2898" w:type="dxa"/>
            <w:shd w:val="clear" w:color="auto" w:fill="auto"/>
            <w:vAlign w:val="center"/>
          </w:tcPr>
          <w:p w14:paraId="4483432A" w14:textId="590C0D9F" w:rsidR="006C25E5" w:rsidRPr="00FC6E1D" w:rsidRDefault="006C25E5" w:rsidP="00CD01D3">
            <w:pPr>
              <w:rPr>
                <w:rFonts w:ascii="Times New Roman" w:hAnsi="Times New Roman"/>
                <w:szCs w:val="24"/>
              </w:rPr>
            </w:pPr>
            <w:r w:rsidRPr="00FC6E1D">
              <w:rPr>
                <w:rFonts w:ascii="Times New Roman" w:hAnsi="Times New Roman"/>
                <w:szCs w:val="24"/>
              </w:rPr>
              <w:t>14 May</w:t>
            </w:r>
          </w:p>
        </w:tc>
      </w:tr>
      <w:tr w:rsidR="00AD23E1" w:rsidRPr="00916A85" w14:paraId="3927DF9F" w14:textId="77777777" w:rsidTr="00FE1B00">
        <w:tc>
          <w:tcPr>
            <w:tcW w:w="4968" w:type="dxa"/>
            <w:shd w:val="clear" w:color="auto" w:fill="auto"/>
            <w:vAlign w:val="center"/>
          </w:tcPr>
          <w:p w14:paraId="038B502D" w14:textId="77777777" w:rsidR="00AD23E1" w:rsidRPr="00FC6E1D" w:rsidRDefault="00AD23E1" w:rsidP="00CD01D3">
            <w:pPr>
              <w:rPr>
                <w:rFonts w:ascii="Times New Roman" w:hAnsi="Times New Roman"/>
                <w:szCs w:val="24"/>
              </w:rPr>
            </w:pPr>
            <w:r w:rsidRPr="00FC6E1D">
              <w:rPr>
                <w:rFonts w:ascii="Times New Roman" w:hAnsi="Times New Roman"/>
                <w:szCs w:val="24"/>
              </w:rPr>
              <w:t xml:space="preserve">Assist with refining examination criteria </w:t>
            </w:r>
          </w:p>
        </w:tc>
        <w:tc>
          <w:tcPr>
            <w:tcW w:w="1710" w:type="dxa"/>
            <w:vAlign w:val="center"/>
          </w:tcPr>
          <w:p w14:paraId="128F8533" w14:textId="35A626BE" w:rsidR="00AD23E1" w:rsidRPr="00FC6E1D" w:rsidRDefault="004269D8" w:rsidP="00CD01D3">
            <w:pPr>
              <w:rPr>
                <w:rFonts w:ascii="Times New Roman" w:hAnsi="Times New Roman"/>
                <w:szCs w:val="24"/>
              </w:rPr>
            </w:pPr>
            <w:r>
              <w:rPr>
                <w:rFonts w:ascii="Times New Roman" w:hAnsi="Times New Roman"/>
                <w:szCs w:val="24"/>
              </w:rPr>
              <w:t xml:space="preserve">6 – 8 </w:t>
            </w:r>
            <w:r w:rsidR="00CD01D3" w:rsidRPr="00FC6E1D">
              <w:rPr>
                <w:rFonts w:ascii="Times New Roman" w:hAnsi="Times New Roman"/>
                <w:szCs w:val="24"/>
              </w:rPr>
              <w:t>hours</w:t>
            </w:r>
          </w:p>
        </w:tc>
        <w:tc>
          <w:tcPr>
            <w:tcW w:w="2898" w:type="dxa"/>
            <w:shd w:val="clear" w:color="auto" w:fill="auto"/>
            <w:vAlign w:val="center"/>
          </w:tcPr>
          <w:p w14:paraId="26F5A782" w14:textId="77777777" w:rsidR="00AD23E1" w:rsidRPr="00FC6E1D" w:rsidRDefault="00AD23E1" w:rsidP="00CD01D3">
            <w:pPr>
              <w:rPr>
                <w:rFonts w:ascii="Times New Roman" w:hAnsi="Times New Roman"/>
                <w:szCs w:val="24"/>
              </w:rPr>
            </w:pPr>
            <w:r w:rsidRPr="00FC6E1D">
              <w:rPr>
                <w:rFonts w:ascii="Times New Roman" w:hAnsi="Times New Roman"/>
                <w:szCs w:val="24"/>
              </w:rPr>
              <w:t>30 May</w:t>
            </w:r>
          </w:p>
        </w:tc>
      </w:tr>
      <w:tr w:rsidR="00AD23E1" w:rsidRPr="00916A85" w14:paraId="4E96ECCD" w14:textId="77777777" w:rsidTr="00FE1B00">
        <w:trPr>
          <w:trHeight w:val="521"/>
        </w:trPr>
        <w:tc>
          <w:tcPr>
            <w:tcW w:w="4968" w:type="dxa"/>
            <w:shd w:val="clear" w:color="auto" w:fill="auto"/>
            <w:vAlign w:val="center"/>
          </w:tcPr>
          <w:p w14:paraId="49BAB5D8" w14:textId="7A08F029" w:rsidR="00AD23E1" w:rsidRPr="00FC6E1D" w:rsidRDefault="006C25E5" w:rsidP="006C25E5">
            <w:pPr>
              <w:spacing w:after="0" w:line="240" w:lineRule="auto"/>
              <w:rPr>
                <w:rFonts w:ascii="Times New Roman" w:hAnsi="Times New Roman"/>
                <w:szCs w:val="24"/>
              </w:rPr>
            </w:pPr>
            <w:r w:rsidRPr="00FC6E1D">
              <w:rPr>
                <w:rFonts w:ascii="Times New Roman" w:hAnsi="Times New Roman"/>
                <w:szCs w:val="24"/>
              </w:rPr>
              <w:t>Contribute to the development of the  360 assessment and coordinate the self-review component</w:t>
            </w:r>
          </w:p>
        </w:tc>
        <w:tc>
          <w:tcPr>
            <w:tcW w:w="1710" w:type="dxa"/>
            <w:vAlign w:val="center"/>
          </w:tcPr>
          <w:p w14:paraId="1ADF0C91" w14:textId="65A7F910" w:rsidR="00AD23E1" w:rsidRPr="00FC6E1D" w:rsidRDefault="006C25E5" w:rsidP="004269D8">
            <w:pPr>
              <w:spacing w:after="0" w:line="240" w:lineRule="auto"/>
              <w:rPr>
                <w:rFonts w:ascii="Times New Roman" w:hAnsi="Times New Roman"/>
                <w:szCs w:val="24"/>
              </w:rPr>
            </w:pPr>
            <w:r w:rsidRPr="00FC6E1D">
              <w:rPr>
                <w:rFonts w:ascii="Times New Roman" w:hAnsi="Times New Roman"/>
                <w:szCs w:val="24"/>
              </w:rPr>
              <w:t>4</w:t>
            </w:r>
            <w:r w:rsidR="004269D8">
              <w:rPr>
                <w:rFonts w:ascii="Times New Roman" w:hAnsi="Times New Roman"/>
                <w:szCs w:val="24"/>
              </w:rPr>
              <w:t xml:space="preserve"> – 8 </w:t>
            </w:r>
            <w:r w:rsidRPr="00FC6E1D">
              <w:rPr>
                <w:rFonts w:ascii="Times New Roman" w:hAnsi="Times New Roman"/>
                <w:szCs w:val="24"/>
              </w:rPr>
              <w:t>hours</w:t>
            </w:r>
          </w:p>
        </w:tc>
        <w:tc>
          <w:tcPr>
            <w:tcW w:w="2898" w:type="dxa"/>
            <w:shd w:val="clear" w:color="auto" w:fill="auto"/>
            <w:vAlign w:val="center"/>
          </w:tcPr>
          <w:p w14:paraId="79F1DC22" w14:textId="77777777" w:rsidR="00AD23E1" w:rsidRPr="00FC6E1D" w:rsidRDefault="00AD23E1" w:rsidP="00CD01D3">
            <w:pPr>
              <w:spacing w:after="0" w:line="240" w:lineRule="auto"/>
              <w:rPr>
                <w:rFonts w:ascii="Times New Roman" w:hAnsi="Times New Roman"/>
                <w:szCs w:val="24"/>
              </w:rPr>
            </w:pPr>
            <w:r w:rsidRPr="00FC6E1D">
              <w:rPr>
                <w:rFonts w:ascii="Times New Roman" w:hAnsi="Times New Roman"/>
                <w:szCs w:val="24"/>
              </w:rPr>
              <w:t>15 June</w:t>
            </w:r>
          </w:p>
        </w:tc>
      </w:tr>
      <w:tr w:rsidR="00AD23E1" w:rsidRPr="00916A85" w14:paraId="06A21911" w14:textId="77777777" w:rsidTr="00FE1B00">
        <w:trPr>
          <w:trHeight w:val="890"/>
        </w:trPr>
        <w:tc>
          <w:tcPr>
            <w:tcW w:w="4968" w:type="dxa"/>
            <w:shd w:val="clear" w:color="auto" w:fill="auto"/>
            <w:vAlign w:val="center"/>
          </w:tcPr>
          <w:p w14:paraId="0F075668" w14:textId="233039D9" w:rsidR="00AD23E1" w:rsidRPr="00FC6E1D" w:rsidRDefault="006C25E5" w:rsidP="00CD01D3">
            <w:pPr>
              <w:rPr>
                <w:rFonts w:ascii="Times New Roman" w:hAnsi="Times New Roman"/>
                <w:szCs w:val="24"/>
              </w:rPr>
            </w:pPr>
            <w:r w:rsidRPr="00FC6E1D">
              <w:rPr>
                <w:rFonts w:ascii="Times New Roman" w:hAnsi="Times New Roman"/>
                <w:szCs w:val="24"/>
              </w:rPr>
              <w:t>Review Kick-Off and ongoing participation as needed</w:t>
            </w:r>
          </w:p>
        </w:tc>
        <w:tc>
          <w:tcPr>
            <w:tcW w:w="1710" w:type="dxa"/>
            <w:vAlign w:val="center"/>
          </w:tcPr>
          <w:p w14:paraId="278A96C5" w14:textId="650CB157" w:rsidR="00AD23E1" w:rsidRPr="00FC6E1D" w:rsidRDefault="004269D8" w:rsidP="00CD01D3">
            <w:pPr>
              <w:rPr>
                <w:rFonts w:ascii="Times New Roman" w:hAnsi="Times New Roman"/>
                <w:szCs w:val="24"/>
              </w:rPr>
            </w:pPr>
            <w:r>
              <w:rPr>
                <w:rFonts w:ascii="Times New Roman" w:hAnsi="Times New Roman"/>
                <w:szCs w:val="24"/>
              </w:rPr>
              <w:t xml:space="preserve">12 – </w:t>
            </w:r>
            <w:r w:rsidR="00DA6891" w:rsidRPr="00FC6E1D">
              <w:rPr>
                <w:rFonts w:ascii="Times New Roman" w:hAnsi="Times New Roman"/>
                <w:szCs w:val="24"/>
              </w:rPr>
              <w:t>20</w:t>
            </w:r>
            <w:r w:rsidR="00CD01D3" w:rsidRPr="00FC6E1D">
              <w:rPr>
                <w:rFonts w:ascii="Times New Roman" w:hAnsi="Times New Roman"/>
                <w:szCs w:val="24"/>
              </w:rPr>
              <w:t xml:space="preserve"> hours</w:t>
            </w:r>
          </w:p>
        </w:tc>
        <w:tc>
          <w:tcPr>
            <w:tcW w:w="2898" w:type="dxa"/>
            <w:shd w:val="clear" w:color="auto" w:fill="auto"/>
            <w:vAlign w:val="center"/>
          </w:tcPr>
          <w:p w14:paraId="0AC6C5E2" w14:textId="367EB0A8" w:rsidR="00AD23E1" w:rsidRPr="00FC6E1D" w:rsidRDefault="006C25E5" w:rsidP="00CD01D3">
            <w:pPr>
              <w:rPr>
                <w:rFonts w:ascii="Times New Roman" w:hAnsi="Times New Roman"/>
                <w:szCs w:val="24"/>
              </w:rPr>
            </w:pPr>
            <w:r w:rsidRPr="00FC6E1D">
              <w:rPr>
                <w:rFonts w:ascii="Times New Roman" w:hAnsi="Times New Roman"/>
                <w:szCs w:val="24"/>
              </w:rPr>
              <w:t xml:space="preserve">1 July </w:t>
            </w:r>
            <w:r w:rsidR="00DA6891" w:rsidRPr="00FC6E1D">
              <w:rPr>
                <w:rFonts w:ascii="Times New Roman" w:hAnsi="Times New Roman"/>
                <w:szCs w:val="24"/>
              </w:rPr>
              <w:t>–</w:t>
            </w:r>
            <w:r w:rsidRPr="00FC6E1D">
              <w:rPr>
                <w:rFonts w:ascii="Times New Roman" w:hAnsi="Times New Roman"/>
                <w:szCs w:val="24"/>
              </w:rPr>
              <w:t xml:space="preserve"> </w:t>
            </w:r>
            <w:r w:rsidR="00DA6891" w:rsidRPr="00FC6E1D">
              <w:rPr>
                <w:rFonts w:ascii="Times New Roman" w:hAnsi="Times New Roman"/>
                <w:szCs w:val="24"/>
              </w:rPr>
              <w:t>31 October</w:t>
            </w:r>
          </w:p>
        </w:tc>
      </w:tr>
      <w:tr w:rsidR="00AD23E1" w:rsidRPr="00916A85" w14:paraId="79513DA9" w14:textId="77777777" w:rsidTr="00FE1B00">
        <w:tc>
          <w:tcPr>
            <w:tcW w:w="4968" w:type="dxa"/>
            <w:shd w:val="clear" w:color="auto" w:fill="auto"/>
            <w:vAlign w:val="center"/>
          </w:tcPr>
          <w:p w14:paraId="13A849DD" w14:textId="174E857F" w:rsidR="00AD23E1" w:rsidRPr="00FC6E1D" w:rsidRDefault="00AD23E1" w:rsidP="00CD01D3">
            <w:pPr>
              <w:rPr>
                <w:rFonts w:ascii="Times New Roman" w:hAnsi="Times New Roman"/>
                <w:szCs w:val="24"/>
              </w:rPr>
            </w:pPr>
            <w:r w:rsidRPr="00FC6E1D">
              <w:rPr>
                <w:rFonts w:ascii="Times New Roman" w:hAnsi="Times New Roman"/>
                <w:szCs w:val="24"/>
              </w:rPr>
              <w:t>Summary results from 360 Assessment</w:t>
            </w:r>
          </w:p>
        </w:tc>
        <w:tc>
          <w:tcPr>
            <w:tcW w:w="1710" w:type="dxa"/>
            <w:vAlign w:val="center"/>
          </w:tcPr>
          <w:p w14:paraId="3A266EF7" w14:textId="24942618" w:rsidR="00AD23E1" w:rsidRPr="00FC6E1D" w:rsidRDefault="00FC6E1D" w:rsidP="00FC6E1D">
            <w:pPr>
              <w:rPr>
                <w:rFonts w:ascii="Times New Roman" w:hAnsi="Times New Roman"/>
                <w:szCs w:val="24"/>
              </w:rPr>
            </w:pPr>
            <w:r>
              <w:rPr>
                <w:rFonts w:ascii="Times New Roman" w:hAnsi="Times New Roman"/>
                <w:szCs w:val="24"/>
              </w:rPr>
              <w:t>4</w:t>
            </w:r>
            <w:r w:rsidR="004269D8">
              <w:rPr>
                <w:rFonts w:ascii="Times New Roman" w:hAnsi="Times New Roman"/>
                <w:szCs w:val="24"/>
              </w:rPr>
              <w:t xml:space="preserve"> – 6 </w:t>
            </w:r>
            <w:r>
              <w:rPr>
                <w:rFonts w:ascii="Times New Roman" w:hAnsi="Times New Roman"/>
                <w:szCs w:val="24"/>
              </w:rPr>
              <w:t xml:space="preserve"> hours</w:t>
            </w:r>
          </w:p>
        </w:tc>
        <w:tc>
          <w:tcPr>
            <w:tcW w:w="2898" w:type="dxa"/>
            <w:shd w:val="clear" w:color="auto" w:fill="auto"/>
            <w:vAlign w:val="center"/>
          </w:tcPr>
          <w:p w14:paraId="6F7BBEBD" w14:textId="77777777" w:rsidR="00AD23E1" w:rsidRPr="00FC6E1D" w:rsidRDefault="00AD23E1" w:rsidP="00CD01D3">
            <w:pPr>
              <w:rPr>
                <w:rFonts w:ascii="Times New Roman" w:hAnsi="Times New Roman"/>
                <w:szCs w:val="24"/>
              </w:rPr>
            </w:pPr>
            <w:r w:rsidRPr="00FC6E1D">
              <w:rPr>
                <w:rFonts w:ascii="Times New Roman" w:hAnsi="Times New Roman"/>
                <w:szCs w:val="24"/>
              </w:rPr>
              <w:t>30 July</w:t>
            </w:r>
          </w:p>
        </w:tc>
      </w:tr>
      <w:tr w:rsidR="00AD23E1" w:rsidRPr="00916A85" w14:paraId="30D3CD12" w14:textId="77777777" w:rsidTr="00FE1B00">
        <w:trPr>
          <w:trHeight w:val="395"/>
        </w:trPr>
        <w:tc>
          <w:tcPr>
            <w:tcW w:w="4968" w:type="dxa"/>
            <w:shd w:val="clear" w:color="auto" w:fill="auto"/>
            <w:vAlign w:val="center"/>
          </w:tcPr>
          <w:p w14:paraId="3CB776E7" w14:textId="77777777" w:rsidR="00AD23E1" w:rsidRPr="00FC6E1D" w:rsidRDefault="00AD23E1" w:rsidP="00CD01D3">
            <w:pPr>
              <w:rPr>
                <w:rFonts w:ascii="Times New Roman" w:hAnsi="Times New Roman"/>
                <w:szCs w:val="24"/>
              </w:rPr>
            </w:pPr>
            <w:r w:rsidRPr="00FC6E1D">
              <w:rPr>
                <w:rFonts w:ascii="Times New Roman" w:hAnsi="Times New Roman"/>
                <w:szCs w:val="24"/>
              </w:rPr>
              <w:t>Draft Report 1</w:t>
            </w:r>
          </w:p>
        </w:tc>
        <w:tc>
          <w:tcPr>
            <w:tcW w:w="1710" w:type="dxa"/>
            <w:vAlign w:val="center"/>
          </w:tcPr>
          <w:p w14:paraId="65595528" w14:textId="71ED14AD" w:rsidR="00AD23E1" w:rsidRPr="00FC6E1D" w:rsidRDefault="00AD23E1" w:rsidP="00CD01D3">
            <w:pPr>
              <w:rPr>
                <w:rFonts w:ascii="Times New Roman" w:hAnsi="Times New Roman"/>
                <w:szCs w:val="24"/>
              </w:rPr>
            </w:pPr>
          </w:p>
        </w:tc>
        <w:tc>
          <w:tcPr>
            <w:tcW w:w="2898" w:type="dxa"/>
            <w:shd w:val="clear" w:color="auto" w:fill="auto"/>
            <w:vAlign w:val="center"/>
          </w:tcPr>
          <w:p w14:paraId="2F24C62F" w14:textId="77777777" w:rsidR="00AD23E1" w:rsidRPr="00FC6E1D" w:rsidRDefault="00AD23E1" w:rsidP="00CD01D3">
            <w:pPr>
              <w:rPr>
                <w:rFonts w:ascii="Times New Roman" w:hAnsi="Times New Roman"/>
                <w:szCs w:val="24"/>
              </w:rPr>
            </w:pPr>
            <w:r w:rsidRPr="00FC6E1D">
              <w:rPr>
                <w:rFonts w:ascii="Times New Roman" w:hAnsi="Times New Roman"/>
                <w:szCs w:val="24"/>
              </w:rPr>
              <w:t>30 September</w:t>
            </w:r>
          </w:p>
        </w:tc>
      </w:tr>
      <w:tr w:rsidR="00AD23E1" w:rsidRPr="00916A85" w14:paraId="745E06F4" w14:textId="77777777" w:rsidTr="00FE1B00">
        <w:tc>
          <w:tcPr>
            <w:tcW w:w="4968" w:type="dxa"/>
            <w:shd w:val="clear" w:color="auto" w:fill="auto"/>
            <w:vAlign w:val="center"/>
          </w:tcPr>
          <w:p w14:paraId="486EF6C4" w14:textId="2F3F2164" w:rsidR="00AD23E1" w:rsidRPr="00FC6E1D" w:rsidRDefault="00AD23E1" w:rsidP="00FC6E1D">
            <w:pPr>
              <w:rPr>
                <w:rFonts w:ascii="Times New Roman" w:hAnsi="Times New Roman"/>
                <w:szCs w:val="24"/>
              </w:rPr>
            </w:pPr>
            <w:r w:rsidRPr="00FC6E1D">
              <w:rPr>
                <w:rFonts w:ascii="Times New Roman" w:hAnsi="Times New Roman"/>
                <w:szCs w:val="24"/>
              </w:rPr>
              <w:t>Clarification and rebuttal from GNSO</w:t>
            </w:r>
            <w:r w:rsidR="00FC6E1D">
              <w:rPr>
                <w:rFonts w:ascii="Times New Roman" w:hAnsi="Times New Roman"/>
                <w:szCs w:val="24"/>
              </w:rPr>
              <w:t xml:space="preserve"> </w:t>
            </w:r>
          </w:p>
        </w:tc>
        <w:tc>
          <w:tcPr>
            <w:tcW w:w="1710" w:type="dxa"/>
            <w:vAlign w:val="center"/>
          </w:tcPr>
          <w:p w14:paraId="63FDA520" w14:textId="3B4A1025" w:rsidR="00AD23E1" w:rsidRPr="00FC6E1D" w:rsidRDefault="004269D8" w:rsidP="00CD01D3">
            <w:pPr>
              <w:rPr>
                <w:rFonts w:ascii="Times New Roman" w:hAnsi="Times New Roman"/>
                <w:szCs w:val="24"/>
              </w:rPr>
            </w:pPr>
            <w:r>
              <w:rPr>
                <w:rFonts w:ascii="Times New Roman" w:hAnsi="Times New Roman"/>
                <w:szCs w:val="24"/>
              </w:rPr>
              <w:t xml:space="preserve">4 – </w:t>
            </w:r>
            <w:r w:rsidR="00CD01D3" w:rsidRPr="00FC6E1D">
              <w:rPr>
                <w:rFonts w:ascii="Times New Roman" w:hAnsi="Times New Roman"/>
                <w:szCs w:val="24"/>
              </w:rPr>
              <w:t>8 hours</w:t>
            </w:r>
          </w:p>
        </w:tc>
        <w:tc>
          <w:tcPr>
            <w:tcW w:w="2898" w:type="dxa"/>
            <w:shd w:val="clear" w:color="auto" w:fill="auto"/>
            <w:vAlign w:val="center"/>
          </w:tcPr>
          <w:p w14:paraId="14B4BA5C" w14:textId="77777777" w:rsidR="00AD23E1" w:rsidRPr="00FC6E1D" w:rsidRDefault="00AD23E1" w:rsidP="00CD01D3">
            <w:pPr>
              <w:rPr>
                <w:rFonts w:ascii="Times New Roman" w:hAnsi="Times New Roman"/>
                <w:szCs w:val="24"/>
              </w:rPr>
            </w:pPr>
            <w:r w:rsidRPr="00FC6E1D">
              <w:rPr>
                <w:rFonts w:ascii="Times New Roman" w:hAnsi="Times New Roman"/>
                <w:szCs w:val="24"/>
              </w:rPr>
              <w:t>11-12 October (ICANN 51)</w:t>
            </w:r>
          </w:p>
        </w:tc>
      </w:tr>
      <w:tr w:rsidR="00AD23E1" w:rsidRPr="00916A85" w14:paraId="1A43D55C" w14:textId="77777777" w:rsidTr="00FE1B00">
        <w:tc>
          <w:tcPr>
            <w:tcW w:w="4968" w:type="dxa"/>
            <w:shd w:val="clear" w:color="auto" w:fill="auto"/>
            <w:vAlign w:val="center"/>
          </w:tcPr>
          <w:p w14:paraId="563DACEF" w14:textId="67169DCB" w:rsidR="00AD23E1" w:rsidRPr="00FC6E1D" w:rsidRDefault="00AD23E1" w:rsidP="00CD01D3">
            <w:pPr>
              <w:rPr>
                <w:rFonts w:ascii="Times New Roman" w:hAnsi="Times New Roman"/>
                <w:szCs w:val="24"/>
              </w:rPr>
            </w:pPr>
            <w:r w:rsidRPr="00FC6E1D">
              <w:rPr>
                <w:rFonts w:ascii="Times New Roman" w:hAnsi="Times New Roman"/>
                <w:szCs w:val="24"/>
              </w:rPr>
              <w:t>Draft Report 2</w:t>
            </w:r>
          </w:p>
        </w:tc>
        <w:tc>
          <w:tcPr>
            <w:tcW w:w="1710" w:type="dxa"/>
            <w:vAlign w:val="center"/>
          </w:tcPr>
          <w:p w14:paraId="1720350D" w14:textId="23F0CC93" w:rsidR="00AD23E1" w:rsidRPr="00FC6E1D" w:rsidRDefault="00AD23E1" w:rsidP="00CD01D3">
            <w:pPr>
              <w:rPr>
                <w:rFonts w:ascii="Times New Roman" w:hAnsi="Times New Roman"/>
                <w:szCs w:val="24"/>
              </w:rPr>
            </w:pPr>
          </w:p>
        </w:tc>
        <w:tc>
          <w:tcPr>
            <w:tcW w:w="2898" w:type="dxa"/>
            <w:shd w:val="clear" w:color="auto" w:fill="auto"/>
            <w:vAlign w:val="center"/>
          </w:tcPr>
          <w:p w14:paraId="49A00099" w14:textId="77777777" w:rsidR="00AD23E1" w:rsidRPr="00FC6E1D" w:rsidRDefault="00AD23E1" w:rsidP="00CD01D3">
            <w:pPr>
              <w:rPr>
                <w:rFonts w:ascii="Times New Roman" w:hAnsi="Times New Roman"/>
                <w:szCs w:val="24"/>
              </w:rPr>
            </w:pPr>
            <w:r w:rsidRPr="00FC6E1D">
              <w:rPr>
                <w:rFonts w:ascii="Times New Roman" w:hAnsi="Times New Roman"/>
                <w:szCs w:val="24"/>
              </w:rPr>
              <w:t>31 October</w:t>
            </w:r>
          </w:p>
        </w:tc>
      </w:tr>
      <w:tr w:rsidR="00AD23E1" w:rsidRPr="00916A85" w14:paraId="6B430C80" w14:textId="77777777" w:rsidTr="00FE1B00">
        <w:tc>
          <w:tcPr>
            <w:tcW w:w="4968" w:type="dxa"/>
            <w:shd w:val="clear" w:color="auto" w:fill="auto"/>
            <w:vAlign w:val="center"/>
          </w:tcPr>
          <w:p w14:paraId="375CF3DA" w14:textId="77777777" w:rsidR="00AD23E1" w:rsidRPr="00FC6E1D" w:rsidRDefault="00AD23E1" w:rsidP="00CD01D3">
            <w:pPr>
              <w:rPr>
                <w:rFonts w:ascii="Times New Roman" w:hAnsi="Times New Roman"/>
                <w:szCs w:val="24"/>
              </w:rPr>
            </w:pPr>
            <w:r w:rsidRPr="00FC6E1D">
              <w:rPr>
                <w:rFonts w:ascii="Times New Roman" w:hAnsi="Times New Roman"/>
                <w:szCs w:val="24"/>
              </w:rPr>
              <w:t>Public Comment period</w:t>
            </w:r>
          </w:p>
        </w:tc>
        <w:tc>
          <w:tcPr>
            <w:tcW w:w="1710" w:type="dxa"/>
            <w:vAlign w:val="center"/>
          </w:tcPr>
          <w:p w14:paraId="0403CC57" w14:textId="3A111B1E" w:rsidR="00AD23E1" w:rsidRPr="00FC6E1D" w:rsidRDefault="00CD01D3" w:rsidP="00CD01D3">
            <w:pPr>
              <w:rPr>
                <w:rFonts w:ascii="Times New Roman" w:hAnsi="Times New Roman"/>
                <w:szCs w:val="24"/>
              </w:rPr>
            </w:pPr>
            <w:r w:rsidRPr="00FC6E1D">
              <w:rPr>
                <w:rFonts w:ascii="Times New Roman" w:hAnsi="Times New Roman"/>
                <w:szCs w:val="24"/>
              </w:rPr>
              <w:t>4</w:t>
            </w:r>
            <w:r w:rsidR="004269D8">
              <w:rPr>
                <w:rFonts w:ascii="Times New Roman" w:hAnsi="Times New Roman"/>
                <w:szCs w:val="24"/>
              </w:rPr>
              <w:t xml:space="preserve"> – 6</w:t>
            </w:r>
            <w:r w:rsidRPr="00FC6E1D">
              <w:rPr>
                <w:rFonts w:ascii="Times New Roman" w:hAnsi="Times New Roman"/>
                <w:szCs w:val="24"/>
              </w:rPr>
              <w:t xml:space="preserve"> hours</w:t>
            </w:r>
          </w:p>
        </w:tc>
        <w:tc>
          <w:tcPr>
            <w:tcW w:w="2898" w:type="dxa"/>
            <w:shd w:val="clear" w:color="auto" w:fill="auto"/>
            <w:vAlign w:val="center"/>
          </w:tcPr>
          <w:p w14:paraId="20C2C66D" w14:textId="4969D8A0" w:rsidR="00AD23E1" w:rsidRPr="00FC6E1D" w:rsidRDefault="00FC6E1D" w:rsidP="00CD01D3">
            <w:pPr>
              <w:rPr>
                <w:rFonts w:ascii="Times New Roman" w:hAnsi="Times New Roman"/>
                <w:szCs w:val="24"/>
              </w:rPr>
            </w:pPr>
            <w:r w:rsidRPr="00FC6E1D">
              <w:rPr>
                <w:rFonts w:ascii="Times New Roman" w:hAnsi="Times New Roman"/>
                <w:szCs w:val="24"/>
              </w:rPr>
              <w:t>1 November – 5 January 2015</w:t>
            </w:r>
          </w:p>
        </w:tc>
      </w:tr>
      <w:tr w:rsidR="00AD23E1" w:rsidRPr="00916A85" w14:paraId="3EF945BE" w14:textId="77777777" w:rsidTr="00FE1B00">
        <w:tc>
          <w:tcPr>
            <w:tcW w:w="4968" w:type="dxa"/>
            <w:shd w:val="clear" w:color="auto" w:fill="auto"/>
            <w:vAlign w:val="center"/>
          </w:tcPr>
          <w:p w14:paraId="06438097" w14:textId="77777777" w:rsidR="00AD23E1" w:rsidRPr="00FC6E1D" w:rsidRDefault="00AD23E1" w:rsidP="00CD01D3">
            <w:pPr>
              <w:rPr>
                <w:rFonts w:ascii="Times New Roman" w:hAnsi="Times New Roman"/>
                <w:szCs w:val="24"/>
              </w:rPr>
            </w:pPr>
            <w:r w:rsidRPr="00FC6E1D">
              <w:rPr>
                <w:rFonts w:ascii="Times New Roman" w:hAnsi="Times New Roman"/>
                <w:szCs w:val="24"/>
              </w:rPr>
              <w:t>Final Report</w:t>
            </w:r>
          </w:p>
        </w:tc>
        <w:tc>
          <w:tcPr>
            <w:tcW w:w="1710" w:type="dxa"/>
            <w:vAlign w:val="center"/>
          </w:tcPr>
          <w:p w14:paraId="66A8DE85" w14:textId="0901DF36" w:rsidR="00AD23E1" w:rsidRPr="00FC6E1D" w:rsidRDefault="00AD23E1" w:rsidP="00CD01D3">
            <w:pPr>
              <w:rPr>
                <w:rFonts w:ascii="Times New Roman" w:hAnsi="Times New Roman"/>
                <w:szCs w:val="24"/>
              </w:rPr>
            </w:pPr>
          </w:p>
        </w:tc>
        <w:tc>
          <w:tcPr>
            <w:tcW w:w="2898" w:type="dxa"/>
            <w:shd w:val="clear" w:color="auto" w:fill="auto"/>
            <w:vAlign w:val="center"/>
          </w:tcPr>
          <w:p w14:paraId="776D80F6" w14:textId="77777777" w:rsidR="00AD23E1" w:rsidRPr="00FC6E1D" w:rsidRDefault="00AD23E1" w:rsidP="00CD01D3">
            <w:pPr>
              <w:rPr>
                <w:rFonts w:ascii="Times New Roman" w:hAnsi="Times New Roman"/>
                <w:szCs w:val="24"/>
              </w:rPr>
            </w:pPr>
            <w:r w:rsidRPr="00FC6E1D">
              <w:rPr>
                <w:rFonts w:ascii="Times New Roman" w:hAnsi="Times New Roman"/>
                <w:szCs w:val="24"/>
              </w:rPr>
              <w:t>15 January</w:t>
            </w:r>
          </w:p>
        </w:tc>
      </w:tr>
      <w:tr w:rsidR="00AD23E1" w:rsidRPr="00916A85" w14:paraId="2D3E0676" w14:textId="77777777" w:rsidTr="00FE1B00">
        <w:tc>
          <w:tcPr>
            <w:tcW w:w="4968" w:type="dxa"/>
            <w:shd w:val="clear" w:color="auto" w:fill="auto"/>
            <w:vAlign w:val="center"/>
          </w:tcPr>
          <w:p w14:paraId="0DC4884B" w14:textId="77777777" w:rsidR="00AD23E1" w:rsidRPr="00FC6E1D" w:rsidRDefault="00AD23E1" w:rsidP="00CD01D3">
            <w:pPr>
              <w:rPr>
                <w:rFonts w:ascii="Times New Roman" w:hAnsi="Times New Roman"/>
                <w:szCs w:val="24"/>
              </w:rPr>
            </w:pPr>
            <w:r w:rsidRPr="00FC6E1D">
              <w:rPr>
                <w:rFonts w:ascii="Times New Roman" w:hAnsi="Times New Roman"/>
                <w:szCs w:val="24"/>
              </w:rPr>
              <w:t>Implementation plan in coordination with the GNSO</w:t>
            </w:r>
          </w:p>
        </w:tc>
        <w:tc>
          <w:tcPr>
            <w:tcW w:w="1710" w:type="dxa"/>
            <w:vAlign w:val="center"/>
          </w:tcPr>
          <w:p w14:paraId="47AD5D4B" w14:textId="5A81DE9A" w:rsidR="00AD23E1" w:rsidRPr="00FC6E1D" w:rsidRDefault="00A400CF" w:rsidP="00A400CF">
            <w:pPr>
              <w:rPr>
                <w:rFonts w:ascii="Times New Roman" w:hAnsi="Times New Roman"/>
                <w:szCs w:val="24"/>
              </w:rPr>
            </w:pPr>
            <w:r>
              <w:rPr>
                <w:rFonts w:ascii="Times New Roman" w:hAnsi="Times New Roman"/>
                <w:szCs w:val="24"/>
              </w:rPr>
              <w:t>16</w:t>
            </w:r>
            <w:r w:rsidR="004269D8">
              <w:rPr>
                <w:rFonts w:ascii="Times New Roman" w:hAnsi="Times New Roman"/>
                <w:szCs w:val="24"/>
              </w:rPr>
              <w:t xml:space="preserve"> – </w:t>
            </w:r>
            <w:r>
              <w:rPr>
                <w:rFonts w:ascii="Times New Roman" w:hAnsi="Times New Roman"/>
                <w:szCs w:val="24"/>
              </w:rPr>
              <w:t xml:space="preserve">24 </w:t>
            </w:r>
            <w:r w:rsidR="00FC6E1D">
              <w:rPr>
                <w:rFonts w:ascii="Times New Roman" w:hAnsi="Times New Roman"/>
                <w:szCs w:val="24"/>
              </w:rPr>
              <w:t xml:space="preserve"> hours</w:t>
            </w:r>
          </w:p>
        </w:tc>
        <w:tc>
          <w:tcPr>
            <w:tcW w:w="2898" w:type="dxa"/>
            <w:shd w:val="clear" w:color="auto" w:fill="auto"/>
            <w:vAlign w:val="center"/>
          </w:tcPr>
          <w:p w14:paraId="60E0DAFD" w14:textId="656D4593" w:rsidR="00AD23E1" w:rsidRPr="00FC6E1D" w:rsidRDefault="00FC6E1D" w:rsidP="00CD01D3">
            <w:pPr>
              <w:rPr>
                <w:rFonts w:ascii="Times New Roman" w:hAnsi="Times New Roman"/>
                <w:szCs w:val="24"/>
              </w:rPr>
            </w:pPr>
            <w:r w:rsidRPr="00FC6E1D">
              <w:rPr>
                <w:rFonts w:ascii="Times New Roman" w:hAnsi="Times New Roman"/>
                <w:szCs w:val="24"/>
              </w:rPr>
              <w:t>16 January – 20 February</w:t>
            </w:r>
          </w:p>
        </w:tc>
      </w:tr>
      <w:tr w:rsidR="00AD23E1" w:rsidRPr="00916A85" w14:paraId="5BE5CBBC" w14:textId="77777777" w:rsidTr="00FE1B00">
        <w:tc>
          <w:tcPr>
            <w:tcW w:w="4968" w:type="dxa"/>
            <w:shd w:val="clear" w:color="auto" w:fill="auto"/>
            <w:vAlign w:val="center"/>
          </w:tcPr>
          <w:p w14:paraId="3F8A9B95" w14:textId="72A7811A" w:rsidR="00AD23E1" w:rsidRPr="00FC6E1D" w:rsidRDefault="00FC6E1D" w:rsidP="00CD01D3">
            <w:pPr>
              <w:rPr>
                <w:rFonts w:ascii="Times New Roman" w:hAnsi="Times New Roman"/>
                <w:szCs w:val="24"/>
              </w:rPr>
            </w:pPr>
            <w:r w:rsidRPr="00FC6E1D">
              <w:rPr>
                <w:rFonts w:ascii="Times New Roman" w:hAnsi="Times New Roman"/>
                <w:szCs w:val="24"/>
              </w:rPr>
              <w:lastRenderedPageBreak/>
              <w:t>Implement Recommendations</w:t>
            </w:r>
          </w:p>
        </w:tc>
        <w:tc>
          <w:tcPr>
            <w:tcW w:w="1710" w:type="dxa"/>
            <w:vAlign w:val="center"/>
          </w:tcPr>
          <w:p w14:paraId="437F7E3E" w14:textId="5BE6EB62" w:rsidR="00AD23E1" w:rsidRPr="00FC6E1D" w:rsidRDefault="00023EAC" w:rsidP="00CD01D3">
            <w:pPr>
              <w:rPr>
                <w:rFonts w:ascii="Times New Roman" w:hAnsi="Times New Roman"/>
                <w:szCs w:val="24"/>
              </w:rPr>
            </w:pPr>
            <w:r>
              <w:rPr>
                <w:rFonts w:ascii="Times New Roman" w:hAnsi="Times New Roman"/>
                <w:szCs w:val="24"/>
              </w:rPr>
              <w:t>TBD</w:t>
            </w:r>
          </w:p>
        </w:tc>
        <w:tc>
          <w:tcPr>
            <w:tcW w:w="2898" w:type="dxa"/>
            <w:shd w:val="clear" w:color="auto" w:fill="auto"/>
            <w:vAlign w:val="center"/>
          </w:tcPr>
          <w:p w14:paraId="0D1AE592" w14:textId="77777777" w:rsidR="00AD23E1" w:rsidRPr="00FC6E1D" w:rsidRDefault="00AD23E1" w:rsidP="00CD01D3">
            <w:pPr>
              <w:rPr>
                <w:rFonts w:ascii="Times New Roman" w:hAnsi="Times New Roman"/>
                <w:szCs w:val="24"/>
              </w:rPr>
            </w:pPr>
            <w:r w:rsidRPr="00FC6E1D">
              <w:rPr>
                <w:rFonts w:ascii="Times New Roman" w:hAnsi="Times New Roman"/>
                <w:szCs w:val="24"/>
              </w:rPr>
              <w:t>By end of May 2014</w:t>
            </w:r>
          </w:p>
        </w:tc>
      </w:tr>
      <w:tr w:rsidR="00CD3081" w:rsidRPr="00916A85" w14:paraId="61500B76" w14:textId="77777777" w:rsidTr="00FE1B00">
        <w:tc>
          <w:tcPr>
            <w:tcW w:w="4968" w:type="dxa"/>
            <w:shd w:val="clear" w:color="auto" w:fill="D9D9D9" w:themeFill="background1" w:themeFillShade="D9"/>
            <w:vAlign w:val="center"/>
          </w:tcPr>
          <w:p w14:paraId="46E07DEB" w14:textId="77777777" w:rsidR="00CD3081" w:rsidRPr="00CD3081" w:rsidRDefault="00CD3081" w:rsidP="00CD01D3">
            <w:pPr>
              <w:rPr>
                <w:rFonts w:ascii="Times New Roman" w:hAnsi="Times New Roman"/>
                <w:b/>
                <w:szCs w:val="24"/>
              </w:rPr>
            </w:pPr>
          </w:p>
        </w:tc>
        <w:tc>
          <w:tcPr>
            <w:tcW w:w="1710" w:type="dxa"/>
            <w:shd w:val="clear" w:color="auto" w:fill="D9D9D9" w:themeFill="background1" w:themeFillShade="D9"/>
            <w:vAlign w:val="center"/>
          </w:tcPr>
          <w:p w14:paraId="2D4B824E" w14:textId="7AAD4F7A" w:rsidR="00CD3081" w:rsidRPr="00CD3081" w:rsidRDefault="004269D8" w:rsidP="004269D8">
            <w:pPr>
              <w:rPr>
                <w:rFonts w:ascii="Times New Roman" w:hAnsi="Times New Roman"/>
                <w:b/>
                <w:szCs w:val="24"/>
              </w:rPr>
            </w:pPr>
            <w:r>
              <w:rPr>
                <w:rFonts w:ascii="Times New Roman" w:hAnsi="Times New Roman"/>
                <w:b/>
                <w:szCs w:val="24"/>
              </w:rPr>
              <w:t xml:space="preserve">50  –  80 </w:t>
            </w:r>
            <w:r w:rsidR="00CD3081" w:rsidRPr="00CD3081">
              <w:rPr>
                <w:rFonts w:ascii="Times New Roman" w:hAnsi="Times New Roman"/>
                <w:b/>
                <w:szCs w:val="24"/>
              </w:rPr>
              <w:t>hours</w:t>
            </w:r>
          </w:p>
        </w:tc>
        <w:tc>
          <w:tcPr>
            <w:tcW w:w="2898" w:type="dxa"/>
            <w:shd w:val="clear" w:color="auto" w:fill="D9D9D9" w:themeFill="background1" w:themeFillShade="D9"/>
            <w:vAlign w:val="center"/>
          </w:tcPr>
          <w:p w14:paraId="44D2AD52" w14:textId="77777777" w:rsidR="00CD3081" w:rsidRPr="00CD3081" w:rsidRDefault="00CD3081" w:rsidP="00CD01D3">
            <w:pPr>
              <w:rPr>
                <w:rFonts w:ascii="Times New Roman" w:hAnsi="Times New Roman"/>
                <w:b/>
                <w:szCs w:val="24"/>
              </w:rPr>
            </w:pPr>
          </w:p>
        </w:tc>
      </w:tr>
    </w:tbl>
    <w:p w14:paraId="525F6A70" w14:textId="54171902" w:rsidR="00464EFF" w:rsidRPr="00916A85" w:rsidRDefault="00464EFF" w:rsidP="00FE1B00">
      <w:pPr>
        <w:ind w:left="720"/>
        <w:rPr>
          <w:rFonts w:ascii="Avenir Book" w:hAnsi="Avenir Book"/>
          <w:szCs w:val="24"/>
        </w:rPr>
      </w:pPr>
    </w:p>
    <w:sectPr w:rsidR="00464EFF" w:rsidRPr="00916A85" w:rsidSect="001A20A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8A257" w14:textId="77777777" w:rsidR="00AB158C" w:rsidRDefault="00AB158C" w:rsidP="00467C51">
      <w:pPr>
        <w:spacing w:after="0" w:line="240" w:lineRule="auto"/>
      </w:pPr>
      <w:r>
        <w:separator/>
      </w:r>
    </w:p>
  </w:endnote>
  <w:endnote w:type="continuationSeparator" w:id="0">
    <w:p w14:paraId="48E512BB" w14:textId="77777777" w:rsidR="00AB158C" w:rsidRDefault="00AB158C" w:rsidP="0046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08C4" w14:textId="77777777" w:rsidR="006E55B3" w:rsidRDefault="006E55B3">
    <w:pPr>
      <w:pStyle w:val="Footer"/>
      <w:jc w:val="right"/>
    </w:pPr>
    <w:r>
      <w:fldChar w:fldCharType="begin"/>
    </w:r>
    <w:r>
      <w:instrText xml:space="preserve"> PAGE   \* MERGEFORMAT </w:instrText>
    </w:r>
    <w:r>
      <w:fldChar w:fldCharType="separate"/>
    </w:r>
    <w:r w:rsidR="00ED570F">
      <w:rPr>
        <w:noProof/>
      </w:rPr>
      <w:t>1</w:t>
    </w:r>
    <w:r>
      <w:rPr>
        <w:noProof/>
      </w:rPr>
      <w:fldChar w:fldCharType="end"/>
    </w:r>
  </w:p>
  <w:p w14:paraId="2A1FFE34" w14:textId="5E506F52" w:rsidR="006E55B3" w:rsidRDefault="00FE1B00">
    <w:pPr>
      <w:pStyle w:val="Footer"/>
    </w:pPr>
    <w:r>
      <w:fldChar w:fldCharType="begin"/>
    </w:r>
    <w:r>
      <w:instrText xml:space="preserve"> DATE \@ "d MMMM yyyy" </w:instrText>
    </w:r>
    <w:r>
      <w:fldChar w:fldCharType="separate"/>
    </w:r>
    <w:r w:rsidR="00ED570F">
      <w:rPr>
        <w:noProof/>
      </w:rPr>
      <w:t>5 May 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791B9" w14:textId="77777777" w:rsidR="00AB158C" w:rsidRDefault="00AB158C" w:rsidP="00467C51">
      <w:pPr>
        <w:spacing w:after="0" w:line="240" w:lineRule="auto"/>
      </w:pPr>
      <w:r>
        <w:separator/>
      </w:r>
    </w:p>
  </w:footnote>
  <w:footnote w:type="continuationSeparator" w:id="0">
    <w:p w14:paraId="44CAEFAD" w14:textId="77777777" w:rsidR="00AB158C" w:rsidRDefault="00AB158C" w:rsidP="00467C51">
      <w:pPr>
        <w:spacing w:after="0" w:line="240" w:lineRule="auto"/>
      </w:pPr>
      <w:r>
        <w:continuationSeparator/>
      </w:r>
    </w:p>
  </w:footnote>
  <w:footnote w:id="1">
    <w:p w14:paraId="7B760C34" w14:textId="6B83102B" w:rsidR="00FC2520" w:rsidRPr="00FC2520" w:rsidRDefault="00FC2520">
      <w:pPr>
        <w:pStyle w:val="FootnoteText"/>
        <w:rPr>
          <w:rFonts w:ascii="Times New Roman" w:hAnsi="Times New Roman"/>
        </w:rPr>
      </w:pPr>
      <w:r>
        <w:rPr>
          <w:rStyle w:val="FootnoteReference"/>
        </w:rPr>
        <w:footnoteRef/>
      </w:r>
      <w:r>
        <w:t xml:space="preserve"> </w:t>
      </w:r>
      <w:r w:rsidRPr="00FC2520">
        <w:rPr>
          <w:rFonts w:ascii="Times New Roman" w:hAnsi="Times New Roman"/>
        </w:rPr>
        <w:t xml:space="preserve">GNSO Review is mandated by ICANN’s </w:t>
      </w:r>
      <w:hyperlink r:id="rId1" w:anchor="IV" w:history="1">
        <w:r w:rsidRPr="00FC2520">
          <w:rPr>
            <w:rStyle w:val="Hyperlink"/>
            <w:rFonts w:ascii="Times New Roman" w:hAnsi="Times New Roman"/>
          </w:rPr>
          <w:t>Bylaws</w:t>
        </w:r>
      </w:hyperlink>
      <w:r w:rsidRPr="00FC2520">
        <w:rPr>
          <w:rFonts w:ascii="Times New Roman" w:hAnsi="Times New Roman"/>
        </w:rPr>
        <w:t>.</w:t>
      </w:r>
    </w:p>
  </w:footnote>
  <w:footnote w:id="2">
    <w:p w14:paraId="63600D9D" w14:textId="4B6CA41F" w:rsidR="005831C9" w:rsidRDefault="005831C9">
      <w:pPr>
        <w:pStyle w:val="FootnoteText"/>
      </w:pPr>
      <w:r>
        <w:rPr>
          <w:rStyle w:val="FootnoteReference"/>
        </w:rPr>
        <w:footnoteRef/>
      </w:r>
      <w:r>
        <w:t xml:space="preserve"> </w:t>
      </w:r>
      <w:r w:rsidR="00E44B3E" w:rsidRPr="00E44B3E">
        <w:rPr>
          <w:rFonts w:ascii="Times New Roman" w:eastAsia="Times New Roman" w:hAnsi="Times New Roman"/>
        </w:rPr>
        <w:t xml:space="preserve">360 Assessment is </w:t>
      </w:r>
      <w:r w:rsidR="00E44B3E">
        <w:rPr>
          <w:rFonts w:ascii="Times New Roman" w:eastAsia="Times New Roman" w:hAnsi="Times New Roman"/>
        </w:rPr>
        <w:t>a</w:t>
      </w:r>
      <w:r w:rsidR="00E44B3E" w:rsidRPr="00C73CE9">
        <w:rPr>
          <w:rFonts w:ascii="Times New Roman" w:eastAsia="Times New Roman" w:hAnsi="Times New Roman"/>
        </w:rPr>
        <w:t>n</w:t>
      </w:r>
      <w:r w:rsidRPr="00C73CE9">
        <w:rPr>
          <w:rFonts w:ascii="Times New Roman" w:eastAsia="Times New Roman" w:hAnsi="Times New Roman"/>
        </w:rPr>
        <w:t xml:space="preserve"> online mechanism to collect and summarize feedback from members of the GNSO community — a "self-review" relative to objective and quantifiable criteria. Interested members of other ICANN organizations, Board an</w:t>
      </w:r>
      <w:r>
        <w:rPr>
          <w:rFonts w:ascii="Times New Roman" w:eastAsia="Times New Roman" w:hAnsi="Times New Roman"/>
        </w:rPr>
        <w:t>d staff also may offer feedback.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2C42" w14:textId="3F30C0E1" w:rsidR="006A530B" w:rsidRDefault="00AB158C">
    <w:pPr>
      <w:pStyle w:val="Header"/>
    </w:pPr>
    <w:r>
      <w:rPr>
        <w:noProof/>
      </w:rPr>
      <w:pict w14:anchorId="574CFA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24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B9AA" w14:textId="6A2449B8" w:rsidR="00FE1B00" w:rsidRPr="00FE1B00" w:rsidRDefault="00AB158C" w:rsidP="00FE1B00">
    <w:pPr>
      <w:spacing w:before="100" w:beforeAutospacing="1" w:after="100" w:afterAutospacing="1" w:line="240" w:lineRule="auto"/>
      <w:jc w:val="center"/>
      <w:rPr>
        <w:rFonts w:ascii="Cambria" w:eastAsia="Times New Roman" w:hAnsi="Cambria"/>
        <w:b/>
        <w:sz w:val="28"/>
        <w:szCs w:val="24"/>
      </w:rPr>
    </w:pPr>
    <w:r>
      <w:rPr>
        <w:noProof/>
      </w:rPr>
      <w:pict w14:anchorId="03518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250"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E1B00" w:rsidRPr="00CC0D5D">
      <w:rPr>
        <w:rFonts w:ascii="Cambria" w:eastAsia="Times New Roman" w:hAnsi="Cambria"/>
        <w:b/>
        <w:sz w:val="28"/>
        <w:szCs w:val="24"/>
      </w:rPr>
      <w:t>GNSO Review: Forming GNSO Review Working Party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2FA3" w14:textId="4D0544AD" w:rsidR="006A530B" w:rsidRDefault="00AB158C">
    <w:pPr>
      <w:pStyle w:val="Header"/>
    </w:pPr>
    <w:r>
      <w:rPr>
        <w:noProof/>
      </w:rPr>
      <w:pict w14:anchorId="3393E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4824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10F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84006"/>
    <w:multiLevelType w:val="hybridMultilevel"/>
    <w:tmpl w:val="9D507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619E3"/>
    <w:multiLevelType w:val="multilevel"/>
    <w:tmpl w:val="87B2628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1101934"/>
    <w:multiLevelType w:val="hybridMultilevel"/>
    <w:tmpl w:val="12269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81219"/>
    <w:multiLevelType w:val="hybridMultilevel"/>
    <w:tmpl w:val="BCA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B655C"/>
    <w:multiLevelType w:val="hybridMultilevel"/>
    <w:tmpl w:val="0EE2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B065CD"/>
    <w:multiLevelType w:val="hybridMultilevel"/>
    <w:tmpl w:val="2E6EBF60"/>
    <w:lvl w:ilvl="0" w:tplc="9642D976">
      <w:start w:val="1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64A03"/>
    <w:multiLevelType w:val="hybridMultilevel"/>
    <w:tmpl w:val="AF9678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A06099"/>
    <w:multiLevelType w:val="hybridMultilevel"/>
    <w:tmpl w:val="4852EE32"/>
    <w:lvl w:ilvl="0" w:tplc="7430E8FA">
      <w:start w:val="1"/>
      <w:numFmt w:val="bullet"/>
      <w:lvlText w:val="•"/>
      <w:lvlJc w:val="left"/>
      <w:pPr>
        <w:tabs>
          <w:tab w:val="num" w:pos="720"/>
        </w:tabs>
        <w:ind w:left="720" w:hanging="360"/>
      </w:pPr>
      <w:rPr>
        <w:rFonts w:ascii="Arial" w:hAnsi="Arial" w:hint="default"/>
      </w:rPr>
    </w:lvl>
    <w:lvl w:ilvl="1" w:tplc="56427FE8" w:tentative="1">
      <w:start w:val="1"/>
      <w:numFmt w:val="bullet"/>
      <w:lvlText w:val="•"/>
      <w:lvlJc w:val="left"/>
      <w:pPr>
        <w:tabs>
          <w:tab w:val="num" w:pos="1440"/>
        </w:tabs>
        <w:ind w:left="1440" w:hanging="360"/>
      </w:pPr>
      <w:rPr>
        <w:rFonts w:ascii="Arial" w:hAnsi="Arial" w:hint="default"/>
      </w:rPr>
    </w:lvl>
    <w:lvl w:ilvl="2" w:tplc="76E489BC" w:tentative="1">
      <w:start w:val="1"/>
      <w:numFmt w:val="bullet"/>
      <w:lvlText w:val="•"/>
      <w:lvlJc w:val="left"/>
      <w:pPr>
        <w:tabs>
          <w:tab w:val="num" w:pos="2160"/>
        </w:tabs>
        <w:ind w:left="2160" w:hanging="360"/>
      </w:pPr>
      <w:rPr>
        <w:rFonts w:ascii="Arial" w:hAnsi="Arial" w:hint="default"/>
      </w:rPr>
    </w:lvl>
    <w:lvl w:ilvl="3" w:tplc="8D2C60B4" w:tentative="1">
      <w:start w:val="1"/>
      <w:numFmt w:val="bullet"/>
      <w:lvlText w:val="•"/>
      <w:lvlJc w:val="left"/>
      <w:pPr>
        <w:tabs>
          <w:tab w:val="num" w:pos="2880"/>
        </w:tabs>
        <w:ind w:left="2880" w:hanging="360"/>
      </w:pPr>
      <w:rPr>
        <w:rFonts w:ascii="Arial" w:hAnsi="Arial" w:hint="default"/>
      </w:rPr>
    </w:lvl>
    <w:lvl w:ilvl="4" w:tplc="56E64122" w:tentative="1">
      <w:start w:val="1"/>
      <w:numFmt w:val="bullet"/>
      <w:lvlText w:val="•"/>
      <w:lvlJc w:val="left"/>
      <w:pPr>
        <w:tabs>
          <w:tab w:val="num" w:pos="3600"/>
        </w:tabs>
        <w:ind w:left="3600" w:hanging="360"/>
      </w:pPr>
      <w:rPr>
        <w:rFonts w:ascii="Arial" w:hAnsi="Arial" w:hint="default"/>
      </w:rPr>
    </w:lvl>
    <w:lvl w:ilvl="5" w:tplc="2284A57C" w:tentative="1">
      <w:start w:val="1"/>
      <w:numFmt w:val="bullet"/>
      <w:lvlText w:val="•"/>
      <w:lvlJc w:val="left"/>
      <w:pPr>
        <w:tabs>
          <w:tab w:val="num" w:pos="4320"/>
        </w:tabs>
        <w:ind w:left="4320" w:hanging="360"/>
      </w:pPr>
      <w:rPr>
        <w:rFonts w:ascii="Arial" w:hAnsi="Arial" w:hint="default"/>
      </w:rPr>
    </w:lvl>
    <w:lvl w:ilvl="6" w:tplc="29EEDCDA" w:tentative="1">
      <w:start w:val="1"/>
      <w:numFmt w:val="bullet"/>
      <w:lvlText w:val="•"/>
      <w:lvlJc w:val="left"/>
      <w:pPr>
        <w:tabs>
          <w:tab w:val="num" w:pos="5040"/>
        </w:tabs>
        <w:ind w:left="5040" w:hanging="360"/>
      </w:pPr>
      <w:rPr>
        <w:rFonts w:ascii="Arial" w:hAnsi="Arial" w:hint="default"/>
      </w:rPr>
    </w:lvl>
    <w:lvl w:ilvl="7" w:tplc="427E613A" w:tentative="1">
      <w:start w:val="1"/>
      <w:numFmt w:val="bullet"/>
      <w:lvlText w:val="•"/>
      <w:lvlJc w:val="left"/>
      <w:pPr>
        <w:tabs>
          <w:tab w:val="num" w:pos="5760"/>
        </w:tabs>
        <w:ind w:left="5760" w:hanging="360"/>
      </w:pPr>
      <w:rPr>
        <w:rFonts w:ascii="Arial" w:hAnsi="Arial" w:hint="default"/>
      </w:rPr>
    </w:lvl>
    <w:lvl w:ilvl="8" w:tplc="747E7EBC" w:tentative="1">
      <w:start w:val="1"/>
      <w:numFmt w:val="bullet"/>
      <w:lvlText w:val="•"/>
      <w:lvlJc w:val="left"/>
      <w:pPr>
        <w:tabs>
          <w:tab w:val="num" w:pos="6480"/>
        </w:tabs>
        <w:ind w:left="6480" w:hanging="360"/>
      </w:pPr>
      <w:rPr>
        <w:rFonts w:ascii="Arial" w:hAnsi="Arial" w:hint="default"/>
      </w:rPr>
    </w:lvl>
  </w:abstractNum>
  <w:abstractNum w:abstractNumId="9">
    <w:nsid w:val="59097676"/>
    <w:multiLevelType w:val="hybridMultilevel"/>
    <w:tmpl w:val="AAC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A5BFD"/>
    <w:multiLevelType w:val="hybridMultilevel"/>
    <w:tmpl w:val="208886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63595A"/>
    <w:multiLevelType w:val="multilevel"/>
    <w:tmpl w:val="5762C07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2">
    <w:nsid w:val="665B7594"/>
    <w:multiLevelType w:val="hybridMultilevel"/>
    <w:tmpl w:val="05B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73579"/>
    <w:multiLevelType w:val="hybridMultilevel"/>
    <w:tmpl w:val="3BB4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214E6"/>
    <w:multiLevelType w:val="multilevel"/>
    <w:tmpl w:val="98988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0"/>
  </w:num>
  <w:num w:numId="4">
    <w:abstractNumId w:val="10"/>
  </w:num>
  <w:num w:numId="5">
    <w:abstractNumId w:val="7"/>
  </w:num>
  <w:num w:numId="6">
    <w:abstractNumId w:val="13"/>
  </w:num>
  <w:num w:numId="7">
    <w:abstractNumId w:val="12"/>
  </w:num>
  <w:num w:numId="8">
    <w:abstractNumId w:val="6"/>
  </w:num>
  <w:num w:numId="9">
    <w:abstractNumId w:val="9"/>
  </w:num>
  <w:num w:numId="10">
    <w:abstractNumId w:val="8"/>
  </w:num>
  <w:num w:numId="11">
    <w:abstractNumId w:val="4"/>
  </w:num>
  <w:num w:numId="12">
    <w:abstractNumId w:val="5"/>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0E"/>
    <w:rsid w:val="00000FB3"/>
    <w:rsid w:val="00023EAC"/>
    <w:rsid w:val="000317B6"/>
    <w:rsid w:val="00047BC2"/>
    <w:rsid w:val="0007103A"/>
    <w:rsid w:val="00081E14"/>
    <w:rsid w:val="000A1E5A"/>
    <w:rsid w:val="000B578B"/>
    <w:rsid w:val="000C391D"/>
    <w:rsid w:val="000E63C4"/>
    <w:rsid w:val="00115B01"/>
    <w:rsid w:val="00133C11"/>
    <w:rsid w:val="00164FFA"/>
    <w:rsid w:val="001904C5"/>
    <w:rsid w:val="001A20A3"/>
    <w:rsid w:val="001A7DF4"/>
    <w:rsid w:val="001D7834"/>
    <w:rsid w:val="001E071C"/>
    <w:rsid w:val="0020371B"/>
    <w:rsid w:val="00205005"/>
    <w:rsid w:val="00234050"/>
    <w:rsid w:val="002370DC"/>
    <w:rsid w:val="00242778"/>
    <w:rsid w:val="00253FC7"/>
    <w:rsid w:val="0025646B"/>
    <w:rsid w:val="002626C8"/>
    <w:rsid w:val="00262B19"/>
    <w:rsid w:val="00271F8A"/>
    <w:rsid w:val="0027385B"/>
    <w:rsid w:val="00281B8E"/>
    <w:rsid w:val="00287B8B"/>
    <w:rsid w:val="002A6B97"/>
    <w:rsid w:val="002B53CA"/>
    <w:rsid w:val="002C5D32"/>
    <w:rsid w:val="002D4944"/>
    <w:rsid w:val="002E4E91"/>
    <w:rsid w:val="002E5E90"/>
    <w:rsid w:val="00342DB9"/>
    <w:rsid w:val="003524CD"/>
    <w:rsid w:val="003543A3"/>
    <w:rsid w:val="003560A1"/>
    <w:rsid w:val="003702EE"/>
    <w:rsid w:val="003A7E3F"/>
    <w:rsid w:val="003B203F"/>
    <w:rsid w:val="003C5541"/>
    <w:rsid w:val="003C5A24"/>
    <w:rsid w:val="003D26C0"/>
    <w:rsid w:val="003D3ED0"/>
    <w:rsid w:val="003D6390"/>
    <w:rsid w:val="003E621D"/>
    <w:rsid w:val="00403315"/>
    <w:rsid w:val="00407E16"/>
    <w:rsid w:val="00425AF0"/>
    <w:rsid w:val="004269D8"/>
    <w:rsid w:val="004414A3"/>
    <w:rsid w:val="00446465"/>
    <w:rsid w:val="00451C9A"/>
    <w:rsid w:val="00464EFF"/>
    <w:rsid w:val="00467C51"/>
    <w:rsid w:val="00482D1C"/>
    <w:rsid w:val="004A070B"/>
    <w:rsid w:val="004A1F94"/>
    <w:rsid w:val="004B5E99"/>
    <w:rsid w:val="004B71FA"/>
    <w:rsid w:val="004C0D94"/>
    <w:rsid w:val="004E3B5A"/>
    <w:rsid w:val="004E59D2"/>
    <w:rsid w:val="005241F5"/>
    <w:rsid w:val="00541C69"/>
    <w:rsid w:val="00565D07"/>
    <w:rsid w:val="0057376F"/>
    <w:rsid w:val="005831C9"/>
    <w:rsid w:val="00587627"/>
    <w:rsid w:val="005B37C5"/>
    <w:rsid w:val="005C40EE"/>
    <w:rsid w:val="005D4207"/>
    <w:rsid w:val="005F1D0F"/>
    <w:rsid w:val="00642116"/>
    <w:rsid w:val="00663411"/>
    <w:rsid w:val="00666E29"/>
    <w:rsid w:val="00674913"/>
    <w:rsid w:val="00681BA2"/>
    <w:rsid w:val="006A530B"/>
    <w:rsid w:val="006B4142"/>
    <w:rsid w:val="006C25E5"/>
    <w:rsid w:val="006E55B3"/>
    <w:rsid w:val="006F71A6"/>
    <w:rsid w:val="0070319A"/>
    <w:rsid w:val="007127E8"/>
    <w:rsid w:val="0071348F"/>
    <w:rsid w:val="00740C52"/>
    <w:rsid w:val="007674A6"/>
    <w:rsid w:val="0078115B"/>
    <w:rsid w:val="0078354A"/>
    <w:rsid w:val="007C7DBC"/>
    <w:rsid w:val="007E01A0"/>
    <w:rsid w:val="007F1242"/>
    <w:rsid w:val="007F36BD"/>
    <w:rsid w:val="00817476"/>
    <w:rsid w:val="00820414"/>
    <w:rsid w:val="008229EA"/>
    <w:rsid w:val="00840EE7"/>
    <w:rsid w:val="00841D5F"/>
    <w:rsid w:val="008770BB"/>
    <w:rsid w:val="008A50F2"/>
    <w:rsid w:val="008C3D55"/>
    <w:rsid w:val="008C7101"/>
    <w:rsid w:val="008D38E3"/>
    <w:rsid w:val="008D4A26"/>
    <w:rsid w:val="008E1162"/>
    <w:rsid w:val="008F4F54"/>
    <w:rsid w:val="00916A85"/>
    <w:rsid w:val="00924E81"/>
    <w:rsid w:val="009337B1"/>
    <w:rsid w:val="00943347"/>
    <w:rsid w:val="00976F4C"/>
    <w:rsid w:val="00990718"/>
    <w:rsid w:val="009A1DC2"/>
    <w:rsid w:val="009D2109"/>
    <w:rsid w:val="009E2BCC"/>
    <w:rsid w:val="009F41E9"/>
    <w:rsid w:val="00A00C77"/>
    <w:rsid w:val="00A17BB3"/>
    <w:rsid w:val="00A264C7"/>
    <w:rsid w:val="00A2753C"/>
    <w:rsid w:val="00A348C8"/>
    <w:rsid w:val="00A400CF"/>
    <w:rsid w:val="00A411A5"/>
    <w:rsid w:val="00A440A2"/>
    <w:rsid w:val="00A52DEE"/>
    <w:rsid w:val="00A60D72"/>
    <w:rsid w:val="00A83E43"/>
    <w:rsid w:val="00A857CE"/>
    <w:rsid w:val="00A92B25"/>
    <w:rsid w:val="00A94B6E"/>
    <w:rsid w:val="00AA73E9"/>
    <w:rsid w:val="00AB0252"/>
    <w:rsid w:val="00AB158C"/>
    <w:rsid w:val="00AD23E1"/>
    <w:rsid w:val="00AD2417"/>
    <w:rsid w:val="00B13E66"/>
    <w:rsid w:val="00B4020E"/>
    <w:rsid w:val="00B4499C"/>
    <w:rsid w:val="00B46B28"/>
    <w:rsid w:val="00B7152E"/>
    <w:rsid w:val="00B727FF"/>
    <w:rsid w:val="00B74EB8"/>
    <w:rsid w:val="00BE5ED1"/>
    <w:rsid w:val="00BF0A44"/>
    <w:rsid w:val="00BF2134"/>
    <w:rsid w:val="00BF4D74"/>
    <w:rsid w:val="00C36E59"/>
    <w:rsid w:val="00C5293F"/>
    <w:rsid w:val="00C6160C"/>
    <w:rsid w:val="00C72E2A"/>
    <w:rsid w:val="00C73A41"/>
    <w:rsid w:val="00C73CE9"/>
    <w:rsid w:val="00C75769"/>
    <w:rsid w:val="00CA3338"/>
    <w:rsid w:val="00CB22CC"/>
    <w:rsid w:val="00CC0D5D"/>
    <w:rsid w:val="00CC46CA"/>
    <w:rsid w:val="00CD01D3"/>
    <w:rsid w:val="00CD3081"/>
    <w:rsid w:val="00D07863"/>
    <w:rsid w:val="00D43B7B"/>
    <w:rsid w:val="00D61E28"/>
    <w:rsid w:val="00D648B3"/>
    <w:rsid w:val="00D67878"/>
    <w:rsid w:val="00D67F0C"/>
    <w:rsid w:val="00D9044F"/>
    <w:rsid w:val="00DA6891"/>
    <w:rsid w:val="00DD22CA"/>
    <w:rsid w:val="00DD4B2C"/>
    <w:rsid w:val="00DD786F"/>
    <w:rsid w:val="00DE36BA"/>
    <w:rsid w:val="00DF36B8"/>
    <w:rsid w:val="00E02353"/>
    <w:rsid w:val="00E44B3E"/>
    <w:rsid w:val="00E67C9B"/>
    <w:rsid w:val="00E87235"/>
    <w:rsid w:val="00EA583D"/>
    <w:rsid w:val="00EA6DB4"/>
    <w:rsid w:val="00EB48F1"/>
    <w:rsid w:val="00EB6B14"/>
    <w:rsid w:val="00EC604F"/>
    <w:rsid w:val="00ED570F"/>
    <w:rsid w:val="00EE1884"/>
    <w:rsid w:val="00EF134F"/>
    <w:rsid w:val="00EF3D16"/>
    <w:rsid w:val="00F0410E"/>
    <w:rsid w:val="00F11899"/>
    <w:rsid w:val="00F5472E"/>
    <w:rsid w:val="00F70952"/>
    <w:rsid w:val="00F76179"/>
    <w:rsid w:val="00F961F3"/>
    <w:rsid w:val="00FA615C"/>
    <w:rsid w:val="00FC2520"/>
    <w:rsid w:val="00FC6E1D"/>
    <w:rsid w:val="00FC77B4"/>
    <w:rsid w:val="00FE1B00"/>
    <w:rsid w:val="00FF6439"/>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BD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0410E"/>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F0410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F0410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0410E"/>
    <w:rPr>
      <w:b/>
      <w:bCs/>
    </w:rPr>
  </w:style>
  <w:style w:type="character" w:styleId="Hyperlink">
    <w:name w:val="Hyperlink"/>
    <w:uiPriority w:val="99"/>
    <w:unhideWhenUsed/>
    <w:rsid w:val="00F0410E"/>
    <w:rPr>
      <w:color w:val="0000FF"/>
      <w:u w:val="single"/>
    </w:rPr>
  </w:style>
  <w:style w:type="paragraph" w:customStyle="1" w:styleId="Paragraphnumbered">
    <w:name w:val="Paragraph (numbered)"/>
    <w:rsid w:val="002626C8"/>
    <w:pPr>
      <w:spacing w:before="240" w:line="360" w:lineRule="auto"/>
    </w:pPr>
    <w:rPr>
      <w:rFonts w:ascii="Times New Roman" w:eastAsia="ヒラギノ角ゴ Pro W3" w:hAnsi="Times New Roman"/>
      <w:color w:val="000000"/>
      <w:sz w:val="24"/>
      <w:lang w:val="en-AU"/>
    </w:rPr>
  </w:style>
  <w:style w:type="character" w:styleId="FollowedHyperlink">
    <w:name w:val="FollowedHyperlink"/>
    <w:uiPriority w:val="99"/>
    <w:semiHidden/>
    <w:unhideWhenUsed/>
    <w:rsid w:val="002626C8"/>
    <w:rPr>
      <w:color w:val="800080"/>
      <w:u w:val="single"/>
    </w:rPr>
  </w:style>
  <w:style w:type="paragraph" w:styleId="BalloonText">
    <w:name w:val="Balloon Text"/>
    <w:basedOn w:val="Normal"/>
    <w:link w:val="BalloonTextChar"/>
    <w:uiPriority w:val="99"/>
    <w:semiHidden/>
    <w:unhideWhenUsed/>
    <w:rsid w:val="00A00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0C77"/>
    <w:rPr>
      <w:rFonts w:ascii="Tahoma" w:hAnsi="Tahoma" w:cs="Tahoma"/>
      <w:sz w:val="16"/>
      <w:szCs w:val="16"/>
    </w:rPr>
  </w:style>
  <w:style w:type="paragraph" w:styleId="Header">
    <w:name w:val="header"/>
    <w:basedOn w:val="Normal"/>
    <w:link w:val="HeaderChar"/>
    <w:uiPriority w:val="99"/>
    <w:unhideWhenUsed/>
    <w:rsid w:val="00467C51"/>
    <w:pPr>
      <w:tabs>
        <w:tab w:val="center" w:pos="4320"/>
        <w:tab w:val="right" w:pos="8640"/>
      </w:tabs>
    </w:pPr>
  </w:style>
  <w:style w:type="character" w:customStyle="1" w:styleId="HeaderChar">
    <w:name w:val="Header Char"/>
    <w:link w:val="Header"/>
    <w:uiPriority w:val="99"/>
    <w:rsid w:val="00467C51"/>
    <w:rPr>
      <w:sz w:val="22"/>
      <w:szCs w:val="22"/>
    </w:rPr>
  </w:style>
  <w:style w:type="paragraph" w:styleId="Footer">
    <w:name w:val="footer"/>
    <w:basedOn w:val="Normal"/>
    <w:link w:val="FooterChar"/>
    <w:uiPriority w:val="99"/>
    <w:unhideWhenUsed/>
    <w:rsid w:val="00467C51"/>
    <w:pPr>
      <w:tabs>
        <w:tab w:val="center" w:pos="4320"/>
        <w:tab w:val="right" w:pos="8640"/>
      </w:tabs>
    </w:pPr>
  </w:style>
  <w:style w:type="character" w:customStyle="1" w:styleId="FooterChar">
    <w:name w:val="Footer Char"/>
    <w:link w:val="Footer"/>
    <w:uiPriority w:val="99"/>
    <w:rsid w:val="00467C51"/>
    <w:rPr>
      <w:sz w:val="22"/>
      <w:szCs w:val="22"/>
    </w:rPr>
  </w:style>
  <w:style w:type="character" w:styleId="CommentReference">
    <w:name w:val="annotation reference"/>
    <w:uiPriority w:val="99"/>
    <w:semiHidden/>
    <w:unhideWhenUsed/>
    <w:rsid w:val="00205005"/>
    <w:rPr>
      <w:sz w:val="16"/>
      <w:szCs w:val="16"/>
    </w:rPr>
  </w:style>
  <w:style w:type="paragraph" w:styleId="CommentText">
    <w:name w:val="annotation text"/>
    <w:basedOn w:val="Normal"/>
    <w:link w:val="CommentTextChar"/>
    <w:uiPriority w:val="99"/>
    <w:semiHidden/>
    <w:unhideWhenUsed/>
    <w:rsid w:val="00205005"/>
    <w:rPr>
      <w:sz w:val="20"/>
      <w:szCs w:val="20"/>
    </w:rPr>
  </w:style>
  <w:style w:type="character" w:customStyle="1" w:styleId="CommentTextChar">
    <w:name w:val="Comment Text Char"/>
    <w:basedOn w:val="DefaultParagraphFont"/>
    <w:link w:val="CommentText"/>
    <w:uiPriority w:val="99"/>
    <w:semiHidden/>
    <w:rsid w:val="00205005"/>
  </w:style>
  <w:style w:type="paragraph" w:styleId="CommentSubject">
    <w:name w:val="annotation subject"/>
    <w:basedOn w:val="CommentText"/>
    <w:next w:val="CommentText"/>
    <w:link w:val="CommentSubjectChar"/>
    <w:uiPriority w:val="99"/>
    <w:semiHidden/>
    <w:unhideWhenUsed/>
    <w:rsid w:val="00205005"/>
    <w:rPr>
      <w:b/>
      <w:bCs/>
    </w:rPr>
  </w:style>
  <w:style w:type="character" w:customStyle="1" w:styleId="CommentSubjectChar">
    <w:name w:val="Comment Subject Char"/>
    <w:link w:val="CommentSubject"/>
    <w:uiPriority w:val="99"/>
    <w:semiHidden/>
    <w:rsid w:val="00205005"/>
    <w:rPr>
      <w:b/>
      <w:bCs/>
    </w:rPr>
  </w:style>
  <w:style w:type="table" w:styleId="TableGrid">
    <w:name w:val="Table Grid"/>
    <w:basedOn w:val="TableNormal"/>
    <w:uiPriority w:val="59"/>
    <w:rsid w:val="005C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C40EE"/>
    <w:pPr>
      <w:spacing w:after="0" w:line="240" w:lineRule="auto"/>
    </w:pPr>
    <w:rPr>
      <w:sz w:val="24"/>
      <w:szCs w:val="24"/>
    </w:rPr>
  </w:style>
  <w:style w:type="character" w:customStyle="1" w:styleId="FootnoteTextChar">
    <w:name w:val="Footnote Text Char"/>
    <w:link w:val="FootnoteText"/>
    <w:uiPriority w:val="99"/>
    <w:rsid w:val="005C40EE"/>
    <w:rPr>
      <w:sz w:val="24"/>
      <w:szCs w:val="24"/>
    </w:rPr>
  </w:style>
  <w:style w:type="character" w:styleId="FootnoteReference">
    <w:name w:val="footnote reference"/>
    <w:uiPriority w:val="99"/>
    <w:unhideWhenUsed/>
    <w:rsid w:val="005C40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F0410E"/>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F0410E"/>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F0410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0410E"/>
    <w:rPr>
      <w:b/>
      <w:bCs/>
    </w:rPr>
  </w:style>
  <w:style w:type="character" w:styleId="Hyperlink">
    <w:name w:val="Hyperlink"/>
    <w:uiPriority w:val="99"/>
    <w:unhideWhenUsed/>
    <w:rsid w:val="00F0410E"/>
    <w:rPr>
      <w:color w:val="0000FF"/>
      <w:u w:val="single"/>
    </w:rPr>
  </w:style>
  <w:style w:type="paragraph" w:customStyle="1" w:styleId="Paragraphnumbered">
    <w:name w:val="Paragraph (numbered)"/>
    <w:rsid w:val="002626C8"/>
    <w:pPr>
      <w:spacing w:before="240" w:line="360" w:lineRule="auto"/>
    </w:pPr>
    <w:rPr>
      <w:rFonts w:ascii="Times New Roman" w:eastAsia="ヒラギノ角ゴ Pro W3" w:hAnsi="Times New Roman"/>
      <w:color w:val="000000"/>
      <w:sz w:val="24"/>
      <w:lang w:val="en-AU"/>
    </w:rPr>
  </w:style>
  <w:style w:type="character" w:styleId="FollowedHyperlink">
    <w:name w:val="FollowedHyperlink"/>
    <w:uiPriority w:val="99"/>
    <w:semiHidden/>
    <w:unhideWhenUsed/>
    <w:rsid w:val="002626C8"/>
    <w:rPr>
      <w:color w:val="800080"/>
      <w:u w:val="single"/>
    </w:rPr>
  </w:style>
  <w:style w:type="paragraph" w:styleId="BalloonText">
    <w:name w:val="Balloon Text"/>
    <w:basedOn w:val="Normal"/>
    <w:link w:val="BalloonTextChar"/>
    <w:uiPriority w:val="99"/>
    <w:semiHidden/>
    <w:unhideWhenUsed/>
    <w:rsid w:val="00A00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0C77"/>
    <w:rPr>
      <w:rFonts w:ascii="Tahoma" w:hAnsi="Tahoma" w:cs="Tahoma"/>
      <w:sz w:val="16"/>
      <w:szCs w:val="16"/>
    </w:rPr>
  </w:style>
  <w:style w:type="paragraph" w:styleId="Header">
    <w:name w:val="header"/>
    <w:basedOn w:val="Normal"/>
    <w:link w:val="HeaderChar"/>
    <w:uiPriority w:val="99"/>
    <w:unhideWhenUsed/>
    <w:rsid w:val="00467C51"/>
    <w:pPr>
      <w:tabs>
        <w:tab w:val="center" w:pos="4320"/>
        <w:tab w:val="right" w:pos="8640"/>
      </w:tabs>
    </w:pPr>
  </w:style>
  <w:style w:type="character" w:customStyle="1" w:styleId="HeaderChar">
    <w:name w:val="Header Char"/>
    <w:link w:val="Header"/>
    <w:uiPriority w:val="99"/>
    <w:rsid w:val="00467C51"/>
    <w:rPr>
      <w:sz w:val="22"/>
      <w:szCs w:val="22"/>
    </w:rPr>
  </w:style>
  <w:style w:type="paragraph" w:styleId="Footer">
    <w:name w:val="footer"/>
    <w:basedOn w:val="Normal"/>
    <w:link w:val="FooterChar"/>
    <w:uiPriority w:val="99"/>
    <w:unhideWhenUsed/>
    <w:rsid w:val="00467C51"/>
    <w:pPr>
      <w:tabs>
        <w:tab w:val="center" w:pos="4320"/>
        <w:tab w:val="right" w:pos="8640"/>
      </w:tabs>
    </w:pPr>
  </w:style>
  <w:style w:type="character" w:customStyle="1" w:styleId="FooterChar">
    <w:name w:val="Footer Char"/>
    <w:link w:val="Footer"/>
    <w:uiPriority w:val="99"/>
    <w:rsid w:val="00467C51"/>
    <w:rPr>
      <w:sz w:val="22"/>
      <w:szCs w:val="22"/>
    </w:rPr>
  </w:style>
  <w:style w:type="character" w:styleId="CommentReference">
    <w:name w:val="annotation reference"/>
    <w:uiPriority w:val="99"/>
    <w:semiHidden/>
    <w:unhideWhenUsed/>
    <w:rsid w:val="00205005"/>
    <w:rPr>
      <w:sz w:val="16"/>
      <w:szCs w:val="16"/>
    </w:rPr>
  </w:style>
  <w:style w:type="paragraph" w:styleId="CommentText">
    <w:name w:val="annotation text"/>
    <w:basedOn w:val="Normal"/>
    <w:link w:val="CommentTextChar"/>
    <w:uiPriority w:val="99"/>
    <w:semiHidden/>
    <w:unhideWhenUsed/>
    <w:rsid w:val="00205005"/>
    <w:rPr>
      <w:sz w:val="20"/>
      <w:szCs w:val="20"/>
    </w:rPr>
  </w:style>
  <w:style w:type="character" w:customStyle="1" w:styleId="CommentTextChar">
    <w:name w:val="Comment Text Char"/>
    <w:basedOn w:val="DefaultParagraphFont"/>
    <w:link w:val="CommentText"/>
    <w:uiPriority w:val="99"/>
    <w:semiHidden/>
    <w:rsid w:val="00205005"/>
  </w:style>
  <w:style w:type="paragraph" w:styleId="CommentSubject">
    <w:name w:val="annotation subject"/>
    <w:basedOn w:val="CommentText"/>
    <w:next w:val="CommentText"/>
    <w:link w:val="CommentSubjectChar"/>
    <w:uiPriority w:val="99"/>
    <w:semiHidden/>
    <w:unhideWhenUsed/>
    <w:rsid w:val="00205005"/>
    <w:rPr>
      <w:b/>
      <w:bCs/>
    </w:rPr>
  </w:style>
  <w:style w:type="character" w:customStyle="1" w:styleId="CommentSubjectChar">
    <w:name w:val="Comment Subject Char"/>
    <w:link w:val="CommentSubject"/>
    <w:uiPriority w:val="99"/>
    <w:semiHidden/>
    <w:rsid w:val="00205005"/>
    <w:rPr>
      <w:b/>
      <w:bCs/>
    </w:rPr>
  </w:style>
  <w:style w:type="table" w:styleId="TableGrid">
    <w:name w:val="Table Grid"/>
    <w:basedOn w:val="TableNormal"/>
    <w:uiPriority w:val="59"/>
    <w:rsid w:val="005C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C40EE"/>
    <w:pPr>
      <w:spacing w:after="0" w:line="240" w:lineRule="auto"/>
    </w:pPr>
    <w:rPr>
      <w:sz w:val="24"/>
      <w:szCs w:val="24"/>
    </w:rPr>
  </w:style>
  <w:style w:type="character" w:customStyle="1" w:styleId="FootnoteTextChar">
    <w:name w:val="Footnote Text Char"/>
    <w:link w:val="FootnoteText"/>
    <w:uiPriority w:val="99"/>
    <w:rsid w:val="005C40EE"/>
    <w:rPr>
      <w:sz w:val="24"/>
      <w:szCs w:val="24"/>
    </w:rPr>
  </w:style>
  <w:style w:type="character" w:styleId="FootnoteReference">
    <w:name w:val="footnote reference"/>
    <w:uiPriority w:val="99"/>
    <w:unhideWhenUsed/>
    <w:rsid w:val="005C4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958">
      <w:bodyDiv w:val="1"/>
      <w:marLeft w:val="0"/>
      <w:marRight w:val="0"/>
      <w:marTop w:val="0"/>
      <w:marBottom w:val="0"/>
      <w:divBdr>
        <w:top w:val="none" w:sz="0" w:space="0" w:color="auto"/>
        <w:left w:val="none" w:sz="0" w:space="0" w:color="auto"/>
        <w:bottom w:val="none" w:sz="0" w:space="0" w:color="auto"/>
        <w:right w:val="none" w:sz="0" w:space="0" w:color="auto"/>
      </w:divBdr>
    </w:div>
    <w:div w:id="123500194">
      <w:bodyDiv w:val="1"/>
      <w:marLeft w:val="0"/>
      <w:marRight w:val="0"/>
      <w:marTop w:val="0"/>
      <w:marBottom w:val="0"/>
      <w:divBdr>
        <w:top w:val="none" w:sz="0" w:space="0" w:color="auto"/>
        <w:left w:val="none" w:sz="0" w:space="0" w:color="auto"/>
        <w:bottom w:val="none" w:sz="0" w:space="0" w:color="auto"/>
        <w:right w:val="none" w:sz="0" w:space="0" w:color="auto"/>
      </w:divBdr>
    </w:div>
    <w:div w:id="275715615">
      <w:bodyDiv w:val="1"/>
      <w:marLeft w:val="0"/>
      <w:marRight w:val="0"/>
      <w:marTop w:val="0"/>
      <w:marBottom w:val="0"/>
      <w:divBdr>
        <w:top w:val="none" w:sz="0" w:space="0" w:color="auto"/>
        <w:left w:val="none" w:sz="0" w:space="0" w:color="auto"/>
        <w:bottom w:val="none" w:sz="0" w:space="0" w:color="auto"/>
        <w:right w:val="none" w:sz="0" w:space="0" w:color="auto"/>
      </w:divBdr>
    </w:div>
    <w:div w:id="383215296">
      <w:bodyDiv w:val="1"/>
      <w:marLeft w:val="0"/>
      <w:marRight w:val="0"/>
      <w:marTop w:val="0"/>
      <w:marBottom w:val="0"/>
      <w:divBdr>
        <w:top w:val="none" w:sz="0" w:space="0" w:color="auto"/>
        <w:left w:val="none" w:sz="0" w:space="0" w:color="auto"/>
        <w:bottom w:val="none" w:sz="0" w:space="0" w:color="auto"/>
        <w:right w:val="none" w:sz="0" w:space="0" w:color="auto"/>
      </w:divBdr>
    </w:div>
    <w:div w:id="586114923">
      <w:bodyDiv w:val="1"/>
      <w:marLeft w:val="0"/>
      <w:marRight w:val="0"/>
      <w:marTop w:val="0"/>
      <w:marBottom w:val="0"/>
      <w:divBdr>
        <w:top w:val="none" w:sz="0" w:space="0" w:color="auto"/>
        <w:left w:val="none" w:sz="0" w:space="0" w:color="auto"/>
        <w:bottom w:val="none" w:sz="0" w:space="0" w:color="auto"/>
        <w:right w:val="none" w:sz="0" w:space="0" w:color="auto"/>
      </w:divBdr>
      <w:divsChild>
        <w:div w:id="1207178919">
          <w:marLeft w:val="0"/>
          <w:marRight w:val="0"/>
          <w:marTop w:val="0"/>
          <w:marBottom w:val="0"/>
          <w:divBdr>
            <w:top w:val="none" w:sz="0" w:space="0" w:color="auto"/>
            <w:left w:val="none" w:sz="0" w:space="0" w:color="auto"/>
            <w:bottom w:val="none" w:sz="0" w:space="0" w:color="auto"/>
            <w:right w:val="none" w:sz="0" w:space="0" w:color="auto"/>
          </w:divBdr>
          <w:divsChild>
            <w:div w:id="134376738">
              <w:marLeft w:val="0"/>
              <w:marRight w:val="0"/>
              <w:marTop w:val="0"/>
              <w:marBottom w:val="0"/>
              <w:divBdr>
                <w:top w:val="none" w:sz="0" w:space="0" w:color="auto"/>
                <w:left w:val="none" w:sz="0" w:space="0" w:color="auto"/>
                <w:bottom w:val="none" w:sz="0" w:space="0" w:color="auto"/>
                <w:right w:val="none" w:sz="0" w:space="0" w:color="auto"/>
              </w:divBdr>
              <w:divsChild>
                <w:div w:id="20484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9173">
      <w:bodyDiv w:val="1"/>
      <w:marLeft w:val="0"/>
      <w:marRight w:val="0"/>
      <w:marTop w:val="0"/>
      <w:marBottom w:val="0"/>
      <w:divBdr>
        <w:top w:val="none" w:sz="0" w:space="0" w:color="auto"/>
        <w:left w:val="none" w:sz="0" w:space="0" w:color="auto"/>
        <w:bottom w:val="none" w:sz="0" w:space="0" w:color="auto"/>
        <w:right w:val="none" w:sz="0" w:space="0" w:color="auto"/>
      </w:divBdr>
    </w:div>
    <w:div w:id="635913620">
      <w:bodyDiv w:val="1"/>
      <w:marLeft w:val="0"/>
      <w:marRight w:val="0"/>
      <w:marTop w:val="0"/>
      <w:marBottom w:val="0"/>
      <w:divBdr>
        <w:top w:val="none" w:sz="0" w:space="0" w:color="auto"/>
        <w:left w:val="none" w:sz="0" w:space="0" w:color="auto"/>
        <w:bottom w:val="none" w:sz="0" w:space="0" w:color="auto"/>
        <w:right w:val="none" w:sz="0" w:space="0" w:color="auto"/>
      </w:divBdr>
    </w:div>
    <w:div w:id="1198347274">
      <w:bodyDiv w:val="1"/>
      <w:marLeft w:val="0"/>
      <w:marRight w:val="0"/>
      <w:marTop w:val="0"/>
      <w:marBottom w:val="0"/>
      <w:divBdr>
        <w:top w:val="none" w:sz="0" w:space="0" w:color="auto"/>
        <w:left w:val="none" w:sz="0" w:space="0" w:color="auto"/>
        <w:bottom w:val="none" w:sz="0" w:space="0" w:color="auto"/>
        <w:right w:val="none" w:sz="0" w:space="0" w:color="auto"/>
      </w:divBdr>
    </w:div>
    <w:div w:id="1200627522">
      <w:bodyDiv w:val="1"/>
      <w:marLeft w:val="0"/>
      <w:marRight w:val="0"/>
      <w:marTop w:val="0"/>
      <w:marBottom w:val="0"/>
      <w:divBdr>
        <w:top w:val="none" w:sz="0" w:space="0" w:color="auto"/>
        <w:left w:val="none" w:sz="0" w:space="0" w:color="auto"/>
        <w:bottom w:val="none" w:sz="0" w:space="0" w:color="auto"/>
        <w:right w:val="none" w:sz="0" w:space="0" w:color="auto"/>
      </w:divBdr>
      <w:divsChild>
        <w:div w:id="111629360">
          <w:marLeft w:val="547"/>
          <w:marRight w:val="0"/>
          <w:marTop w:val="0"/>
          <w:marBottom w:val="0"/>
          <w:divBdr>
            <w:top w:val="none" w:sz="0" w:space="0" w:color="auto"/>
            <w:left w:val="none" w:sz="0" w:space="0" w:color="auto"/>
            <w:bottom w:val="none" w:sz="0" w:space="0" w:color="auto"/>
            <w:right w:val="none" w:sz="0" w:space="0" w:color="auto"/>
          </w:divBdr>
        </w:div>
        <w:div w:id="1006398817">
          <w:marLeft w:val="547"/>
          <w:marRight w:val="0"/>
          <w:marTop w:val="0"/>
          <w:marBottom w:val="0"/>
          <w:divBdr>
            <w:top w:val="none" w:sz="0" w:space="0" w:color="auto"/>
            <w:left w:val="none" w:sz="0" w:space="0" w:color="auto"/>
            <w:bottom w:val="none" w:sz="0" w:space="0" w:color="auto"/>
            <w:right w:val="none" w:sz="0" w:space="0" w:color="auto"/>
          </w:divBdr>
        </w:div>
        <w:div w:id="1691178465">
          <w:marLeft w:val="547"/>
          <w:marRight w:val="0"/>
          <w:marTop w:val="0"/>
          <w:marBottom w:val="0"/>
          <w:divBdr>
            <w:top w:val="none" w:sz="0" w:space="0" w:color="auto"/>
            <w:left w:val="none" w:sz="0" w:space="0" w:color="auto"/>
            <w:bottom w:val="none" w:sz="0" w:space="0" w:color="auto"/>
            <w:right w:val="none" w:sz="0" w:space="0" w:color="auto"/>
          </w:divBdr>
        </w:div>
      </w:divsChild>
    </w:div>
    <w:div w:id="1416131189">
      <w:bodyDiv w:val="1"/>
      <w:marLeft w:val="0"/>
      <w:marRight w:val="0"/>
      <w:marTop w:val="0"/>
      <w:marBottom w:val="0"/>
      <w:divBdr>
        <w:top w:val="none" w:sz="0" w:space="0" w:color="auto"/>
        <w:left w:val="none" w:sz="0" w:space="0" w:color="auto"/>
        <w:bottom w:val="none" w:sz="0" w:space="0" w:color="auto"/>
        <w:right w:val="none" w:sz="0" w:space="0" w:color="auto"/>
      </w:divBdr>
    </w:div>
    <w:div w:id="1554999390">
      <w:bodyDiv w:val="1"/>
      <w:marLeft w:val="0"/>
      <w:marRight w:val="0"/>
      <w:marTop w:val="0"/>
      <w:marBottom w:val="0"/>
      <w:divBdr>
        <w:top w:val="none" w:sz="0" w:space="0" w:color="auto"/>
        <w:left w:val="none" w:sz="0" w:space="0" w:color="auto"/>
        <w:bottom w:val="none" w:sz="0" w:space="0" w:color="auto"/>
        <w:right w:val="none" w:sz="0" w:space="0" w:color="auto"/>
      </w:divBdr>
    </w:div>
    <w:div w:id="1652560128">
      <w:bodyDiv w:val="1"/>
      <w:marLeft w:val="0"/>
      <w:marRight w:val="0"/>
      <w:marTop w:val="0"/>
      <w:marBottom w:val="0"/>
      <w:divBdr>
        <w:top w:val="none" w:sz="0" w:space="0" w:color="auto"/>
        <w:left w:val="none" w:sz="0" w:space="0" w:color="auto"/>
        <w:bottom w:val="none" w:sz="0" w:space="0" w:color="auto"/>
        <w:right w:val="none" w:sz="0" w:space="0" w:color="auto"/>
      </w:divBdr>
    </w:div>
    <w:div w:id="1685086093">
      <w:bodyDiv w:val="1"/>
      <w:marLeft w:val="0"/>
      <w:marRight w:val="0"/>
      <w:marTop w:val="0"/>
      <w:marBottom w:val="0"/>
      <w:divBdr>
        <w:top w:val="none" w:sz="0" w:space="0" w:color="auto"/>
        <w:left w:val="none" w:sz="0" w:space="0" w:color="auto"/>
        <w:bottom w:val="none" w:sz="0" w:space="0" w:color="auto"/>
        <w:right w:val="none" w:sz="0" w:space="0" w:color="auto"/>
      </w:divBdr>
    </w:div>
    <w:div w:id="1892569374">
      <w:bodyDiv w:val="1"/>
      <w:marLeft w:val="0"/>
      <w:marRight w:val="0"/>
      <w:marTop w:val="0"/>
      <w:marBottom w:val="0"/>
      <w:divBdr>
        <w:top w:val="none" w:sz="0" w:space="0" w:color="auto"/>
        <w:left w:val="none" w:sz="0" w:space="0" w:color="auto"/>
        <w:bottom w:val="none" w:sz="0" w:space="0" w:color="auto"/>
        <w:right w:val="none" w:sz="0" w:space="0" w:color="auto"/>
      </w:divBdr>
    </w:div>
    <w:div w:id="1931040184">
      <w:bodyDiv w:val="1"/>
      <w:marLeft w:val="0"/>
      <w:marRight w:val="0"/>
      <w:marTop w:val="0"/>
      <w:marBottom w:val="0"/>
      <w:divBdr>
        <w:top w:val="none" w:sz="0" w:space="0" w:color="auto"/>
        <w:left w:val="none" w:sz="0" w:space="0" w:color="auto"/>
        <w:bottom w:val="none" w:sz="0" w:space="0" w:color="auto"/>
        <w:right w:val="none" w:sz="0" w:space="0" w:color="auto"/>
      </w:divBdr>
      <w:divsChild>
        <w:div w:id="223176497">
          <w:marLeft w:val="0"/>
          <w:marRight w:val="0"/>
          <w:marTop w:val="0"/>
          <w:marBottom w:val="0"/>
          <w:divBdr>
            <w:top w:val="none" w:sz="0" w:space="0" w:color="auto"/>
            <w:left w:val="none" w:sz="0" w:space="0" w:color="auto"/>
            <w:bottom w:val="none" w:sz="0" w:space="0" w:color="auto"/>
            <w:right w:val="none" w:sz="0" w:space="0" w:color="auto"/>
          </w:divBdr>
          <w:divsChild>
            <w:div w:id="800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4993">
      <w:bodyDiv w:val="1"/>
      <w:marLeft w:val="0"/>
      <w:marRight w:val="0"/>
      <w:marTop w:val="0"/>
      <w:marBottom w:val="0"/>
      <w:divBdr>
        <w:top w:val="none" w:sz="0" w:space="0" w:color="auto"/>
        <w:left w:val="none" w:sz="0" w:space="0" w:color="auto"/>
        <w:bottom w:val="none" w:sz="0" w:space="0" w:color="auto"/>
        <w:right w:val="none" w:sz="0" w:space="0" w:color="auto"/>
      </w:divBdr>
      <w:divsChild>
        <w:div w:id="75711526">
          <w:marLeft w:val="547"/>
          <w:marRight w:val="0"/>
          <w:marTop w:val="0"/>
          <w:marBottom w:val="0"/>
          <w:divBdr>
            <w:top w:val="none" w:sz="0" w:space="0" w:color="auto"/>
            <w:left w:val="none" w:sz="0" w:space="0" w:color="auto"/>
            <w:bottom w:val="none" w:sz="0" w:space="0" w:color="auto"/>
            <w:right w:val="none" w:sz="0" w:space="0" w:color="auto"/>
          </w:divBdr>
        </w:div>
        <w:div w:id="1148283686">
          <w:marLeft w:val="547"/>
          <w:marRight w:val="0"/>
          <w:marTop w:val="0"/>
          <w:marBottom w:val="0"/>
          <w:divBdr>
            <w:top w:val="none" w:sz="0" w:space="0" w:color="auto"/>
            <w:left w:val="none" w:sz="0" w:space="0" w:color="auto"/>
            <w:bottom w:val="none" w:sz="0" w:space="0" w:color="auto"/>
            <w:right w:val="none" w:sz="0" w:space="0" w:color="auto"/>
          </w:divBdr>
        </w:div>
        <w:div w:id="168867734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nso.icann.org/en/announcements/announcement-22apr14-en.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about/governance/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3CE7-BFD3-4B3F-9895-3B94F24A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Nordling</dc:creator>
  <cp:lastModifiedBy>Larisa Gurnick</cp:lastModifiedBy>
  <cp:revision>4</cp:revision>
  <cp:lastPrinted>2011-04-04T14:51:00Z</cp:lastPrinted>
  <dcterms:created xsi:type="dcterms:W3CDTF">2014-05-05T13:08:00Z</dcterms:created>
  <dcterms:modified xsi:type="dcterms:W3CDTF">2014-05-05T13:17:00Z</dcterms:modified>
</cp:coreProperties>
</file>