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72B" w:rsidRPr="0070172B" w:rsidRDefault="0070172B" w:rsidP="0070172B">
      <w:pPr>
        <w:jc w:val="center"/>
        <w:rPr>
          <w:rFonts w:asciiTheme="majorHAnsi" w:hAnsiTheme="majorHAnsi" w:cs="Arial"/>
          <w:b/>
          <w:sz w:val="24"/>
          <w:szCs w:val="24"/>
        </w:rPr>
      </w:pPr>
      <w:r w:rsidRPr="0070172B">
        <w:rPr>
          <w:rFonts w:asciiTheme="majorHAnsi" w:hAnsiTheme="majorHAnsi" w:cs="Arial"/>
          <w:b/>
          <w:sz w:val="24"/>
          <w:szCs w:val="24"/>
        </w:rPr>
        <w:t>GNSO gTLD Registries Stakeholder Group Statement</w:t>
      </w:r>
    </w:p>
    <w:p w:rsidR="0070172B" w:rsidRPr="0070172B" w:rsidRDefault="0070172B" w:rsidP="0070172B">
      <w:pPr>
        <w:jc w:val="center"/>
        <w:rPr>
          <w:rFonts w:asciiTheme="majorHAnsi" w:hAnsiTheme="majorHAnsi" w:cs="Arial"/>
          <w:b/>
          <w:sz w:val="24"/>
          <w:szCs w:val="24"/>
        </w:rPr>
      </w:pPr>
      <w:r w:rsidRPr="0070172B">
        <w:rPr>
          <w:rFonts w:asciiTheme="majorHAnsi" w:hAnsiTheme="majorHAnsi" w:cs="Arial"/>
          <w:b/>
          <w:sz w:val="24"/>
          <w:szCs w:val="24"/>
        </w:rPr>
        <w:t xml:space="preserve">Issue: </w:t>
      </w:r>
      <w:r>
        <w:rPr>
          <w:rFonts w:asciiTheme="majorHAnsi" w:hAnsiTheme="majorHAnsi" w:cs="Arial"/>
          <w:b/>
          <w:sz w:val="24"/>
          <w:szCs w:val="24"/>
        </w:rPr>
        <w:t>Community Input and Advice Process</w:t>
      </w:r>
    </w:p>
    <w:p w:rsidR="0070172B" w:rsidRPr="0070172B" w:rsidRDefault="0070172B" w:rsidP="0070172B">
      <w:pPr>
        <w:rPr>
          <w:rFonts w:asciiTheme="majorHAnsi" w:hAnsiTheme="majorHAnsi" w:cs="Arial"/>
          <w:sz w:val="24"/>
          <w:szCs w:val="24"/>
        </w:rPr>
      </w:pPr>
      <w:r w:rsidRPr="0070172B">
        <w:rPr>
          <w:rFonts w:asciiTheme="majorHAnsi" w:hAnsiTheme="majorHAnsi" w:cs="Arial"/>
          <w:sz w:val="24"/>
          <w:szCs w:val="24"/>
        </w:rPr>
        <w:t xml:space="preserve">Date: </w:t>
      </w:r>
      <w:r>
        <w:rPr>
          <w:rFonts w:asciiTheme="majorHAnsi" w:hAnsiTheme="majorHAnsi" w:cs="Arial"/>
          <w:sz w:val="24"/>
          <w:szCs w:val="24"/>
        </w:rPr>
        <w:t xml:space="preserve"> October 2</w:t>
      </w:r>
      <w:r w:rsidR="00462AD9">
        <w:rPr>
          <w:rFonts w:asciiTheme="majorHAnsi" w:hAnsiTheme="majorHAnsi" w:cs="Arial"/>
          <w:sz w:val="24"/>
          <w:szCs w:val="24"/>
        </w:rPr>
        <w:t>5</w:t>
      </w:r>
      <w:r>
        <w:rPr>
          <w:rFonts w:asciiTheme="majorHAnsi" w:hAnsiTheme="majorHAnsi" w:cs="Arial"/>
          <w:sz w:val="24"/>
          <w:szCs w:val="24"/>
        </w:rPr>
        <w:t>,</w:t>
      </w:r>
      <w:r w:rsidRPr="0070172B">
        <w:rPr>
          <w:rFonts w:asciiTheme="majorHAnsi" w:hAnsiTheme="majorHAnsi" w:cs="Arial"/>
          <w:sz w:val="24"/>
          <w:szCs w:val="24"/>
        </w:rPr>
        <w:t xml:space="preserve"> 2012</w:t>
      </w:r>
    </w:p>
    <w:p w:rsidR="0070172B" w:rsidRPr="0070172B" w:rsidRDefault="0070172B" w:rsidP="0070172B">
      <w:pPr>
        <w:rPr>
          <w:rFonts w:asciiTheme="majorHAnsi" w:hAnsiTheme="majorHAnsi" w:cs="Arial"/>
          <w:sz w:val="24"/>
          <w:szCs w:val="24"/>
        </w:rPr>
      </w:pPr>
      <w:r w:rsidRPr="0070172B">
        <w:rPr>
          <w:rFonts w:asciiTheme="majorHAnsi" w:hAnsiTheme="majorHAnsi" w:cs="Arial"/>
          <w:sz w:val="24"/>
          <w:szCs w:val="24"/>
        </w:rPr>
        <w:t>Issue Document URL:</w:t>
      </w:r>
      <w:r>
        <w:rPr>
          <w:rFonts w:asciiTheme="majorHAnsi" w:hAnsiTheme="majorHAnsi" w:cs="Arial"/>
          <w:sz w:val="24"/>
          <w:szCs w:val="24"/>
        </w:rPr>
        <w:t xml:space="preserve"> </w:t>
      </w:r>
      <w:r w:rsidRPr="0070172B">
        <w:rPr>
          <w:rFonts w:asciiTheme="majorHAnsi" w:hAnsiTheme="majorHAnsi" w:cs="Arial"/>
          <w:sz w:val="24"/>
          <w:szCs w:val="24"/>
        </w:rPr>
        <w:t>http://www.icann.org/en/news/public-comment/input-advice-function-24sep12-en.htm</w:t>
      </w:r>
      <w:r w:rsidRPr="0070172B">
        <w:rPr>
          <w:rFonts w:asciiTheme="majorHAnsi" w:hAnsiTheme="majorHAnsi" w:cs="Arial"/>
          <w:sz w:val="24"/>
          <w:szCs w:val="24"/>
        </w:rPr>
        <w:tab/>
      </w:r>
    </w:p>
    <w:p w:rsidR="0070172B" w:rsidRPr="0070172B" w:rsidRDefault="0070172B" w:rsidP="0070172B">
      <w:pPr>
        <w:pStyle w:val="Default"/>
        <w:rPr>
          <w:rFonts w:asciiTheme="majorHAnsi" w:hAnsiTheme="majorHAnsi"/>
        </w:rPr>
      </w:pPr>
      <w:r w:rsidRPr="0070172B">
        <w:rPr>
          <w:rFonts w:asciiTheme="majorHAnsi" w:hAnsiTheme="majorHAnsi"/>
        </w:rPr>
        <w:t>This statement on the issue noted above is submitted on behalf of the gTLD Registries Stakeholder Group (RySG).  The statement that follows represents a consensus position of the RySG as further detailed at the end of the document. The RySG statement was arrived at through a combination of RySG email list discussion and RySG meetings (including teleconference meetings).</w:t>
      </w:r>
    </w:p>
    <w:p w:rsidR="005D6637" w:rsidRPr="0070172B" w:rsidRDefault="005D6637" w:rsidP="005D6637">
      <w:pPr>
        <w:pStyle w:val="Default"/>
        <w:rPr>
          <w:rFonts w:asciiTheme="majorHAnsi" w:hAnsiTheme="majorHAnsi"/>
        </w:rPr>
      </w:pPr>
    </w:p>
    <w:p w:rsidR="005D6637" w:rsidRPr="0070172B" w:rsidRDefault="005D6637" w:rsidP="005D6637">
      <w:pPr>
        <w:pStyle w:val="Default"/>
        <w:rPr>
          <w:rFonts w:asciiTheme="majorHAnsi" w:hAnsiTheme="majorHAnsi"/>
          <w:b/>
          <w:bCs/>
        </w:rPr>
      </w:pPr>
      <w:r w:rsidRPr="0070172B">
        <w:rPr>
          <w:rFonts w:asciiTheme="majorHAnsi" w:hAnsiTheme="majorHAnsi"/>
          <w:b/>
          <w:bCs/>
        </w:rPr>
        <w:t>Community Input &amp; Advice Function</w:t>
      </w:r>
    </w:p>
    <w:p w:rsidR="005D6637" w:rsidRPr="0070172B" w:rsidRDefault="005D6637" w:rsidP="005D6637">
      <w:pPr>
        <w:pStyle w:val="Default"/>
        <w:rPr>
          <w:rFonts w:asciiTheme="majorHAnsi" w:hAnsiTheme="majorHAnsi"/>
        </w:rPr>
      </w:pPr>
      <w:r w:rsidRPr="0070172B">
        <w:rPr>
          <w:rFonts w:asciiTheme="majorHAnsi" w:hAnsiTheme="majorHAnsi"/>
          <w:b/>
          <w:bCs/>
        </w:rPr>
        <w:t xml:space="preserve"> </w:t>
      </w:r>
    </w:p>
    <w:p w:rsidR="005D6637" w:rsidRPr="0070172B" w:rsidRDefault="005D6637" w:rsidP="005D6637">
      <w:pPr>
        <w:pStyle w:val="Default"/>
        <w:rPr>
          <w:rFonts w:asciiTheme="majorHAnsi" w:hAnsiTheme="majorHAnsi"/>
        </w:rPr>
      </w:pPr>
      <w:r w:rsidRPr="0070172B">
        <w:rPr>
          <w:rFonts w:asciiTheme="majorHAnsi" w:hAnsiTheme="majorHAnsi"/>
        </w:rPr>
        <w:t xml:space="preserve">In fulfillment of Accountability and Transparency Review Team Recommendation No. 6, a document was produced that specifically set forth the topics that are subject to policy development processes, and those that are generally within the ICANN Board level Organizational Administration Function. While Recommendation 6 has been completed, the work performed identified an area in which improvement is required – how the Board obtains the advice that it needs from the ICANN community beyond the traditional public comment process. Recently, issues have surfaced where the Board has sought in-depth input or advice from the community, and has specifically requested portions of the community to come together for that purpose. </w:t>
      </w:r>
    </w:p>
    <w:p w:rsidR="005D6637" w:rsidRPr="0070172B" w:rsidRDefault="005D6637" w:rsidP="005D6637">
      <w:pPr>
        <w:pStyle w:val="Default"/>
        <w:rPr>
          <w:rFonts w:asciiTheme="majorHAnsi" w:hAnsiTheme="majorHAnsi"/>
        </w:rPr>
      </w:pPr>
    </w:p>
    <w:p w:rsidR="005D6637" w:rsidRDefault="0070172B" w:rsidP="005D6637">
      <w:pPr>
        <w:pStyle w:val="Default"/>
        <w:rPr>
          <w:rFonts w:asciiTheme="minorHAnsi" w:hAnsiTheme="minorHAnsi" w:cs="Arial"/>
        </w:rPr>
      </w:pPr>
      <w:r>
        <w:rPr>
          <w:rFonts w:asciiTheme="minorHAnsi" w:hAnsiTheme="minorHAnsi" w:cs="Arial"/>
        </w:rPr>
        <w:t xml:space="preserve">In order to guide advice from the community, the Board has posted the </w:t>
      </w:r>
      <w:hyperlink r:id="rId7" w:history="1">
        <w:r w:rsidRPr="0070172B">
          <w:rPr>
            <w:rFonts w:asciiTheme="minorHAnsi" w:hAnsiTheme="minorHAnsi" w:cs="Arial"/>
            <w:color w:val="D65129"/>
          </w:rPr>
          <w:t>Community Input and Advice Function Paper</w:t>
        </w:r>
      </w:hyperlink>
      <w:r>
        <w:rPr>
          <w:rFonts w:asciiTheme="minorHAnsi" w:hAnsiTheme="minorHAnsi" w:cs="Arial"/>
        </w:rPr>
        <w:t xml:space="preserve"> that includes the questions set forth below. The answers of the RySG are indicated in </w:t>
      </w:r>
      <w:r w:rsidRPr="0070172B">
        <w:rPr>
          <w:rFonts w:asciiTheme="minorHAnsi" w:hAnsiTheme="minorHAnsi" w:cs="Arial"/>
          <w:color w:val="FF0000"/>
        </w:rPr>
        <w:t>red</w:t>
      </w:r>
      <w:r>
        <w:rPr>
          <w:rFonts w:asciiTheme="minorHAnsi" w:hAnsiTheme="minorHAnsi" w:cs="Arial"/>
        </w:rPr>
        <w:t>.</w:t>
      </w:r>
    </w:p>
    <w:p w:rsidR="0070172B" w:rsidRPr="0070172B" w:rsidRDefault="0070172B" w:rsidP="005D6637">
      <w:pPr>
        <w:pStyle w:val="Default"/>
        <w:rPr>
          <w:rFonts w:asciiTheme="minorHAnsi" w:hAnsiTheme="minorHAnsi"/>
        </w:rPr>
      </w:pPr>
    </w:p>
    <w:p w:rsidR="005D6637" w:rsidRPr="0070172B" w:rsidRDefault="005D6637" w:rsidP="005D6637">
      <w:pPr>
        <w:pStyle w:val="Default"/>
        <w:rPr>
          <w:rFonts w:asciiTheme="majorHAnsi" w:hAnsiTheme="majorHAnsi"/>
        </w:rPr>
      </w:pPr>
      <w:r w:rsidRPr="0070172B">
        <w:rPr>
          <w:rFonts w:asciiTheme="majorHAnsi" w:hAnsiTheme="majorHAnsi"/>
          <w:b/>
          <w:bCs/>
        </w:rPr>
        <w:t xml:space="preserve">Questions: </w:t>
      </w:r>
    </w:p>
    <w:p w:rsidR="005D6637" w:rsidRPr="0070172B" w:rsidRDefault="005D6637" w:rsidP="005D6637">
      <w:pPr>
        <w:pStyle w:val="Default"/>
        <w:rPr>
          <w:rFonts w:asciiTheme="majorHAnsi" w:hAnsiTheme="majorHAnsi"/>
        </w:rPr>
      </w:pPr>
    </w:p>
    <w:p w:rsidR="005D6637" w:rsidRPr="0070172B" w:rsidRDefault="005D6637" w:rsidP="005D6637">
      <w:pPr>
        <w:pStyle w:val="Default"/>
        <w:rPr>
          <w:rFonts w:asciiTheme="majorHAnsi" w:hAnsiTheme="majorHAnsi"/>
        </w:rPr>
      </w:pPr>
      <w:r w:rsidRPr="0070172B">
        <w:rPr>
          <w:rFonts w:asciiTheme="majorHAnsi" w:hAnsiTheme="majorHAnsi"/>
          <w:b/>
          <w:bCs/>
        </w:rPr>
        <w:t xml:space="preserve">In order to clarify this function, here are some initial questions for community discussion: </w:t>
      </w:r>
    </w:p>
    <w:p w:rsidR="005D6637" w:rsidRPr="0070172B" w:rsidRDefault="005D6637" w:rsidP="005D6637">
      <w:pPr>
        <w:pStyle w:val="Default"/>
        <w:rPr>
          <w:rFonts w:asciiTheme="majorHAnsi" w:hAnsiTheme="majorHAnsi"/>
        </w:rPr>
      </w:pPr>
    </w:p>
    <w:p w:rsidR="005D6637" w:rsidRPr="0070172B" w:rsidRDefault="005D6637" w:rsidP="005D6637">
      <w:pPr>
        <w:pStyle w:val="Default"/>
        <w:numPr>
          <w:ilvl w:val="0"/>
          <w:numId w:val="1"/>
        </w:numPr>
        <w:rPr>
          <w:rFonts w:asciiTheme="majorHAnsi" w:hAnsiTheme="majorHAnsi"/>
        </w:rPr>
      </w:pPr>
      <w:r w:rsidRPr="0070172B">
        <w:rPr>
          <w:rFonts w:asciiTheme="majorHAnsi" w:hAnsiTheme="majorHAnsi"/>
        </w:rPr>
        <w:t xml:space="preserve">Should standardized processes be created for the Board’s receipt of community input and advice? </w:t>
      </w:r>
    </w:p>
    <w:p w:rsidR="005D6637" w:rsidRPr="0070172B" w:rsidRDefault="005D6637" w:rsidP="005D6637">
      <w:pPr>
        <w:pStyle w:val="Default"/>
        <w:rPr>
          <w:rFonts w:asciiTheme="majorHAnsi" w:hAnsiTheme="majorHAnsi"/>
          <w:color w:val="C00000"/>
        </w:rPr>
      </w:pPr>
    </w:p>
    <w:p w:rsidR="005D6637" w:rsidRPr="0070172B" w:rsidRDefault="005D6637" w:rsidP="005D6637">
      <w:pPr>
        <w:pStyle w:val="Default"/>
        <w:numPr>
          <w:ilvl w:val="1"/>
          <w:numId w:val="1"/>
        </w:numPr>
        <w:rPr>
          <w:rFonts w:asciiTheme="majorHAnsi" w:hAnsiTheme="majorHAnsi"/>
          <w:color w:val="C00000"/>
        </w:rPr>
      </w:pPr>
      <w:r w:rsidRPr="0070172B">
        <w:rPr>
          <w:rFonts w:asciiTheme="majorHAnsi" w:hAnsiTheme="majorHAnsi"/>
          <w:color w:val="C00000"/>
        </w:rPr>
        <w:t>Yes, a standardized process</w:t>
      </w:r>
      <w:r w:rsidR="00F0061B" w:rsidRPr="0070172B">
        <w:rPr>
          <w:rFonts w:asciiTheme="majorHAnsi" w:hAnsiTheme="majorHAnsi"/>
          <w:color w:val="C00000"/>
        </w:rPr>
        <w:t xml:space="preserve"> or processes</w:t>
      </w:r>
      <w:r w:rsidRPr="0070172B">
        <w:rPr>
          <w:rFonts w:asciiTheme="majorHAnsi" w:hAnsiTheme="majorHAnsi"/>
          <w:color w:val="C00000"/>
        </w:rPr>
        <w:t xml:space="preserve"> would ensure the transparent and predictable handling of:</w:t>
      </w:r>
    </w:p>
    <w:p w:rsidR="005D6637" w:rsidRPr="0070172B" w:rsidRDefault="005D6637" w:rsidP="005D6637">
      <w:pPr>
        <w:pStyle w:val="Default"/>
        <w:numPr>
          <w:ilvl w:val="2"/>
          <w:numId w:val="1"/>
        </w:numPr>
        <w:rPr>
          <w:rFonts w:asciiTheme="majorHAnsi" w:hAnsiTheme="majorHAnsi"/>
          <w:color w:val="C00000"/>
        </w:rPr>
      </w:pPr>
      <w:r w:rsidRPr="0070172B">
        <w:rPr>
          <w:rFonts w:asciiTheme="majorHAnsi" w:hAnsiTheme="majorHAnsi"/>
          <w:color w:val="C00000"/>
        </w:rPr>
        <w:t>requests from the Board for community input and advice</w:t>
      </w:r>
    </w:p>
    <w:p w:rsidR="005D6637" w:rsidRPr="0070172B" w:rsidRDefault="005D6637" w:rsidP="005D6637">
      <w:pPr>
        <w:pStyle w:val="Default"/>
        <w:numPr>
          <w:ilvl w:val="2"/>
          <w:numId w:val="1"/>
        </w:numPr>
        <w:rPr>
          <w:rFonts w:asciiTheme="majorHAnsi" w:hAnsiTheme="majorHAnsi"/>
          <w:color w:val="C00000"/>
        </w:rPr>
      </w:pPr>
      <w:r w:rsidRPr="0070172B">
        <w:rPr>
          <w:rFonts w:asciiTheme="majorHAnsi" w:hAnsiTheme="majorHAnsi"/>
          <w:color w:val="C00000"/>
        </w:rPr>
        <w:t>community responses to Board requests</w:t>
      </w:r>
    </w:p>
    <w:p w:rsidR="005D6637" w:rsidRPr="0070172B" w:rsidRDefault="005D6637" w:rsidP="005D6637">
      <w:pPr>
        <w:pStyle w:val="Default"/>
        <w:numPr>
          <w:ilvl w:val="2"/>
          <w:numId w:val="1"/>
        </w:numPr>
        <w:rPr>
          <w:rFonts w:asciiTheme="majorHAnsi" w:hAnsiTheme="majorHAnsi"/>
          <w:color w:val="C00000"/>
        </w:rPr>
      </w:pPr>
      <w:r w:rsidRPr="0070172B">
        <w:rPr>
          <w:rFonts w:asciiTheme="majorHAnsi" w:hAnsiTheme="majorHAnsi"/>
          <w:color w:val="C00000"/>
        </w:rPr>
        <w:t>unsolicited community input and advice to the Board</w:t>
      </w:r>
    </w:p>
    <w:p w:rsidR="005D6637" w:rsidRPr="0070172B" w:rsidRDefault="005D6637" w:rsidP="005D6637">
      <w:pPr>
        <w:pStyle w:val="Default"/>
        <w:numPr>
          <w:ilvl w:val="2"/>
          <w:numId w:val="1"/>
        </w:numPr>
        <w:rPr>
          <w:rFonts w:asciiTheme="majorHAnsi" w:hAnsiTheme="majorHAnsi"/>
          <w:color w:val="C00000"/>
        </w:rPr>
      </w:pPr>
      <w:r w:rsidRPr="0070172B">
        <w:rPr>
          <w:rFonts w:asciiTheme="majorHAnsi" w:hAnsiTheme="majorHAnsi"/>
          <w:color w:val="C00000"/>
        </w:rPr>
        <w:t>Board responses to community input and advice</w:t>
      </w:r>
    </w:p>
    <w:p w:rsidR="005D6637" w:rsidRPr="0070172B" w:rsidRDefault="005D6637" w:rsidP="005D6637">
      <w:pPr>
        <w:pStyle w:val="Default"/>
        <w:rPr>
          <w:rFonts w:asciiTheme="majorHAnsi" w:hAnsiTheme="majorHAnsi"/>
          <w:color w:val="C00000"/>
        </w:rPr>
      </w:pPr>
    </w:p>
    <w:p w:rsidR="00F0061B" w:rsidRPr="0070172B" w:rsidRDefault="005D6637" w:rsidP="005D6637">
      <w:pPr>
        <w:pStyle w:val="Default"/>
        <w:numPr>
          <w:ilvl w:val="0"/>
          <w:numId w:val="1"/>
        </w:numPr>
        <w:rPr>
          <w:rFonts w:asciiTheme="majorHAnsi" w:hAnsiTheme="majorHAnsi"/>
        </w:rPr>
      </w:pPr>
      <w:r w:rsidRPr="0070172B">
        <w:rPr>
          <w:rFonts w:asciiTheme="majorHAnsi" w:hAnsiTheme="majorHAnsi"/>
        </w:rPr>
        <w:t>If so, should such a procedure be standardized across ICANN SOs/ACs, aligned with the current existing procedures, or should there be some flexibility among the SOs/ACs (certain parts are required for all, while other parts may be developed by the respective SOs/ACs).</w:t>
      </w:r>
    </w:p>
    <w:p w:rsidR="00F0061B" w:rsidRPr="0070172B" w:rsidRDefault="00F0061B" w:rsidP="00F0061B">
      <w:pPr>
        <w:pStyle w:val="Default"/>
        <w:rPr>
          <w:rFonts w:asciiTheme="majorHAnsi" w:hAnsiTheme="majorHAnsi"/>
          <w:color w:val="C00000"/>
        </w:rPr>
      </w:pPr>
    </w:p>
    <w:p w:rsidR="005D6637" w:rsidRPr="0070172B" w:rsidRDefault="00F0061B" w:rsidP="00F0061B">
      <w:pPr>
        <w:pStyle w:val="Default"/>
        <w:numPr>
          <w:ilvl w:val="1"/>
          <w:numId w:val="1"/>
        </w:numPr>
        <w:rPr>
          <w:rFonts w:asciiTheme="majorHAnsi" w:hAnsiTheme="majorHAnsi"/>
          <w:color w:val="C00000"/>
        </w:rPr>
      </w:pPr>
      <w:r w:rsidRPr="0070172B">
        <w:rPr>
          <w:rFonts w:asciiTheme="majorHAnsi" w:hAnsiTheme="majorHAnsi"/>
          <w:color w:val="C00000"/>
        </w:rPr>
        <w:lastRenderedPageBreak/>
        <w:t>To what ‘existing procedures’ does this question refer? Generally speaking, flexibility might be warranted but we need further clarification around the referenced ‘existing procedures’ to be able to consider and respond more effectively.</w:t>
      </w:r>
    </w:p>
    <w:p w:rsidR="005D6637" w:rsidRPr="0070172B" w:rsidRDefault="005D6637" w:rsidP="005D6637">
      <w:pPr>
        <w:pStyle w:val="Default"/>
        <w:rPr>
          <w:rFonts w:asciiTheme="majorHAnsi" w:hAnsiTheme="majorHAnsi"/>
          <w:color w:val="C00000"/>
        </w:rPr>
      </w:pPr>
    </w:p>
    <w:p w:rsidR="005D6637" w:rsidRPr="0070172B" w:rsidRDefault="005D6637" w:rsidP="005D6637">
      <w:pPr>
        <w:pStyle w:val="Default"/>
        <w:numPr>
          <w:ilvl w:val="0"/>
          <w:numId w:val="1"/>
        </w:numPr>
        <w:rPr>
          <w:rFonts w:asciiTheme="majorHAnsi" w:hAnsiTheme="majorHAnsi"/>
          <w:color w:val="auto"/>
        </w:rPr>
      </w:pPr>
      <w:r w:rsidRPr="0070172B">
        <w:rPr>
          <w:rFonts w:asciiTheme="majorHAnsi" w:hAnsiTheme="majorHAnsi"/>
          <w:color w:val="auto"/>
        </w:rPr>
        <w:t xml:space="preserve">How should the Board request this input and advice? </w:t>
      </w:r>
    </w:p>
    <w:p w:rsidR="00F0061B" w:rsidRPr="0070172B" w:rsidRDefault="00F0061B" w:rsidP="00F0061B">
      <w:pPr>
        <w:pStyle w:val="Default"/>
        <w:numPr>
          <w:ilvl w:val="1"/>
          <w:numId w:val="1"/>
        </w:numPr>
        <w:rPr>
          <w:rFonts w:asciiTheme="majorHAnsi" w:hAnsiTheme="majorHAnsi"/>
          <w:color w:val="C00000"/>
        </w:rPr>
      </w:pPr>
      <w:r w:rsidRPr="0070172B">
        <w:rPr>
          <w:rFonts w:asciiTheme="majorHAnsi" w:hAnsiTheme="majorHAnsi"/>
          <w:color w:val="C00000"/>
        </w:rPr>
        <w:t>Board requests for community input and advice should be made in a public manner while allowing sufficient time for the community to respond.</w:t>
      </w:r>
    </w:p>
    <w:p w:rsidR="00C16C61" w:rsidRPr="0070172B" w:rsidRDefault="00C16C61" w:rsidP="00F0061B">
      <w:pPr>
        <w:pStyle w:val="Default"/>
        <w:numPr>
          <w:ilvl w:val="1"/>
          <w:numId w:val="1"/>
        </w:numPr>
        <w:rPr>
          <w:rFonts w:asciiTheme="majorHAnsi" w:hAnsiTheme="majorHAnsi"/>
          <w:color w:val="C00000"/>
        </w:rPr>
      </w:pPr>
      <w:r w:rsidRPr="0070172B">
        <w:rPr>
          <w:rFonts w:asciiTheme="majorHAnsi" w:hAnsiTheme="majorHAnsi"/>
          <w:color w:val="C00000"/>
        </w:rPr>
        <w:t>It should also be possible for community groups to submit advice directly, i.e., not responding to a Board request.</w:t>
      </w:r>
    </w:p>
    <w:p w:rsidR="005D6637" w:rsidRPr="0070172B" w:rsidRDefault="005D6637" w:rsidP="005D6637">
      <w:pPr>
        <w:pStyle w:val="Default"/>
        <w:rPr>
          <w:rFonts w:asciiTheme="majorHAnsi" w:hAnsiTheme="majorHAnsi"/>
          <w:color w:val="C00000"/>
        </w:rPr>
      </w:pPr>
    </w:p>
    <w:p w:rsidR="005D6637" w:rsidRPr="0070172B" w:rsidRDefault="005D6637" w:rsidP="005D6637">
      <w:pPr>
        <w:pStyle w:val="Default"/>
        <w:numPr>
          <w:ilvl w:val="0"/>
          <w:numId w:val="1"/>
        </w:numPr>
        <w:rPr>
          <w:rFonts w:asciiTheme="majorHAnsi" w:hAnsiTheme="majorHAnsi"/>
        </w:rPr>
      </w:pPr>
      <w:r w:rsidRPr="0070172B">
        <w:rPr>
          <w:rFonts w:asciiTheme="majorHAnsi" w:hAnsiTheme="majorHAnsi"/>
        </w:rPr>
        <w:t xml:space="preserve">What is most effective and efficient method to deal with the issue topic identified? Should it be a working group, could current procedures be used? Who determines which method will be used? </w:t>
      </w:r>
    </w:p>
    <w:p w:rsidR="00F0061B" w:rsidRPr="0070172B" w:rsidRDefault="00F0061B" w:rsidP="00F0061B">
      <w:pPr>
        <w:pStyle w:val="Default"/>
        <w:ind w:left="720"/>
        <w:rPr>
          <w:rFonts w:asciiTheme="majorHAnsi" w:hAnsiTheme="majorHAnsi"/>
          <w:color w:val="C00000"/>
        </w:rPr>
      </w:pPr>
    </w:p>
    <w:p w:rsidR="00595F4D" w:rsidRPr="0070172B" w:rsidRDefault="00595F4D" w:rsidP="00595F4D">
      <w:pPr>
        <w:pStyle w:val="Default"/>
        <w:numPr>
          <w:ilvl w:val="1"/>
          <w:numId w:val="1"/>
        </w:numPr>
        <w:rPr>
          <w:rFonts w:asciiTheme="majorHAnsi" w:hAnsiTheme="majorHAnsi"/>
          <w:color w:val="C00000"/>
        </w:rPr>
      </w:pPr>
      <w:r w:rsidRPr="0070172B">
        <w:rPr>
          <w:rFonts w:asciiTheme="majorHAnsi" w:hAnsiTheme="majorHAnsi"/>
          <w:color w:val="C00000"/>
        </w:rPr>
        <w:t>A working group can be effective in developing consensus among parties with divergent views, but</w:t>
      </w:r>
      <w:r w:rsidR="0070172B">
        <w:rPr>
          <w:rFonts w:asciiTheme="majorHAnsi" w:hAnsiTheme="majorHAnsi"/>
          <w:color w:val="C00000"/>
        </w:rPr>
        <w:t>,</w:t>
      </w:r>
      <w:r w:rsidRPr="0070172B">
        <w:rPr>
          <w:rFonts w:asciiTheme="majorHAnsi" w:hAnsiTheme="majorHAnsi"/>
          <w:color w:val="C00000"/>
        </w:rPr>
        <w:t xml:space="preserve"> as in the case of the Vertical Integration WG, may not always succeed in reaching an agreed-to position. </w:t>
      </w:r>
    </w:p>
    <w:p w:rsidR="00F0061B" w:rsidRPr="0070172B" w:rsidRDefault="00595F4D" w:rsidP="00F0061B">
      <w:pPr>
        <w:pStyle w:val="Default"/>
        <w:numPr>
          <w:ilvl w:val="1"/>
          <w:numId w:val="1"/>
        </w:numPr>
        <w:rPr>
          <w:rFonts w:asciiTheme="majorHAnsi" w:hAnsiTheme="majorHAnsi"/>
          <w:color w:val="C00000"/>
        </w:rPr>
      </w:pPr>
      <w:r w:rsidRPr="0070172B">
        <w:rPr>
          <w:rFonts w:asciiTheme="majorHAnsi" w:hAnsiTheme="majorHAnsi"/>
          <w:color w:val="C00000"/>
        </w:rPr>
        <w:t>To what ‘current procedures’ does this question refer?</w:t>
      </w:r>
    </w:p>
    <w:p w:rsidR="005D6637" w:rsidRPr="0070172B" w:rsidRDefault="005D6637" w:rsidP="005D6637">
      <w:pPr>
        <w:pStyle w:val="Default"/>
        <w:rPr>
          <w:rFonts w:asciiTheme="majorHAnsi" w:hAnsiTheme="majorHAnsi"/>
        </w:rPr>
      </w:pPr>
    </w:p>
    <w:p w:rsidR="005D6637" w:rsidRPr="0070172B" w:rsidRDefault="005D6637" w:rsidP="005D6637">
      <w:pPr>
        <w:pStyle w:val="Default"/>
        <w:numPr>
          <w:ilvl w:val="0"/>
          <w:numId w:val="1"/>
        </w:numPr>
        <w:rPr>
          <w:rFonts w:asciiTheme="majorHAnsi" w:hAnsiTheme="majorHAnsi"/>
        </w:rPr>
      </w:pPr>
      <w:r w:rsidRPr="0070172B">
        <w:rPr>
          <w:rFonts w:asciiTheme="majorHAnsi" w:hAnsiTheme="majorHAnsi"/>
        </w:rPr>
        <w:t xml:space="preserve">Should working groups be chartered for each initiative? </w:t>
      </w:r>
    </w:p>
    <w:p w:rsidR="00F0061B" w:rsidRPr="0070172B" w:rsidRDefault="00F0061B" w:rsidP="00F0061B">
      <w:pPr>
        <w:pStyle w:val="Default"/>
        <w:ind w:left="720"/>
        <w:rPr>
          <w:rFonts w:asciiTheme="majorHAnsi" w:hAnsiTheme="majorHAnsi"/>
        </w:rPr>
      </w:pPr>
    </w:p>
    <w:p w:rsidR="00F0061B" w:rsidRPr="0070172B" w:rsidRDefault="00F0061B" w:rsidP="00F0061B">
      <w:pPr>
        <w:pStyle w:val="Default"/>
        <w:numPr>
          <w:ilvl w:val="1"/>
          <w:numId w:val="1"/>
        </w:numPr>
        <w:rPr>
          <w:rFonts w:asciiTheme="majorHAnsi" w:hAnsiTheme="majorHAnsi"/>
          <w:color w:val="C00000"/>
        </w:rPr>
      </w:pPr>
      <w:r w:rsidRPr="0070172B">
        <w:rPr>
          <w:rFonts w:asciiTheme="majorHAnsi" w:hAnsiTheme="majorHAnsi"/>
          <w:color w:val="C00000"/>
        </w:rPr>
        <w:t>Not necessarily.</w:t>
      </w:r>
      <w:r w:rsidR="00595F4D" w:rsidRPr="0070172B">
        <w:rPr>
          <w:rFonts w:asciiTheme="majorHAnsi" w:hAnsiTheme="majorHAnsi"/>
          <w:color w:val="C00000"/>
        </w:rPr>
        <w:t xml:space="preserve"> Working groups can be effective but may not be efficient in every case. </w:t>
      </w:r>
    </w:p>
    <w:p w:rsidR="005D6637" w:rsidRPr="0070172B" w:rsidRDefault="005D6637" w:rsidP="005D6637">
      <w:pPr>
        <w:pStyle w:val="Default"/>
        <w:rPr>
          <w:rFonts w:asciiTheme="majorHAnsi" w:hAnsiTheme="majorHAnsi"/>
        </w:rPr>
      </w:pPr>
    </w:p>
    <w:p w:rsidR="005D6637" w:rsidRPr="0070172B" w:rsidRDefault="005D6637" w:rsidP="005D6637">
      <w:pPr>
        <w:pStyle w:val="Default"/>
        <w:numPr>
          <w:ilvl w:val="0"/>
          <w:numId w:val="1"/>
        </w:numPr>
        <w:rPr>
          <w:rFonts w:asciiTheme="majorHAnsi" w:hAnsiTheme="majorHAnsi"/>
        </w:rPr>
      </w:pPr>
      <w:r w:rsidRPr="0070172B">
        <w:rPr>
          <w:rFonts w:asciiTheme="majorHAnsi" w:hAnsiTheme="majorHAnsi"/>
        </w:rPr>
        <w:t xml:space="preserve">How are different parts of the ICANN community expected to </w:t>
      </w:r>
      <w:r w:rsidR="00595F4D" w:rsidRPr="0070172B">
        <w:rPr>
          <w:rFonts w:asciiTheme="majorHAnsi" w:hAnsiTheme="majorHAnsi"/>
        </w:rPr>
        <w:t>work together in these efforts?</w:t>
      </w:r>
    </w:p>
    <w:p w:rsidR="00595F4D" w:rsidRPr="0070172B" w:rsidRDefault="00595F4D" w:rsidP="00595F4D">
      <w:pPr>
        <w:pStyle w:val="Default"/>
        <w:rPr>
          <w:rFonts w:asciiTheme="majorHAnsi" w:hAnsiTheme="majorHAnsi"/>
        </w:rPr>
      </w:pPr>
    </w:p>
    <w:p w:rsidR="005D6637" w:rsidRPr="0070172B" w:rsidRDefault="00595F4D" w:rsidP="005D6637">
      <w:pPr>
        <w:pStyle w:val="Default"/>
        <w:numPr>
          <w:ilvl w:val="1"/>
          <w:numId w:val="1"/>
        </w:numPr>
        <w:rPr>
          <w:rFonts w:asciiTheme="majorHAnsi" w:hAnsiTheme="majorHAnsi"/>
        </w:rPr>
      </w:pPr>
      <w:r w:rsidRPr="0070172B">
        <w:rPr>
          <w:rFonts w:asciiTheme="majorHAnsi" w:hAnsiTheme="majorHAnsi"/>
          <w:color w:val="C00000"/>
        </w:rPr>
        <w:t>The example of the Cross-Community Working Group</w:t>
      </w:r>
      <w:r w:rsidR="00D03B38" w:rsidRPr="0070172B">
        <w:rPr>
          <w:rFonts w:asciiTheme="majorHAnsi" w:hAnsiTheme="majorHAnsi"/>
          <w:color w:val="C00000"/>
        </w:rPr>
        <w:t>s</w:t>
      </w:r>
      <w:r w:rsidRPr="0070172B">
        <w:rPr>
          <w:rFonts w:asciiTheme="majorHAnsi" w:hAnsiTheme="majorHAnsi"/>
          <w:color w:val="C00000"/>
        </w:rPr>
        <w:t xml:space="preserve"> </w:t>
      </w:r>
      <w:r w:rsidR="00D03B38" w:rsidRPr="0070172B">
        <w:rPr>
          <w:rFonts w:asciiTheme="majorHAnsi" w:hAnsiTheme="majorHAnsi"/>
          <w:color w:val="C00000"/>
        </w:rPr>
        <w:t xml:space="preserve">could be a good model for consideration. </w:t>
      </w:r>
    </w:p>
    <w:p w:rsidR="00C16C61" w:rsidRPr="0070172B" w:rsidRDefault="00C16C61" w:rsidP="005D6637">
      <w:pPr>
        <w:pStyle w:val="Default"/>
        <w:numPr>
          <w:ilvl w:val="1"/>
          <w:numId w:val="1"/>
        </w:numPr>
        <w:rPr>
          <w:rFonts w:asciiTheme="majorHAnsi" w:hAnsiTheme="majorHAnsi"/>
          <w:color w:val="C00000"/>
        </w:rPr>
      </w:pPr>
      <w:r w:rsidRPr="0070172B">
        <w:rPr>
          <w:rFonts w:asciiTheme="majorHAnsi" w:hAnsiTheme="majorHAnsi"/>
          <w:color w:val="C00000"/>
        </w:rPr>
        <w:t>It would be helpful if a Cross-Community Working Group process w</w:t>
      </w:r>
      <w:r w:rsidR="0070172B">
        <w:rPr>
          <w:rFonts w:asciiTheme="majorHAnsi" w:hAnsiTheme="majorHAnsi"/>
          <w:color w:val="C00000"/>
        </w:rPr>
        <w:t>ere</w:t>
      </w:r>
      <w:r w:rsidRPr="0070172B">
        <w:rPr>
          <w:rFonts w:asciiTheme="majorHAnsi" w:hAnsiTheme="majorHAnsi"/>
          <w:color w:val="C00000"/>
        </w:rPr>
        <w:t xml:space="preserve"> developed that contained guidelines to facilitate collaboration across multiple ICANN SOs and ACs.</w:t>
      </w:r>
    </w:p>
    <w:p w:rsidR="00D03B38" w:rsidRPr="0070172B" w:rsidRDefault="00D03B38" w:rsidP="00D03B38">
      <w:pPr>
        <w:pStyle w:val="Default"/>
        <w:ind w:left="1440"/>
        <w:rPr>
          <w:rFonts w:asciiTheme="majorHAnsi" w:hAnsiTheme="majorHAnsi"/>
          <w:color w:val="C00000"/>
        </w:rPr>
      </w:pPr>
    </w:p>
    <w:p w:rsidR="00F0061B" w:rsidRPr="0070172B" w:rsidRDefault="005D6637" w:rsidP="005D6637">
      <w:pPr>
        <w:pStyle w:val="Default"/>
        <w:numPr>
          <w:ilvl w:val="0"/>
          <w:numId w:val="1"/>
        </w:numPr>
        <w:rPr>
          <w:rFonts w:asciiTheme="majorHAnsi" w:hAnsiTheme="majorHAnsi"/>
        </w:rPr>
      </w:pPr>
      <w:r w:rsidRPr="0070172B">
        <w:rPr>
          <w:rFonts w:asciiTheme="majorHAnsi" w:hAnsiTheme="majorHAnsi"/>
        </w:rPr>
        <w:t>What minimum public consultation requirements, if any, should be required within this function?</w:t>
      </w:r>
    </w:p>
    <w:p w:rsidR="00595F4D" w:rsidRPr="0070172B" w:rsidRDefault="00595F4D" w:rsidP="00595F4D">
      <w:pPr>
        <w:pStyle w:val="Default"/>
        <w:rPr>
          <w:rFonts w:asciiTheme="majorHAnsi" w:hAnsiTheme="majorHAnsi"/>
        </w:rPr>
      </w:pPr>
    </w:p>
    <w:p w:rsidR="005D6637" w:rsidRPr="0070172B" w:rsidRDefault="00595F4D" w:rsidP="00F0061B">
      <w:pPr>
        <w:pStyle w:val="Default"/>
        <w:numPr>
          <w:ilvl w:val="1"/>
          <w:numId w:val="1"/>
        </w:numPr>
        <w:rPr>
          <w:rFonts w:asciiTheme="majorHAnsi" w:hAnsiTheme="majorHAnsi"/>
          <w:color w:val="C00000"/>
        </w:rPr>
      </w:pPr>
      <w:r w:rsidRPr="0070172B">
        <w:rPr>
          <w:rFonts w:asciiTheme="majorHAnsi" w:hAnsiTheme="majorHAnsi"/>
          <w:color w:val="C00000"/>
        </w:rPr>
        <w:t>There should be a reasonable opportunity for public consultation, perhaps similar to the new reply period associated with existing formal public comment periods. This is particularly important in the event the community is divided or any working group is unable to reach consensus on input and advice to the Board.</w:t>
      </w:r>
    </w:p>
    <w:p w:rsidR="00B62103" w:rsidRPr="0070172B" w:rsidRDefault="00B62103" w:rsidP="00F0061B">
      <w:pPr>
        <w:pStyle w:val="Default"/>
        <w:numPr>
          <w:ilvl w:val="1"/>
          <w:numId w:val="1"/>
        </w:numPr>
        <w:rPr>
          <w:rFonts w:asciiTheme="majorHAnsi" w:hAnsiTheme="majorHAnsi"/>
          <w:color w:val="C00000"/>
        </w:rPr>
      </w:pPr>
      <w:r w:rsidRPr="0070172B">
        <w:rPr>
          <w:rFonts w:asciiTheme="majorHAnsi" w:hAnsiTheme="majorHAnsi"/>
          <w:color w:val="C00000"/>
        </w:rPr>
        <w:t>The Board should provide a timely reply to the advice received not only</w:t>
      </w:r>
      <w:r w:rsidR="0070172B">
        <w:rPr>
          <w:rFonts w:asciiTheme="majorHAnsi" w:hAnsiTheme="majorHAnsi"/>
          <w:color w:val="C00000"/>
        </w:rPr>
        <w:t xml:space="preserve"> to</w:t>
      </w:r>
      <w:r w:rsidRPr="0070172B">
        <w:rPr>
          <w:rFonts w:asciiTheme="majorHAnsi" w:hAnsiTheme="majorHAnsi"/>
          <w:color w:val="C00000"/>
        </w:rPr>
        <w:t xml:space="preserve"> acknowledge receipt of the input but also to explain how and why the advice was used or not used.</w:t>
      </w:r>
    </w:p>
    <w:p w:rsidR="005D6637" w:rsidRPr="0070172B" w:rsidRDefault="005D6637" w:rsidP="005D6637">
      <w:pPr>
        <w:pStyle w:val="Default"/>
        <w:rPr>
          <w:rFonts w:asciiTheme="majorHAnsi" w:hAnsiTheme="majorHAnsi"/>
        </w:rPr>
      </w:pPr>
    </w:p>
    <w:p w:rsidR="005D6637" w:rsidRPr="0070172B" w:rsidRDefault="005D6637" w:rsidP="005D6637">
      <w:pPr>
        <w:pStyle w:val="Default"/>
        <w:numPr>
          <w:ilvl w:val="0"/>
          <w:numId w:val="1"/>
        </w:numPr>
        <w:rPr>
          <w:rFonts w:asciiTheme="majorHAnsi" w:hAnsiTheme="majorHAnsi"/>
        </w:rPr>
      </w:pPr>
      <w:r w:rsidRPr="0070172B">
        <w:rPr>
          <w:rFonts w:asciiTheme="majorHAnsi" w:hAnsiTheme="majorHAnsi"/>
        </w:rPr>
        <w:t>Are there any topics that should n</w:t>
      </w:r>
      <w:r w:rsidR="00F0061B" w:rsidRPr="0070172B">
        <w:rPr>
          <w:rFonts w:asciiTheme="majorHAnsi" w:hAnsiTheme="majorHAnsi"/>
        </w:rPr>
        <w:t>ot be subject to this function?</w:t>
      </w:r>
    </w:p>
    <w:p w:rsidR="00F0061B" w:rsidRPr="0070172B" w:rsidRDefault="00F0061B" w:rsidP="00F0061B">
      <w:pPr>
        <w:pStyle w:val="Default"/>
        <w:rPr>
          <w:rFonts w:asciiTheme="majorHAnsi" w:hAnsiTheme="majorHAnsi"/>
        </w:rPr>
      </w:pPr>
    </w:p>
    <w:p w:rsidR="00F0061B" w:rsidRPr="0070172B" w:rsidRDefault="00F0061B" w:rsidP="00F0061B">
      <w:pPr>
        <w:pStyle w:val="Default"/>
        <w:numPr>
          <w:ilvl w:val="1"/>
          <w:numId w:val="1"/>
        </w:numPr>
        <w:rPr>
          <w:rFonts w:asciiTheme="majorHAnsi" w:hAnsiTheme="majorHAnsi"/>
          <w:color w:val="C00000"/>
        </w:rPr>
      </w:pPr>
      <w:r w:rsidRPr="0070172B">
        <w:rPr>
          <w:rFonts w:asciiTheme="majorHAnsi" w:hAnsiTheme="majorHAnsi"/>
          <w:color w:val="C00000"/>
        </w:rPr>
        <w:t>Any topics that belong in a PDP should not be subject to a separate community input and advice process.</w:t>
      </w:r>
    </w:p>
    <w:p w:rsidR="005D6637" w:rsidRPr="0070172B" w:rsidRDefault="005D6637" w:rsidP="005D6637">
      <w:pPr>
        <w:pStyle w:val="Default"/>
        <w:rPr>
          <w:rFonts w:asciiTheme="majorHAnsi" w:hAnsiTheme="majorHAnsi"/>
        </w:rPr>
      </w:pPr>
    </w:p>
    <w:p w:rsidR="005D6637" w:rsidRPr="0070172B" w:rsidRDefault="005D6637" w:rsidP="005D6637">
      <w:pPr>
        <w:pStyle w:val="Default"/>
        <w:numPr>
          <w:ilvl w:val="0"/>
          <w:numId w:val="1"/>
        </w:numPr>
        <w:rPr>
          <w:rFonts w:asciiTheme="majorHAnsi" w:hAnsiTheme="majorHAnsi"/>
        </w:rPr>
      </w:pPr>
      <w:r w:rsidRPr="0070172B">
        <w:rPr>
          <w:rFonts w:asciiTheme="majorHAnsi" w:hAnsiTheme="majorHAnsi"/>
        </w:rPr>
        <w:t xml:space="preserve">Who within ICANN lead this effort? </w:t>
      </w:r>
    </w:p>
    <w:p w:rsidR="00F0061B" w:rsidRPr="0070172B" w:rsidRDefault="00F0061B" w:rsidP="00F0061B">
      <w:pPr>
        <w:pStyle w:val="Default"/>
        <w:rPr>
          <w:rFonts w:asciiTheme="majorHAnsi" w:hAnsiTheme="majorHAnsi"/>
          <w:color w:val="C00000"/>
        </w:rPr>
      </w:pPr>
    </w:p>
    <w:p w:rsidR="00F0061B" w:rsidRPr="0070172B" w:rsidRDefault="00595F4D" w:rsidP="00F0061B">
      <w:pPr>
        <w:pStyle w:val="Default"/>
        <w:numPr>
          <w:ilvl w:val="1"/>
          <w:numId w:val="1"/>
        </w:numPr>
        <w:rPr>
          <w:rFonts w:asciiTheme="majorHAnsi" w:hAnsiTheme="majorHAnsi"/>
          <w:color w:val="C00000"/>
        </w:rPr>
      </w:pPr>
      <w:r w:rsidRPr="0070172B">
        <w:rPr>
          <w:rFonts w:asciiTheme="majorHAnsi" w:hAnsiTheme="majorHAnsi"/>
          <w:color w:val="C00000"/>
        </w:rPr>
        <w:t>Without more detail about the process, i</w:t>
      </w:r>
      <w:r w:rsidR="00F0061B" w:rsidRPr="0070172B">
        <w:rPr>
          <w:rFonts w:asciiTheme="majorHAnsi" w:hAnsiTheme="majorHAnsi"/>
          <w:color w:val="C00000"/>
        </w:rPr>
        <w:t xml:space="preserve">t’s premature to determine who within ICANN should lead the </w:t>
      </w:r>
      <w:r w:rsidRPr="0070172B">
        <w:rPr>
          <w:rFonts w:asciiTheme="majorHAnsi" w:hAnsiTheme="majorHAnsi"/>
          <w:color w:val="C00000"/>
        </w:rPr>
        <w:t xml:space="preserve">effort. The answer will likely depend on the nature of the issue. It also remains to be determined whether the process should be “led” by ICANN the organization or led by participants in </w:t>
      </w:r>
      <w:r w:rsidR="0070172B">
        <w:rPr>
          <w:rFonts w:asciiTheme="majorHAnsi" w:hAnsiTheme="majorHAnsi"/>
          <w:color w:val="C00000"/>
        </w:rPr>
        <w:t>the ICANN community in a bottom</w:t>
      </w:r>
      <w:r w:rsidRPr="0070172B">
        <w:rPr>
          <w:rFonts w:asciiTheme="majorHAnsi" w:hAnsiTheme="majorHAnsi"/>
          <w:color w:val="C00000"/>
        </w:rPr>
        <w:t xml:space="preserve">-up consensus process, with the support of ICANN Staff. </w:t>
      </w:r>
    </w:p>
    <w:p w:rsidR="005D6637" w:rsidRPr="0070172B" w:rsidRDefault="005D6637" w:rsidP="005D6637">
      <w:pPr>
        <w:pStyle w:val="Default"/>
        <w:rPr>
          <w:rFonts w:asciiTheme="majorHAnsi" w:hAnsiTheme="majorHAnsi"/>
        </w:rPr>
      </w:pPr>
    </w:p>
    <w:p w:rsidR="005D6637" w:rsidRPr="0070172B" w:rsidRDefault="005D6637" w:rsidP="005D6637">
      <w:pPr>
        <w:pStyle w:val="Default"/>
        <w:rPr>
          <w:rFonts w:asciiTheme="majorHAnsi" w:hAnsiTheme="majorHAnsi"/>
        </w:rPr>
      </w:pPr>
      <w:r w:rsidRPr="0070172B">
        <w:rPr>
          <w:rFonts w:asciiTheme="majorHAnsi" w:hAnsiTheme="majorHAnsi"/>
          <w:b/>
          <w:bCs/>
        </w:rPr>
        <w:t xml:space="preserve">Sample Process (to date): </w:t>
      </w:r>
    </w:p>
    <w:p w:rsidR="005D6637" w:rsidRPr="0070172B" w:rsidRDefault="005D6637" w:rsidP="005D6637">
      <w:pPr>
        <w:pStyle w:val="Default"/>
        <w:rPr>
          <w:rFonts w:asciiTheme="majorHAnsi" w:hAnsiTheme="majorHAnsi"/>
        </w:rPr>
      </w:pPr>
      <w:r w:rsidRPr="0070172B">
        <w:rPr>
          <w:rFonts w:asciiTheme="majorHAnsi" w:hAnsiTheme="majorHAnsi"/>
          <w:b/>
          <w:bCs/>
        </w:rPr>
        <w:t xml:space="preserve">Used For: </w:t>
      </w:r>
    </w:p>
    <w:p w:rsidR="005D6637" w:rsidRPr="0070172B" w:rsidRDefault="005D6637" w:rsidP="005D6637">
      <w:pPr>
        <w:pStyle w:val="Default"/>
        <w:rPr>
          <w:rFonts w:asciiTheme="majorHAnsi" w:hAnsiTheme="majorHAnsi"/>
        </w:rPr>
      </w:pPr>
      <w:r w:rsidRPr="0070172B">
        <w:rPr>
          <w:rFonts w:asciiTheme="majorHAnsi" w:hAnsiTheme="majorHAnsi"/>
        </w:rPr>
        <w:t xml:space="preserve">Circumstances where the outcome generally impacts the broader ICANN community, and the Board identifies that community input or guidance may be of use in further refinements or gathering expert opinion. An SO recommendation for a binding Consensus Policy (one that becomes applicable immediately through ICANN’s contracts) cannot be developed through this Process. </w:t>
      </w:r>
    </w:p>
    <w:p w:rsidR="005D6637" w:rsidRDefault="005D6637" w:rsidP="005D6637">
      <w:pPr>
        <w:pStyle w:val="Default"/>
        <w:rPr>
          <w:rFonts w:asciiTheme="majorHAnsi" w:hAnsiTheme="majorHAnsi"/>
        </w:rPr>
      </w:pPr>
      <w:r w:rsidRPr="0070172B">
        <w:rPr>
          <w:rFonts w:asciiTheme="majorHAnsi" w:hAnsiTheme="majorHAnsi"/>
        </w:rPr>
        <w:t xml:space="preserve">Some examples of where this Function has already been used within ICANN: </w:t>
      </w:r>
    </w:p>
    <w:p w:rsidR="0070172B" w:rsidRPr="0070172B" w:rsidRDefault="0070172B" w:rsidP="0070172B">
      <w:pPr>
        <w:pStyle w:val="Default"/>
        <w:rPr>
          <w:rFonts w:asciiTheme="majorHAnsi" w:hAnsiTheme="majorHAnsi"/>
        </w:rPr>
      </w:pPr>
      <w:r w:rsidRPr="0070172B">
        <w:rPr>
          <w:rFonts w:asciiTheme="majorHAnsi" w:hAnsiTheme="majorHAnsi"/>
        </w:rPr>
        <w:t xml:space="preserve">• Development of implementation guidelines to clarify, modify, or fill in gaps in newly adopted policies, such as the work of the Special Trademark Issues (STI) team and the Limited Public Interest Objection working group for the New gTLD Program </w:t>
      </w:r>
    </w:p>
    <w:p w:rsidR="0070172B" w:rsidRPr="0070172B" w:rsidRDefault="0070172B" w:rsidP="0070172B">
      <w:pPr>
        <w:pStyle w:val="Default"/>
        <w:rPr>
          <w:rFonts w:asciiTheme="majorHAnsi" w:hAnsiTheme="majorHAnsi"/>
        </w:rPr>
      </w:pPr>
      <w:r w:rsidRPr="0070172B">
        <w:rPr>
          <w:rFonts w:asciiTheme="majorHAnsi" w:hAnsiTheme="majorHAnsi"/>
        </w:rPr>
        <w:t xml:space="preserve">• Cross-community Working groups such as the Joint Applicant Support Working Group and joint work on single character internationalized domain names </w:t>
      </w:r>
    </w:p>
    <w:p w:rsidR="0070172B" w:rsidRPr="0070172B" w:rsidRDefault="0070172B" w:rsidP="0070172B">
      <w:pPr>
        <w:pStyle w:val="Default"/>
        <w:rPr>
          <w:rFonts w:asciiTheme="majorHAnsi" w:hAnsiTheme="majorHAnsi"/>
        </w:rPr>
      </w:pPr>
      <w:r w:rsidRPr="0070172B">
        <w:rPr>
          <w:rFonts w:asciiTheme="majorHAnsi" w:hAnsiTheme="majorHAnsi"/>
        </w:rPr>
        <w:t xml:space="preserve">• The ICANN Board’s call for community input on the definition, measures and targets for the promotion of competition, consumer trust and consumer choice to help guide further work under the Affirmation of Commitments </w:t>
      </w:r>
    </w:p>
    <w:p w:rsidR="0070172B" w:rsidRDefault="0070172B" w:rsidP="005D6637">
      <w:pPr>
        <w:pStyle w:val="Default"/>
        <w:rPr>
          <w:rFonts w:asciiTheme="majorHAnsi" w:hAnsiTheme="majorHAnsi"/>
        </w:rPr>
      </w:pPr>
    </w:p>
    <w:p w:rsidR="00810ED7" w:rsidRPr="00810ED7" w:rsidRDefault="00810ED7" w:rsidP="00810ED7">
      <w:pPr>
        <w:spacing w:after="120"/>
        <w:rPr>
          <w:rFonts w:cs="Arial"/>
          <w:b/>
          <w:sz w:val="24"/>
          <w:szCs w:val="24"/>
        </w:rPr>
      </w:pPr>
      <w:r w:rsidRPr="00810ED7">
        <w:rPr>
          <w:rFonts w:cs="Arial"/>
          <w:b/>
          <w:sz w:val="24"/>
          <w:szCs w:val="24"/>
        </w:rPr>
        <w:t>RySG Level of Support</w:t>
      </w:r>
    </w:p>
    <w:p w:rsidR="00810ED7" w:rsidRPr="00810ED7" w:rsidRDefault="00810ED7" w:rsidP="00810ED7">
      <w:pPr>
        <w:numPr>
          <w:ilvl w:val="0"/>
          <w:numId w:val="2"/>
        </w:numPr>
        <w:spacing w:after="120" w:line="240" w:lineRule="auto"/>
        <w:rPr>
          <w:rFonts w:cs="Arial"/>
          <w:sz w:val="24"/>
          <w:szCs w:val="24"/>
        </w:rPr>
      </w:pPr>
      <w:r w:rsidRPr="00810ED7">
        <w:rPr>
          <w:rFonts w:cs="Arial"/>
          <w:b/>
          <w:sz w:val="24"/>
          <w:szCs w:val="24"/>
        </w:rPr>
        <w:t>Level of Support of Active Members</w:t>
      </w:r>
      <w:r w:rsidRPr="00810ED7">
        <w:rPr>
          <w:rFonts w:cs="Arial"/>
          <w:sz w:val="24"/>
          <w:szCs w:val="24"/>
        </w:rPr>
        <w:t>:   [Supermajority]</w:t>
      </w:r>
    </w:p>
    <w:p w:rsidR="00810ED7" w:rsidRPr="00810ED7" w:rsidRDefault="00810ED7" w:rsidP="00810ED7">
      <w:pPr>
        <w:numPr>
          <w:ilvl w:val="1"/>
          <w:numId w:val="2"/>
        </w:numPr>
        <w:spacing w:after="120" w:line="240" w:lineRule="auto"/>
        <w:rPr>
          <w:rFonts w:cs="Arial"/>
          <w:sz w:val="24"/>
          <w:szCs w:val="24"/>
        </w:rPr>
      </w:pPr>
      <w:r w:rsidRPr="00810ED7">
        <w:rPr>
          <w:rFonts w:cs="Arial"/>
          <w:sz w:val="24"/>
          <w:szCs w:val="24"/>
        </w:rPr>
        <w:t xml:space="preserve"># of Members in Favor:  </w:t>
      </w:r>
      <w:r w:rsidR="00462AD9">
        <w:rPr>
          <w:rFonts w:cs="Arial"/>
          <w:sz w:val="24"/>
          <w:szCs w:val="24"/>
        </w:rPr>
        <w:t>13</w:t>
      </w:r>
    </w:p>
    <w:p w:rsidR="00810ED7" w:rsidRPr="00810ED7" w:rsidRDefault="00810ED7" w:rsidP="00810ED7">
      <w:pPr>
        <w:numPr>
          <w:ilvl w:val="1"/>
          <w:numId w:val="2"/>
        </w:numPr>
        <w:spacing w:after="120" w:line="240" w:lineRule="auto"/>
        <w:rPr>
          <w:rFonts w:cs="Arial"/>
          <w:sz w:val="24"/>
          <w:szCs w:val="24"/>
        </w:rPr>
      </w:pPr>
      <w:r w:rsidRPr="00810ED7">
        <w:rPr>
          <w:rFonts w:cs="Arial"/>
          <w:sz w:val="24"/>
          <w:szCs w:val="24"/>
        </w:rPr>
        <w:t xml:space="preserve"># of Members Opposed:  </w:t>
      </w:r>
      <w:r w:rsidR="00462AD9">
        <w:rPr>
          <w:rFonts w:cs="Arial"/>
          <w:sz w:val="24"/>
          <w:szCs w:val="24"/>
        </w:rPr>
        <w:t>0</w:t>
      </w:r>
    </w:p>
    <w:p w:rsidR="00810ED7" w:rsidRPr="00810ED7" w:rsidRDefault="00810ED7" w:rsidP="00810ED7">
      <w:pPr>
        <w:numPr>
          <w:ilvl w:val="1"/>
          <w:numId w:val="2"/>
        </w:numPr>
        <w:spacing w:after="120" w:line="240" w:lineRule="auto"/>
        <w:rPr>
          <w:rFonts w:cs="Arial"/>
          <w:sz w:val="24"/>
          <w:szCs w:val="24"/>
        </w:rPr>
      </w:pPr>
      <w:r w:rsidRPr="00810ED7">
        <w:rPr>
          <w:rFonts w:cs="Arial"/>
          <w:sz w:val="24"/>
          <w:szCs w:val="24"/>
        </w:rPr>
        <w:t># of Members that Abstained:</w:t>
      </w:r>
      <w:r w:rsidR="00462AD9">
        <w:rPr>
          <w:rFonts w:cs="Arial"/>
          <w:sz w:val="24"/>
          <w:szCs w:val="24"/>
        </w:rPr>
        <w:t xml:space="preserve"> 0</w:t>
      </w:r>
      <w:r w:rsidRPr="00810ED7">
        <w:rPr>
          <w:rFonts w:cs="Arial"/>
          <w:sz w:val="24"/>
          <w:szCs w:val="24"/>
        </w:rPr>
        <w:t xml:space="preserve">    </w:t>
      </w:r>
    </w:p>
    <w:p w:rsidR="00810ED7" w:rsidRPr="00810ED7" w:rsidRDefault="00810ED7" w:rsidP="00810ED7">
      <w:pPr>
        <w:numPr>
          <w:ilvl w:val="1"/>
          <w:numId w:val="2"/>
        </w:numPr>
        <w:spacing w:after="120" w:line="240" w:lineRule="auto"/>
        <w:rPr>
          <w:rFonts w:cs="Arial"/>
          <w:sz w:val="24"/>
          <w:szCs w:val="24"/>
        </w:rPr>
      </w:pPr>
      <w:r w:rsidRPr="00810ED7">
        <w:rPr>
          <w:rFonts w:cs="Arial"/>
          <w:sz w:val="24"/>
          <w:szCs w:val="24"/>
        </w:rPr>
        <w:t xml:space="preserve"># of Members that did not vote: </w:t>
      </w:r>
      <w:r w:rsidR="00462AD9">
        <w:rPr>
          <w:rFonts w:cs="Arial"/>
          <w:sz w:val="24"/>
          <w:szCs w:val="24"/>
        </w:rPr>
        <w:t>1</w:t>
      </w:r>
    </w:p>
    <w:p w:rsidR="00810ED7" w:rsidRPr="00810ED7" w:rsidRDefault="00810ED7" w:rsidP="00810ED7">
      <w:pPr>
        <w:numPr>
          <w:ilvl w:val="0"/>
          <w:numId w:val="2"/>
        </w:numPr>
        <w:spacing w:after="120" w:line="240" w:lineRule="auto"/>
        <w:rPr>
          <w:rFonts w:cs="Arial"/>
          <w:sz w:val="24"/>
          <w:szCs w:val="24"/>
        </w:rPr>
      </w:pPr>
      <w:r w:rsidRPr="00810ED7">
        <w:rPr>
          <w:rFonts w:cs="Arial"/>
          <w:b/>
          <w:sz w:val="24"/>
          <w:szCs w:val="24"/>
        </w:rPr>
        <w:t>Minority Position</w:t>
      </w:r>
      <w:r w:rsidRPr="00810ED7">
        <w:rPr>
          <w:rFonts w:cs="Arial"/>
          <w:sz w:val="24"/>
          <w:szCs w:val="24"/>
        </w:rPr>
        <w:t>(s):  N/A</w:t>
      </w:r>
    </w:p>
    <w:p w:rsidR="00810ED7" w:rsidRPr="00810ED7" w:rsidRDefault="00810ED7" w:rsidP="00810ED7">
      <w:pPr>
        <w:spacing w:after="120"/>
        <w:rPr>
          <w:rFonts w:cs="Arial"/>
          <w:b/>
          <w:sz w:val="24"/>
          <w:szCs w:val="24"/>
          <w:u w:val="single"/>
        </w:rPr>
      </w:pPr>
    </w:p>
    <w:p w:rsidR="00810ED7" w:rsidRPr="00810ED7" w:rsidRDefault="00810ED7" w:rsidP="00810ED7">
      <w:pPr>
        <w:spacing w:after="120"/>
        <w:rPr>
          <w:rFonts w:cs="Arial"/>
          <w:b/>
          <w:sz w:val="24"/>
          <w:szCs w:val="24"/>
        </w:rPr>
      </w:pPr>
      <w:r w:rsidRPr="00810ED7">
        <w:rPr>
          <w:rFonts w:cs="Arial"/>
          <w:b/>
          <w:sz w:val="24"/>
          <w:szCs w:val="24"/>
        </w:rPr>
        <w:t>General RySG Information</w:t>
      </w:r>
    </w:p>
    <w:p w:rsidR="00810ED7" w:rsidRPr="00810ED7" w:rsidRDefault="00810ED7" w:rsidP="00810ED7">
      <w:pPr>
        <w:spacing w:after="120"/>
        <w:rPr>
          <w:rFonts w:cs="Arial"/>
          <w:b/>
          <w:sz w:val="24"/>
          <w:szCs w:val="24"/>
        </w:rPr>
      </w:pPr>
    </w:p>
    <w:p w:rsidR="00810ED7" w:rsidRPr="00810ED7" w:rsidRDefault="00810ED7" w:rsidP="00810ED7">
      <w:pPr>
        <w:numPr>
          <w:ilvl w:val="2"/>
          <w:numId w:val="4"/>
        </w:numPr>
        <w:spacing w:after="120" w:line="240" w:lineRule="auto"/>
        <w:ind w:left="720"/>
        <w:rPr>
          <w:rFonts w:cs="Arial"/>
          <w:sz w:val="24"/>
          <w:szCs w:val="24"/>
        </w:rPr>
      </w:pPr>
      <w:r w:rsidRPr="00810ED7">
        <w:rPr>
          <w:rFonts w:cs="Arial"/>
          <w:sz w:val="24"/>
          <w:szCs w:val="24"/>
        </w:rPr>
        <w:t>Total # of eligible RySG Members</w:t>
      </w:r>
      <w:r w:rsidRPr="00810ED7">
        <w:rPr>
          <w:rStyle w:val="FootnoteReference"/>
          <w:rFonts w:cs="Arial"/>
          <w:sz w:val="24"/>
          <w:szCs w:val="24"/>
        </w:rPr>
        <w:footnoteReference w:id="1"/>
      </w:r>
      <w:r w:rsidRPr="00810ED7">
        <w:rPr>
          <w:rFonts w:cs="Arial"/>
          <w:sz w:val="24"/>
          <w:szCs w:val="24"/>
        </w:rPr>
        <w:t>:  14</w:t>
      </w:r>
    </w:p>
    <w:p w:rsidR="00810ED7" w:rsidRPr="00810ED7" w:rsidRDefault="00810ED7" w:rsidP="00810ED7">
      <w:pPr>
        <w:numPr>
          <w:ilvl w:val="2"/>
          <w:numId w:val="4"/>
        </w:numPr>
        <w:spacing w:after="120" w:line="240" w:lineRule="auto"/>
        <w:ind w:left="720"/>
        <w:rPr>
          <w:rFonts w:cs="Arial"/>
          <w:sz w:val="24"/>
          <w:szCs w:val="24"/>
        </w:rPr>
      </w:pPr>
      <w:r w:rsidRPr="00810ED7">
        <w:rPr>
          <w:rFonts w:cs="Arial"/>
          <w:sz w:val="24"/>
          <w:szCs w:val="24"/>
        </w:rPr>
        <w:t>Total # of RySG Members:  14</w:t>
      </w:r>
      <w:r w:rsidRPr="00810ED7">
        <w:rPr>
          <w:rFonts w:cs="Arial"/>
          <w:sz w:val="24"/>
          <w:szCs w:val="24"/>
        </w:rPr>
        <w:tab/>
      </w:r>
    </w:p>
    <w:p w:rsidR="00810ED7" w:rsidRPr="00810ED7" w:rsidRDefault="00810ED7" w:rsidP="00810ED7">
      <w:pPr>
        <w:numPr>
          <w:ilvl w:val="2"/>
          <w:numId w:val="4"/>
        </w:numPr>
        <w:spacing w:after="120" w:line="240" w:lineRule="auto"/>
        <w:ind w:left="720"/>
        <w:rPr>
          <w:rFonts w:cs="Arial"/>
          <w:sz w:val="24"/>
          <w:szCs w:val="24"/>
        </w:rPr>
      </w:pPr>
      <w:r w:rsidRPr="00810ED7">
        <w:rPr>
          <w:rFonts w:cs="Arial"/>
          <w:sz w:val="24"/>
          <w:szCs w:val="24"/>
        </w:rPr>
        <w:t>Total # of Active RySG Members</w:t>
      </w:r>
      <w:r w:rsidRPr="00810ED7">
        <w:rPr>
          <w:rStyle w:val="FootnoteReference"/>
          <w:rFonts w:cs="Arial"/>
          <w:sz w:val="24"/>
          <w:szCs w:val="24"/>
        </w:rPr>
        <w:footnoteReference w:id="2"/>
      </w:r>
      <w:r w:rsidRPr="00810ED7">
        <w:rPr>
          <w:rFonts w:cs="Arial"/>
          <w:sz w:val="24"/>
          <w:szCs w:val="24"/>
        </w:rPr>
        <w:t>:  14</w:t>
      </w:r>
    </w:p>
    <w:p w:rsidR="00810ED7" w:rsidRPr="00810ED7" w:rsidRDefault="00810ED7" w:rsidP="00810ED7">
      <w:pPr>
        <w:numPr>
          <w:ilvl w:val="2"/>
          <w:numId w:val="4"/>
        </w:numPr>
        <w:spacing w:after="120" w:line="240" w:lineRule="auto"/>
        <w:ind w:left="720"/>
        <w:rPr>
          <w:rFonts w:cs="Arial"/>
          <w:sz w:val="24"/>
          <w:szCs w:val="24"/>
        </w:rPr>
      </w:pPr>
      <w:r w:rsidRPr="00810ED7">
        <w:rPr>
          <w:rFonts w:cs="Arial"/>
          <w:sz w:val="24"/>
          <w:szCs w:val="24"/>
        </w:rPr>
        <w:lastRenderedPageBreak/>
        <w:t>Minimum requirement for supermajority of Active Members:  10</w:t>
      </w:r>
    </w:p>
    <w:p w:rsidR="00810ED7" w:rsidRPr="00810ED7" w:rsidRDefault="00810ED7" w:rsidP="00810ED7">
      <w:pPr>
        <w:numPr>
          <w:ilvl w:val="2"/>
          <w:numId w:val="4"/>
        </w:numPr>
        <w:spacing w:after="120" w:line="240" w:lineRule="auto"/>
        <w:ind w:left="720"/>
        <w:rPr>
          <w:rFonts w:cs="Arial"/>
          <w:sz w:val="24"/>
          <w:szCs w:val="24"/>
        </w:rPr>
      </w:pPr>
      <w:r w:rsidRPr="00810ED7">
        <w:rPr>
          <w:rFonts w:cs="Arial"/>
          <w:sz w:val="24"/>
          <w:szCs w:val="24"/>
        </w:rPr>
        <w:t>Minimum requirement for majority of Active Members:  8</w:t>
      </w:r>
    </w:p>
    <w:p w:rsidR="00810ED7" w:rsidRPr="00810ED7" w:rsidRDefault="00810ED7" w:rsidP="00810ED7">
      <w:pPr>
        <w:numPr>
          <w:ilvl w:val="2"/>
          <w:numId w:val="4"/>
        </w:numPr>
        <w:spacing w:after="120" w:line="240" w:lineRule="auto"/>
        <w:ind w:left="720"/>
        <w:rPr>
          <w:rFonts w:cs="Arial"/>
          <w:sz w:val="24"/>
          <w:szCs w:val="24"/>
        </w:rPr>
      </w:pPr>
      <w:r w:rsidRPr="00810ED7">
        <w:rPr>
          <w:rFonts w:cs="Arial"/>
          <w:sz w:val="24"/>
          <w:szCs w:val="24"/>
        </w:rPr>
        <w:t># of Members that participated in this process:  14</w:t>
      </w:r>
    </w:p>
    <w:p w:rsidR="00810ED7" w:rsidRPr="00810ED7" w:rsidRDefault="00810ED7" w:rsidP="00810ED7">
      <w:pPr>
        <w:numPr>
          <w:ilvl w:val="2"/>
          <w:numId w:val="4"/>
        </w:numPr>
        <w:spacing w:after="120" w:line="240" w:lineRule="auto"/>
        <w:ind w:left="720"/>
        <w:rPr>
          <w:rFonts w:cs="Arial"/>
          <w:sz w:val="24"/>
          <w:szCs w:val="24"/>
        </w:rPr>
      </w:pPr>
      <w:r w:rsidRPr="00810ED7">
        <w:rPr>
          <w:rFonts w:cs="Arial"/>
          <w:sz w:val="24"/>
          <w:szCs w:val="24"/>
        </w:rPr>
        <w:t xml:space="preserve">Names of Members that participated in this process:  </w:t>
      </w:r>
    </w:p>
    <w:p w:rsidR="00810ED7" w:rsidRPr="00810ED7" w:rsidRDefault="00810ED7" w:rsidP="00810ED7">
      <w:pPr>
        <w:numPr>
          <w:ilvl w:val="0"/>
          <w:numId w:val="5"/>
        </w:numPr>
        <w:spacing w:after="0" w:line="240" w:lineRule="auto"/>
        <w:ind w:left="1080"/>
        <w:rPr>
          <w:rFonts w:cs="Arial"/>
          <w:sz w:val="24"/>
          <w:szCs w:val="24"/>
        </w:rPr>
      </w:pPr>
      <w:r w:rsidRPr="00810ED7">
        <w:rPr>
          <w:rFonts w:cs="Arial"/>
          <w:sz w:val="24"/>
          <w:szCs w:val="24"/>
        </w:rPr>
        <w:t>Afilias (.info, .mobi &amp; .pro)</w:t>
      </w:r>
    </w:p>
    <w:p w:rsidR="00810ED7" w:rsidRPr="00810ED7" w:rsidRDefault="00810ED7" w:rsidP="00810ED7">
      <w:pPr>
        <w:numPr>
          <w:ilvl w:val="0"/>
          <w:numId w:val="5"/>
        </w:numPr>
        <w:spacing w:after="0" w:line="240" w:lineRule="auto"/>
        <w:ind w:left="1080"/>
        <w:rPr>
          <w:rFonts w:cs="Arial"/>
          <w:sz w:val="24"/>
          <w:szCs w:val="24"/>
        </w:rPr>
      </w:pPr>
      <w:r w:rsidRPr="00810ED7">
        <w:rPr>
          <w:rFonts w:cs="Arial"/>
          <w:sz w:val="24"/>
          <w:szCs w:val="24"/>
        </w:rPr>
        <w:t>DotAsia Organisation (.asia)</w:t>
      </w:r>
    </w:p>
    <w:p w:rsidR="00810ED7" w:rsidRPr="00810ED7" w:rsidRDefault="00810ED7" w:rsidP="00810ED7">
      <w:pPr>
        <w:numPr>
          <w:ilvl w:val="0"/>
          <w:numId w:val="5"/>
        </w:numPr>
        <w:spacing w:after="0" w:line="240" w:lineRule="auto"/>
        <w:ind w:left="1080"/>
        <w:rPr>
          <w:rFonts w:cs="Arial"/>
          <w:sz w:val="24"/>
          <w:szCs w:val="24"/>
        </w:rPr>
      </w:pPr>
      <w:r w:rsidRPr="00810ED7">
        <w:rPr>
          <w:rFonts w:cs="Arial"/>
          <w:sz w:val="24"/>
          <w:szCs w:val="24"/>
        </w:rPr>
        <w:t>DotCooperation (.coop)</w:t>
      </w:r>
    </w:p>
    <w:p w:rsidR="00810ED7" w:rsidRPr="00810ED7" w:rsidRDefault="00810ED7" w:rsidP="00810ED7">
      <w:pPr>
        <w:numPr>
          <w:ilvl w:val="0"/>
          <w:numId w:val="5"/>
        </w:numPr>
        <w:spacing w:after="0" w:line="240" w:lineRule="auto"/>
        <w:ind w:left="1080"/>
        <w:rPr>
          <w:rFonts w:cs="Arial"/>
          <w:sz w:val="24"/>
          <w:szCs w:val="24"/>
        </w:rPr>
      </w:pPr>
      <w:r w:rsidRPr="00810ED7">
        <w:rPr>
          <w:rFonts w:cs="Arial"/>
          <w:sz w:val="24"/>
          <w:szCs w:val="24"/>
        </w:rPr>
        <w:t>Employ Media (.jobs)</w:t>
      </w:r>
    </w:p>
    <w:p w:rsidR="00810ED7" w:rsidRPr="00810ED7" w:rsidRDefault="00810ED7" w:rsidP="00810ED7">
      <w:pPr>
        <w:numPr>
          <w:ilvl w:val="0"/>
          <w:numId w:val="5"/>
        </w:numPr>
        <w:spacing w:after="0" w:line="240" w:lineRule="auto"/>
        <w:ind w:left="1080"/>
        <w:rPr>
          <w:rFonts w:cs="Arial"/>
          <w:sz w:val="24"/>
          <w:szCs w:val="24"/>
        </w:rPr>
      </w:pPr>
      <w:r w:rsidRPr="00810ED7">
        <w:rPr>
          <w:rFonts w:cs="Arial"/>
          <w:sz w:val="24"/>
          <w:szCs w:val="24"/>
        </w:rPr>
        <w:t>Fundació puntCAT (.cat)</w:t>
      </w:r>
    </w:p>
    <w:p w:rsidR="00810ED7" w:rsidRPr="00810ED7" w:rsidRDefault="00810ED7" w:rsidP="00810ED7">
      <w:pPr>
        <w:numPr>
          <w:ilvl w:val="0"/>
          <w:numId w:val="5"/>
        </w:numPr>
        <w:spacing w:after="0" w:line="240" w:lineRule="auto"/>
        <w:ind w:left="1080"/>
        <w:rPr>
          <w:rFonts w:cs="Arial"/>
          <w:sz w:val="24"/>
          <w:szCs w:val="24"/>
        </w:rPr>
      </w:pPr>
      <w:r w:rsidRPr="00810ED7">
        <w:rPr>
          <w:rFonts w:cs="Arial"/>
          <w:sz w:val="24"/>
          <w:szCs w:val="24"/>
        </w:rPr>
        <w:t>ICM, Inc. (.xxx)</w:t>
      </w:r>
    </w:p>
    <w:p w:rsidR="00810ED7" w:rsidRPr="00810ED7" w:rsidRDefault="00810ED7" w:rsidP="00810ED7">
      <w:pPr>
        <w:numPr>
          <w:ilvl w:val="0"/>
          <w:numId w:val="5"/>
        </w:numPr>
        <w:spacing w:after="0" w:line="240" w:lineRule="auto"/>
        <w:ind w:left="1080"/>
        <w:rPr>
          <w:rFonts w:cs="Arial"/>
          <w:sz w:val="24"/>
          <w:szCs w:val="24"/>
        </w:rPr>
      </w:pPr>
      <w:r w:rsidRPr="00810ED7">
        <w:rPr>
          <w:rFonts w:cs="Arial"/>
          <w:sz w:val="24"/>
          <w:szCs w:val="24"/>
        </w:rPr>
        <w:t>Museum Domain Management Association – MuseDoma (.museum)</w:t>
      </w:r>
    </w:p>
    <w:p w:rsidR="00810ED7" w:rsidRPr="00810ED7" w:rsidRDefault="00810ED7" w:rsidP="00810ED7">
      <w:pPr>
        <w:numPr>
          <w:ilvl w:val="0"/>
          <w:numId w:val="5"/>
        </w:numPr>
        <w:spacing w:after="0" w:line="240" w:lineRule="auto"/>
        <w:ind w:left="1080"/>
        <w:rPr>
          <w:rFonts w:cs="Arial"/>
          <w:sz w:val="24"/>
          <w:szCs w:val="24"/>
        </w:rPr>
      </w:pPr>
      <w:r w:rsidRPr="00810ED7">
        <w:rPr>
          <w:rFonts w:cs="Arial"/>
          <w:sz w:val="24"/>
          <w:szCs w:val="24"/>
        </w:rPr>
        <w:t>NeuStar (.biz)</w:t>
      </w:r>
    </w:p>
    <w:p w:rsidR="00810ED7" w:rsidRPr="00810ED7" w:rsidRDefault="00810ED7" w:rsidP="00810ED7">
      <w:pPr>
        <w:numPr>
          <w:ilvl w:val="0"/>
          <w:numId w:val="5"/>
        </w:numPr>
        <w:spacing w:after="0" w:line="240" w:lineRule="auto"/>
        <w:ind w:left="1080"/>
        <w:rPr>
          <w:rFonts w:cs="Arial"/>
          <w:sz w:val="24"/>
          <w:szCs w:val="24"/>
        </w:rPr>
      </w:pPr>
      <w:r w:rsidRPr="00810ED7">
        <w:rPr>
          <w:rFonts w:cs="Arial"/>
          <w:sz w:val="24"/>
          <w:szCs w:val="24"/>
        </w:rPr>
        <w:t>Public Interest Registry - PIR (.org)</w:t>
      </w:r>
    </w:p>
    <w:p w:rsidR="00810ED7" w:rsidRPr="00810ED7" w:rsidRDefault="00810ED7" w:rsidP="00810ED7">
      <w:pPr>
        <w:numPr>
          <w:ilvl w:val="0"/>
          <w:numId w:val="5"/>
        </w:numPr>
        <w:spacing w:after="0" w:line="240" w:lineRule="auto"/>
        <w:ind w:left="1080"/>
        <w:rPr>
          <w:rFonts w:cs="Arial"/>
          <w:sz w:val="24"/>
          <w:szCs w:val="24"/>
        </w:rPr>
      </w:pPr>
      <w:r w:rsidRPr="00810ED7">
        <w:rPr>
          <w:rFonts w:cs="Arial"/>
          <w:sz w:val="24"/>
          <w:szCs w:val="24"/>
        </w:rPr>
        <w:t>Societe Internationale de Telecommunication Aeronautiques – SITA (.aero)</w:t>
      </w:r>
    </w:p>
    <w:p w:rsidR="00810ED7" w:rsidRPr="00810ED7" w:rsidRDefault="00810ED7" w:rsidP="00810ED7">
      <w:pPr>
        <w:numPr>
          <w:ilvl w:val="0"/>
          <w:numId w:val="5"/>
        </w:numPr>
        <w:spacing w:after="0" w:line="240" w:lineRule="auto"/>
        <w:ind w:left="1080"/>
        <w:rPr>
          <w:rFonts w:cs="Arial"/>
          <w:sz w:val="24"/>
          <w:szCs w:val="24"/>
        </w:rPr>
      </w:pPr>
      <w:r w:rsidRPr="00810ED7">
        <w:rPr>
          <w:rFonts w:cs="Arial"/>
          <w:sz w:val="24"/>
          <w:szCs w:val="24"/>
        </w:rPr>
        <w:t>Telnic (.tel)</w:t>
      </w:r>
    </w:p>
    <w:p w:rsidR="00810ED7" w:rsidRPr="00810ED7" w:rsidRDefault="00810ED7" w:rsidP="00810ED7">
      <w:pPr>
        <w:numPr>
          <w:ilvl w:val="0"/>
          <w:numId w:val="5"/>
        </w:numPr>
        <w:spacing w:after="0" w:line="240" w:lineRule="auto"/>
        <w:ind w:left="1080"/>
        <w:rPr>
          <w:rFonts w:cs="Arial"/>
          <w:sz w:val="24"/>
          <w:szCs w:val="24"/>
        </w:rPr>
      </w:pPr>
      <w:r w:rsidRPr="00810ED7">
        <w:rPr>
          <w:rFonts w:cs="Arial"/>
          <w:color w:val="000000"/>
          <w:sz w:val="24"/>
          <w:szCs w:val="24"/>
        </w:rPr>
        <w:t>Tralliance Registry Management Company (TRMC)</w:t>
      </w:r>
      <w:r w:rsidRPr="00810ED7">
        <w:rPr>
          <w:rFonts w:cs="Arial"/>
          <w:sz w:val="24"/>
          <w:szCs w:val="24"/>
        </w:rPr>
        <w:t xml:space="preserve"> (.travel)</w:t>
      </w:r>
    </w:p>
    <w:p w:rsidR="00810ED7" w:rsidRPr="00810ED7" w:rsidRDefault="00810ED7" w:rsidP="00810ED7">
      <w:pPr>
        <w:numPr>
          <w:ilvl w:val="0"/>
          <w:numId w:val="5"/>
        </w:numPr>
        <w:spacing w:after="0" w:line="240" w:lineRule="auto"/>
        <w:ind w:left="1080"/>
        <w:rPr>
          <w:rFonts w:cs="Arial"/>
          <w:sz w:val="24"/>
          <w:szCs w:val="24"/>
        </w:rPr>
      </w:pPr>
      <w:r w:rsidRPr="00810ED7">
        <w:rPr>
          <w:rFonts w:cs="Arial"/>
          <w:sz w:val="24"/>
          <w:szCs w:val="24"/>
        </w:rPr>
        <w:t xml:space="preserve"> Universal Postal Union (.post)</w:t>
      </w:r>
    </w:p>
    <w:p w:rsidR="00810ED7" w:rsidRPr="00810ED7" w:rsidRDefault="00810ED7" w:rsidP="00810ED7">
      <w:pPr>
        <w:numPr>
          <w:ilvl w:val="0"/>
          <w:numId w:val="5"/>
        </w:numPr>
        <w:spacing w:after="0" w:line="240" w:lineRule="auto"/>
        <w:ind w:left="1080"/>
        <w:rPr>
          <w:rFonts w:cs="Arial"/>
          <w:sz w:val="24"/>
          <w:szCs w:val="24"/>
        </w:rPr>
      </w:pPr>
      <w:r w:rsidRPr="00810ED7">
        <w:rPr>
          <w:rFonts w:cs="Arial"/>
          <w:sz w:val="24"/>
          <w:szCs w:val="24"/>
        </w:rPr>
        <w:t>VeriSign (.com, .name, &amp; .net)</w:t>
      </w:r>
      <w:r w:rsidRPr="00810ED7">
        <w:rPr>
          <w:rFonts w:cs="Arial"/>
          <w:sz w:val="24"/>
          <w:szCs w:val="24"/>
        </w:rPr>
        <w:br/>
      </w:r>
    </w:p>
    <w:p w:rsidR="00810ED7" w:rsidRPr="00810ED7" w:rsidRDefault="00810ED7" w:rsidP="00810ED7">
      <w:pPr>
        <w:numPr>
          <w:ilvl w:val="0"/>
          <w:numId w:val="4"/>
        </w:numPr>
        <w:spacing w:after="0" w:line="240" w:lineRule="auto"/>
        <w:rPr>
          <w:rFonts w:cs="Arial"/>
          <w:sz w:val="24"/>
          <w:szCs w:val="24"/>
        </w:rPr>
      </w:pPr>
      <w:r w:rsidRPr="00810ED7">
        <w:rPr>
          <w:rFonts w:cs="Arial"/>
          <w:sz w:val="24"/>
          <w:szCs w:val="24"/>
        </w:rPr>
        <w:t>Names &amp; email addresses for points of contact</w:t>
      </w:r>
    </w:p>
    <w:p w:rsidR="00810ED7" w:rsidRPr="00810ED7" w:rsidRDefault="00810ED7" w:rsidP="00810ED7">
      <w:pPr>
        <w:numPr>
          <w:ilvl w:val="1"/>
          <w:numId w:val="4"/>
        </w:numPr>
        <w:spacing w:after="0" w:line="240" w:lineRule="auto"/>
        <w:rPr>
          <w:rFonts w:cs="Arial"/>
          <w:sz w:val="24"/>
          <w:szCs w:val="24"/>
        </w:rPr>
      </w:pPr>
      <w:r w:rsidRPr="00810ED7">
        <w:rPr>
          <w:rFonts w:cs="Arial"/>
          <w:sz w:val="24"/>
          <w:szCs w:val="24"/>
        </w:rPr>
        <w:t>Chair:</w:t>
      </w:r>
      <w:r w:rsidRPr="00810ED7">
        <w:rPr>
          <w:rFonts w:cs="Arial"/>
          <w:sz w:val="24"/>
          <w:szCs w:val="24"/>
        </w:rPr>
        <w:tab/>
        <w:t xml:space="preserve">Keith Drazek, </w:t>
      </w:r>
      <w:hyperlink r:id="rId8" w:history="1">
        <w:r w:rsidRPr="00810ED7">
          <w:rPr>
            <w:rStyle w:val="Hyperlink"/>
            <w:rFonts w:cs="Arial"/>
            <w:sz w:val="24"/>
            <w:szCs w:val="24"/>
          </w:rPr>
          <w:t>kdrazek@verisign.com</w:t>
        </w:r>
      </w:hyperlink>
    </w:p>
    <w:p w:rsidR="00810ED7" w:rsidRPr="00810ED7" w:rsidRDefault="00810ED7" w:rsidP="00810ED7">
      <w:pPr>
        <w:numPr>
          <w:ilvl w:val="1"/>
          <w:numId w:val="4"/>
        </w:numPr>
        <w:spacing w:after="0" w:line="240" w:lineRule="auto"/>
        <w:rPr>
          <w:rFonts w:cs="Arial"/>
          <w:sz w:val="24"/>
          <w:szCs w:val="24"/>
        </w:rPr>
      </w:pPr>
      <w:r w:rsidRPr="00810ED7">
        <w:rPr>
          <w:rFonts w:cs="Arial"/>
          <w:sz w:val="24"/>
          <w:szCs w:val="24"/>
        </w:rPr>
        <w:t xml:space="preserve">Alternate Chair: Paul Diaz, pdiaz@pir.org </w:t>
      </w:r>
    </w:p>
    <w:p w:rsidR="00810ED7" w:rsidRPr="00810ED7" w:rsidRDefault="00810ED7" w:rsidP="00810ED7">
      <w:pPr>
        <w:numPr>
          <w:ilvl w:val="1"/>
          <w:numId w:val="4"/>
        </w:numPr>
        <w:spacing w:after="0" w:line="240" w:lineRule="auto"/>
        <w:rPr>
          <w:rFonts w:cs="Arial"/>
          <w:sz w:val="24"/>
          <w:szCs w:val="24"/>
        </w:rPr>
      </w:pPr>
      <w:r w:rsidRPr="00810ED7">
        <w:rPr>
          <w:rFonts w:cs="Arial"/>
          <w:sz w:val="24"/>
          <w:szCs w:val="24"/>
        </w:rPr>
        <w:t xml:space="preserve">Secretariat:  </w:t>
      </w:r>
      <w:r w:rsidRPr="00810ED7">
        <w:rPr>
          <w:rFonts w:cs="Arial"/>
          <w:color w:val="000000"/>
          <w:sz w:val="24"/>
          <w:szCs w:val="24"/>
        </w:rPr>
        <w:t>Cherie Stubbs,</w:t>
      </w:r>
      <w:r w:rsidRPr="00810ED7">
        <w:rPr>
          <w:rFonts w:cs="Arial"/>
          <w:sz w:val="24"/>
          <w:szCs w:val="24"/>
        </w:rPr>
        <w:t xml:space="preserve"> </w:t>
      </w:r>
      <w:hyperlink r:id="rId9" w:history="1">
        <w:r w:rsidRPr="00810ED7">
          <w:rPr>
            <w:rStyle w:val="Hyperlink"/>
            <w:rFonts w:cs="Arial"/>
            <w:sz w:val="24"/>
            <w:szCs w:val="24"/>
          </w:rPr>
          <w:t>Cherstubbs@aol.com</w:t>
        </w:r>
      </w:hyperlink>
    </w:p>
    <w:p w:rsidR="00810ED7" w:rsidRPr="00810ED7" w:rsidRDefault="00810ED7" w:rsidP="00810ED7">
      <w:pPr>
        <w:numPr>
          <w:ilvl w:val="1"/>
          <w:numId w:val="4"/>
        </w:numPr>
        <w:spacing w:after="120" w:line="240" w:lineRule="auto"/>
        <w:rPr>
          <w:rFonts w:cs="Arial"/>
          <w:sz w:val="24"/>
          <w:szCs w:val="24"/>
        </w:rPr>
      </w:pPr>
      <w:r w:rsidRPr="00810ED7">
        <w:rPr>
          <w:rFonts w:cs="Arial"/>
          <w:sz w:val="24"/>
          <w:szCs w:val="24"/>
        </w:rPr>
        <w:t xml:space="preserve">RySG representative for this statement:  Keith Drazek, </w:t>
      </w:r>
      <w:hyperlink r:id="rId10" w:history="1">
        <w:r w:rsidRPr="00810ED7">
          <w:rPr>
            <w:rStyle w:val="Hyperlink"/>
            <w:rFonts w:cs="Arial"/>
            <w:sz w:val="24"/>
            <w:szCs w:val="24"/>
          </w:rPr>
          <w:t>kdrazek@verisign.com</w:t>
        </w:r>
      </w:hyperlink>
    </w:p>
    <w:p w:rsidR="00810ED7" w:rsidRPr="00AE0C47" w:rsidRDefault="00810ED7" w:rsidP="00AE0C47">
      <w:pPr>
        <w:tabs>
          <w:tab w:val="left" w:pos="1053"/>
        </w:tabs>
      </w:pPr>
      <w:bookmarkStart w:id="0" w:name="_GoBack"/>
      <w:bookmarkEnd w:id="0"/>
    </w:p>
    <w:p w:rsidR="005D6637" w:rsidRPr="00810ED7" w:rsidRDefault="005D6637" w:rsidP="005D6637">
      <w:pPr>
        <w:pStyle w:val="Default"/>
        <w:pageBreakBefore/>
        <w:rPr>
          <w:rFonts w:asciiTheme="minorHAnsi" w:hAnsiTheme="minorHAnsi"/>
        </w:rPr>
      </w:pPr>
    </w:p>
    <w:sectPr w:rsidR="005D6637" w:rsidRPr="00810ED7" w:rsidSect="0070172B">
      <w:pgSz w:w="12240" w:h="16340"/>
      <w:pgMar w:top="1400" w:right="955" w:bottom="801" w:left="1289"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C39" w:rsidRDefault="00A95C39" w:rsidP="00810ED7">
      <w:pPr>
        <w:spacing w:after="0" w:line="240" w:lineRule="auto"/>
      </w:pPr>
      <w:r>
        <w:separator/>
      </w:r>
    </w:p>
  </w:endnote>
  <w:endnote w:type="continuationSeparator" w:id="0">
    <w:p w:rsidR="00A95C39" w:rsidRDefault="00A95C39" w:rsidP="00810E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C39" w:rsidRDefault="00A95C39" w:rsidP="00810ED7">
      <w:pPr>
        <w:spacing w:after="0" w:line="240" w:lineRule="auto"/>
      </w:pPr>
      <w:r>
        <w:separator/>
      </w:r>
    </w:p>
  </w:footnote>
  <w:footnote w:type="continuationSeparator" w:id="0">
    <w:p w:rsidR="00A95C39" w:rsidRDefault="00A95C39" w:rsidP="00810ED7">
      <w:pPr>
        <w:spacing w:after="0" w:line="240" w:lineRule="auto"/>
      </w:pPr>
      <w:r>
        <w:continuationSeparator/>
      </w:r>
    </w:p>
  </w:footnote>
  <w:footnote w:id="1">
    <w:p w:rsidR="00923135" w:rsidRDefault="00923135" w:rsidP="00810ED7">
      <w:pPr>
        <w:pStyle w:val="FootnoteText"/>
      </w:pPr>
      <w:r w:rsidRPr="008D07A7">
        <w:rPr>
          <w:rStyle w:val="FootnoteReference"/>
        </w:rPr>
        <w:footnoteRef/>
      </w:r>
      <w:r w:rsidRPr="008D07A7">
        <w:t xml:space="preserve"> </w:t>
      </w:r>
      <w:r w:rsidRPr="00DE78E4">
        <w:t>All top-level domain sponsors or registry operators that have agreements with ICANN to provide Registry Services in support of one or more gTLDs are eligible for membership upon the “effective date” set forth in the operator’s or sponsor’s agreement (</w:t>
      </w:r>
      <w:r w:rsidRPr="00DC4FFE">
        <w:t>Ry</w:t>
      </w:r>
      <w:r>
        <w:t>SG Charter</w:t>
      </w:r>
      <w:r w:rsidRPr="00DC4FFE">
        <w:t xml:space="preserve">, Article II, </w:t>
      </w:r>
      <w:r>
        <w:t xml:space="preserve">RySG </w:t>
      </w:r>
      <w:r w:rsidRPr="00DC4FFE">
        <w:t>Membership</w:t>
      </w:r>
      <w:r>
        <w:t>, Sec. A</w:t>
      </w:r>
      <w:r w:rsidRPr="00DE78E4">
        <w:t xml:space="preserve">). The </w:t>
      </w:r>
      <w:r>
        <w:t>RySG</w:t>
      </w:r>
      <w:r w:rsidRPr="00DE78E4">
        <w:t xml:space="preserve"> </w:t>
      </w:r>
      <w:r>
        <w:t>Charter</w:t>
      </w:r>
      <w:r w:rsidRPr="00DE78E4">
        <w:t xml:space="preserve"> can be found at </w:t>
      </w:r>
      <w:r w:rsidRPr="0022531F">
        <w:rPr>
          <w:color w:val="008000"/>
        </w:rPr>
        <w:t>http://www.gtldregistries.org/sites/gtldregistries.org/files/Charter_for_RySG_6_July_2011_FINAL.pdf</w:t>
      </w:r>
    </w:p>
  </w:footnote>
  <w:footnote w:id="2">
    <w:p w:rsidR="00923135" w:rsidRDefault="00923135" w:rsidP="00810ED7">
      <w:pPr>
        <w:pStyle w:val="FootnoteText"/>
      </w:pPr>
      <w:r w:rsidRPr="00DE78E4">
        <w:rPr>
          <w:rStyle w:val="FootnoteReference"/>
        </w:rPr>
        <w:footnoteRef/>
      </w:r>
      <w:r w:rsidRPr="00DE78E4">
        <w:t xml:space="preserve"> </w:t>
      </w:r>
      <w:r w:rsidRPr="00274BC5">
        <w:t xml:space="preserve">Per the RySG Charter, Article II, RySG Membership, </w:t>
      </w:r>
      <w:proofErr w:type="spellStart"/>
      <w:proofErr w:type="gramStart"/>
      <w:r w:rsidRPr="00274BC5">
        <w:t>Sec.D</w:t>
      </w:r>
      <w:proofErr w:type="spellEnd"/>
      <w:proofErr w:type="gramEnd"/>
      <w:r>
        <w:t>:</w:t>
      </w:r>
      <w:r w:rsidRPr="00274BC5">
        <w:rPr>
          <w:color w:val="000000"/>
        </w:rPr>
        <w:t xml:space="preserve"> </w:t>
      </w:r>
      <w:r w:rsidRPr="00274BC5">
        <w:rPr>
          <w:rFonts w:eastAsia="Times New Roman"/>
          <w:color w:val="000000"/>
        </w:rPr>
        <w:t>Members shall be classified as “Active” or “Inactive”. An active member must meet eligibility requirements, must be current on dues, and must be a regular participant in RySG activities. A member shall be classified as Active unless it is classified as Inactive pursuant to the provisions of this paragraph. Members become Inactive by failing to participate in three consecutively scheduled RySG meetings or voting processes or both. An Inactive member shall continue to have membership rights and duties except being counted as present or absent in the determination of a quorum. An Inactive member immediately resumes Active status at any time by participating in a RySG meeting or by voting.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D18FE"/>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0DF76E02"/>
    <w:multiLevelType w:val="multilevel"/>
    <w:tmpl w:val="0409001F"/>
    <w:numStyleLink w:val="111111"/>
  </w:abstractNum>
  <w:abstractNum w:abstractNumId="2">
    <w:nsid w:val="35386896"/>
    <w:multiLevelType w:val="hybridMultilevel"/>
    <w:tmpl w:val="C8028E1C"/>
    <w:lvl w:ilvl="0" w:tplc="D668E5A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381F3BAC"/>
    <w:multiLevelType w:val="hybridMultilevel"/>
    <w:tmpl w:val="C4DEEFCC"/>
    <w:lvl w:ilvl="0" w:tplc="CCE8547E">
      <w:start w:val="1"/>
      <w:numFmt w:val="bullet"/>
      <w:lvlText w:val=""/>
      <w:lvlJc w:val="left"/>
      <w:pPr>
        <w:tabs>
          <w:tab w:val="num" w:pos="720"/>
        </w:tabs>
        <w:ind w:left="720" w:hanging="360"/>
      </w:pPr>
      <w:rPr>
        <w:rFonts w:ascii="Wingdings" w:hAnsi="Wingdings" w:hint="default"/>
      </w:rPr>
    </w:lvl>
    <w:lvl w:ilvl="1" w:tplc="B7A4B3F2">
      <w:start w:val="1"/>
      <w:numFmt w:val="bullet"/>
      <w:lvlText w:val="o"/>
      <w:lvlJc w:val="left"/>
      <w:pPr>
        <w:tabs>
          <w:tab w:val="num" w:pos="1350"/>
        </w:tabs>
        <w:ind w:left="1350" w:hanging="360"/>
      </w:pPr>
      <w:rPr>
        <w:rFonts w:ascii="Courier New" w:hAnsi="Courier New" w:hint="default"/>
      </w:rPr>
    </w:lvl>
    <w:lvl w:ilvl="2" w:tplc="DAF485D8">
      <w:start w:val="1"/>
      <w:numFmt w:val="bullet"/>
      <w:lvlText w:val=""/>
      <w:lvlJc w:val="left"/>
      <w:pPr>
        <w:tabs>
          <w:tab w:val="num" w:pos="2160"/>
        </w:tabs>
        <w:ind w:left="2160" w:hanging="360"/>
      </w:pPr>
      <w:rPr>
        <w:rFonts w:ascii="Wingdings" w:hAnsi="Wingdings" w:hint="default"/>
      </w:rPr>
    </w:lvl>
    <w:lvl w:ilvl="3" w:tplc="2174CA2A">
      <w:start w:val="1"/>
      <w:numFmt w:val="bullet"/>
      <w:lvlText w:val=""/>
      <w:lvlJc w:val="left"/>
      <w:pPr>
        <w:tabs>
          <w:tab w:val="num" w:pos="2880"/>
        </w:tabs>
        <w:ind w:left="2880" w:hanging="360"/>
      </w:pPr>
      <w:rPr>
        <w:rFonts w:ascii="Symbol" w:hAnsi="Symbol" w:hint="default"/>
      </w:rPr>
    </w:lvl>
    <w:lvl w:ilvl="4" w:tplc="3CFAB88E" w:tentative="1">
      <w:start w:val="1"/>
      <w:numFmt w:val="bullet"/>
      <w:lvlText w:val="o"/>
      <w:lvlJc w:val="left"/>
      <w:pPr>
        <w:tabs>
          <w:tab w:val="num" w:pos="3600"/>
        </w:tabs>
        <w:ind w:left="3600" w:hanging="360"/>
      </w:pPr>
      <w:rPr>
        <w:rFonts w:ascii="Courier New" w:hAnsi="Courier New" w:hint="default"/>
      </w:rPr>
    </w:lvl>
    <w:lvl w:ilvl="5" w:tplc="CBC0359A" w:tentative="1">
      <w:start w:val="1"/>
      <w:numFmt w:val="bullet"/>
      <w:lvlText w:val=""/>
      <w:lvlJc w:val="left"/>
      <w:pPr>
        <w:tabs>
          <w:tab w:val="num" w:pos="4320"/>
        </w:tabs>
        <w:ind w:left="4320" w:hanging="360"/>
      </w:pPr>
      <w:rPr>
        <w:rFonts w:ascii="Wingdings" w:hAnsi="Wingdings" w:hint="default"/>
      </w:rPr>
    </w:lvl>
    <w:lvl w:ilvl="6" w:tplc="B9DCCA4E" w:tentative="1">
      <w:start w:val="1"/>
      <w:numFmt w:val="bullet"/>
      <w:lvlText w:val=""/>
      <w:lvlJc w:val="left"/>
      <w:pPr>
        <w:tabs>
          <w:tab w:val="num" w:pos="5040"/>
        </w:tabs>
        <w:ind w:left="5040" w:hanging="360"/>
      </w:pPr>
      <w:rPr>
        <w:rFonts w:ascii="Symbol" w:hAnsi="Symbol" w:hint="default"/>
      </w:rPr>
    </w:lvl>
    <w:lvl w:ilvl="7" w:tplc="8B9A07DE" w:tentative="1">
      <w:start w:val="1"/>
      <w:numFmt w:val="bullet"/>
      <w:lvlText w:val="o"/>
      <w:lvlJc w:val="left"/>
      <w:pPr>
        <w:tabs>
          <w:tab w:val="num" w:pos="5760"/>
        </w:tabs>
        <w:ind w:left="5760" w:hanging="360"/>
      </w:pPr>
      <w:rPr>
        <w:rFonts w:ascii="Courier New" w:hAnsi="Courier New" w:hint="default"/>
      </w:rPr>
    </w:lvl>
    <w:lvl w:ilvl="8" w:tplc="1E24A486" w:tentative="1">
      <w:start w:val="1"/>
      <w:numFmt w:val="bullet"/>
      <w:lvlText w:val=""/>
      <w:lvlJc w:val="left"/>
      <w:pPr>
        <w:tabs>
          <w:tab w:val="num" w:pos="6480"/>
        </w:tabs>
        <w:ind w:left="6480" w:hanging="360"/>
      </w:pPr>
      <w:rPr>
        <w:rFonts w:ascii="Wingdings" w:hAnsi="Wingdings" w:hint="default"/>
      </w:rPr>
    </w:lvl>
  </w:abstractNum>
  <w:abstractNum w:abstractNumId="4">
    <w:nsid w:val="74122378"/>
    <w:multiLevelType w:val="hybridMultilevel"/>
    <w:tmpl w:val="8ED89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5D6637"/>
    <w:rsid w:val="00030FAB"/>
    <w:rsid w:val="00163424"/>
    <w:rsid w:val="0029280F"/>
    <w:rsid w:val="00462AD9"/>
    <w:rsid w:val="004B4DB8"/>
    <w:rsid w:val="00595F4D"/>
    <w:rsid w:val="005A5F2C"/>
    <w:rsid w:val="005B6909"/>
    <w:rsid w:val="005D6637"/>
    <w:rsid w:val="0070172B"/>
    <w:rsid w:val="00810ED7"/>
    <w:rsid w:val="008641D5"/>
    <w:rsid w:val="00923135"/>
    <w:rsid w:val="00A9384B"/>
    <w:rsid w:val="00A95C39"/>
    <w:rsid w:val="00AA1974"/>
    <w:rsid w:val="00AD7BE8"/>
    <w:rsid w:val="00AE0C47"/>
    <w:rsid w:val="00B62103"/>
    <w:rsid w:val="00BE5987"/>
    <w:rsid w:val="00C02786"/>
    <w:rsid w:val="00C16C61"/>
    <w:rsid w:val="00D03B38"/>
    <w:rsid w:val="00D64381"/>
    <w:rsid w:val="00F0061B"/>
    <w:rsid w:val="00F46A39"/>
    <w:rsid w:val="00F51922"/>
    <w:rsid w:val="00F573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1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6637"/>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F0061B"/>
    <w:pPr>
      <w:ind w:left="720"/>
      <w:contextualSpacing/>
    </w:pPr>
  </w:style>
  <w:style w:type="character" w:styleId="Hyperlink">
    <w:name w:val="Hyperlink"/>
    <w:rsid w:val="00810ED7"/>
    <w:rPr>
      <w:rFonts w:cs="Times New Roman"/>
      <w:color w:val="0000FF"/>
      <w:u w:val="single"/>
    </w:rPr>
  </w:style>
  <w:style w:type="paragraph" w:styleId="FootnoteText">
    <w:name w:val="footnote text"/>
    <w:basedOn w:val="Normal"/>
    <w:link w:val="FootnoteTextChar"/>
    <w:semiHidden/>
    <w:rsid w:val="00810ED7"/>
    <w:pPr>
      <w:spacing w:after="0" w:line="240" w:lineRule="auto"/>
    </w:pPr>
    <w:rPr>
      <w:rFonts w:ascii="Times New Roman" w:eastAsia="Batang" w:hAnsi="Times New Roman" w:cs="Times New Roman"/>
      <w:sz w:val="20"/>
      <w:szCs w:val="20"/>
      <w:lang w:eastAsia="ko-KR"/>
    </w:rPr>
  </w:style>
  <w:style w:type="character" w:customStyle="1" w:styleId="FootnoteTextChar">
    <w:name w:val="Footnote Text Char"/>
    <w:basedOn w:val="DefaultParagraphFont"/>
    <w:link w:val="FootnoteText"/>
    <w:semiHidden/>
    <w:rsid w:val="00810ED7"/>
    <w:rPr>
      <w:rFonts w:ascii="Times New Roman" w:eastAsia="Batang" w:hAnsi="Times New Roman" w:cs="Times New Roman"/>
      <w:sz w:val="20"/>
      <w:szCs w:val="20"/>
      <w:lang w:eastAsia="ko-KR"/>
    </w:rPr>
  </w:style>
  <w:style w:type="character" w:styleId="FootnoteReference">
    <w:name w:val="footnote reference"/>
    <w:semiHidden/>
    <w:rsid w:val="00810ED7"/>
    <w:rPr>
      <w:rFonts w:cs="Times New Roman"/>
      <w:vertAlign w:val="superscript"/>
    </w:rPr>
  </w:style>
  <w:style w:type="numbering" w:styleId="111111">
    <w:name w:val="Outline List 2"/>
    <w:basedOn w:val="NoList"/>
    <w:rsid w:val="00810ED7"/>
    <w:pPr>
      <w:numPr>
        <w:numId w:val="3"/>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1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6637"/>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F0061B"/>
    <w:pPr>
      <w:ind w:left="720"/>
      <w:contextualSpacing/>
    </w:pPr>
  </w:style>
  <w:style w:type="character" w:styleId="Hyperlink">
    <w:name w:val="Hyperlink"/>
    <w:rsid w:val="00810ED7"/>
    <w:rPr>
      <w:rFonts w:cs="Times New Roman"/>
      <w:color w:val="0000FF"/>
      <w:u w:val="single"/>
    </w:rPr>
  </w:style>
  <w:style w:type="paragraph" w:styleId="FootnoteText">
    <w:name w:val="footnote text"/>
    <w:basedOn w:val="Normal"/>
    <w:link w:val="FootnoteTextChar"/>
    <w:semiHidden/>
    <w:rsid w:val="00810ED7"/>
    <w:pPr>
      <w:spacing w:after="0" w:line="240" w:lineRule="auto"/>
    </w:pPr>
    <w:rPr>
      <w:rFonts w:ascii="Times New Roman" w:eastAsia="Batang" w:hAnsi="Times New Roman" w:cs="Times New Roman"/>
      <w:sz w:val="20"/>
      <w:szCs w:val="20"/>
      <w:lang w:eastAsia="ko-KR"/>
    </w:rPr>
  </w:style>
  <w:style w:type="character" w:customStyle="1" w:styleId="FootnoteTextChar">
    <w:name w:val="Footnote Text Char"/>
    <w:basedOn w:val="DefaultParagraphFont"/>
    <w:link w:val="FootnoteText"/>
    <w:semiHidden/>
    <w:rsid w:val="00810ED7"/>
    <w:rPr>
      <w:rFonts w:ascii="Times New Roman" w:eastAsia="Batang" w:hAnsi="Times New Roman" w:cs="Times New Roman"/>
      <w:sz w:val="20"/>
      <w:szCs w:val="20"/>
      <w:lang w:eastAsia="ko-KR"/>
    </w:rPr>
  </w:style>
  <w:style w:type="character" w:styleId="FootnoteReference">
    <w:name w:val="footnote reference"/>
    <w:semiHidden/>
    <w:rsid w:val="00810ED7"/>
    <w:rPr>
      <w:rFonts w:cs="Times New Roman"/>
      <w:vertAlign w:val="superscript"/>
    </w:rPr>
  </w:style>
  <w:style w:type="numbering" w:styleId="111111">
    <w:name w:val="Outline List 2"/>
    <w:basedOn w:val="NoList"/>
    <w:rsid w:val="00810ED7"/>
    <w:pPr>
      <w:numPr>
        <w:numId w:val="3"/>
      </w:numPr>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kdrazek@verisign.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icann.org/en/news/in-focus/accountability/input-advice-function-24sep12-en.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kdrazek@verisign.com" TargetMode="External"/><Relationship Id="rId4" Type="http://schemas.openxmlformats.org/officeDocument/2006/relationships/webSettings" Target="webSettings.xml"/><Relationship Id="rId9" Type="http://schemas.openxmlformats.org/officeDocument/2006/relationships/hyperlink" Target="mailto:Cherstubbs@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1137</Words>
  <Characters>6485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VeriSign, Inc.</Company>
  <LinksUpToDate>false</LinksUpToDate>
  <CharactersWithSpaces>7607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VeriSign, Inc.</dc:creator>
  <cp:lastModifiedBy>VeriSign, Inc.</cp:lastModifiedBy>
  <cp:revision>2</cp:revision>
  <dcterms:created xsi:type="dcterms:W3CDTF">2012-10-25T17:51:00Z</dcterms:created>
  <dcterms:modified xsi:type="dcterms:W3CDTF">2012-10-25T17:51:00Z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961589761</vt:i4>
  </property>
  <property fmtid="{D5CDD505-2E9C-101B-9397-08002B2CF9AE}" pid="3" name="_NewReviewCycle">
    <vt:lpwstr/>
  </property>
  <property fmtid="{D5CDD505-2E9C-101B-9397-08002B2CF9AE}" pid="4" name="_EmailSubject">
    <vt:lpwstr>Registries Stakeholder Group (RySG) Comments on the Community Input and Advice Process</vt:lpwstr>
  </property>
  <property fmtid="{D5CDD505-2E9C-101B-9397-08002B2CF9AE}" pid="5" name="_AuthorEmail">
    <vt:lpwstr>kdrazek@verisign.com</vt:lpwstr>
  </property>
  <property fmtid="{D5CDD505-2E9C-101B-9397-08002B2CF9AE}" pid="6" name="_AuthorEmailDisplayName">
    <vt:lpwstr>Drazek, Keith</vt:lpwstr>
  </property>
</Properties>
</file>