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502B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What’s a TLD?</w:t>
      </w:r>
    </w:p>
    <w:p w14:paraId="26074A3B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A top-level domain (TLD) is the suffix at the end of a domain name, such as “</w:t>
      </w: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.com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”, “.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uk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 and “.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nz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”. It represents the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highest level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division of the Domain Name System (DNS) hierarchy.</w:t>
      </w:r>
    </w:p>
    <w:p w14:paraId="00B76D4A" w14:textId="77777777" w:rsidR="00945519" w:rsidRPr="002722A8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17E857AC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What’s the problem with acceptance of all TLDs?</w:t>
      </w:r>
    </w:p>
    <w:p w14:paraId="47782645" w14:textId="77777777" w:rsidR="00945519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The Internet is growing. In the 1980s and 1990s, the format of domain names followed a simple pattern. All domains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ended with a small number of common 3 character long endings like “</w:t>
      </w: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.com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 and “.net”, or a two-letter code that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represented a country like “.de” and “.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uk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”.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</w:p>
    <w:p w14:paraId="676100AA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</w:p>
    <w:p w14:paraId="0F6368F4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Times have changed. Since 2001, TLDs comprised of more than 3 characters long (think of “</w:t>
      </w: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.info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 or “.museum”) were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introduced, and since 2010, non-Latin strings – known as internationalized domain names (IDNs) – have been added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to the root zone. The ICANN Board’s approval of the new 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gTLD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program in 2011 will allow for hundreds of additional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TLDs to be added. This means that the variety of domain names will expand even further.</w:t>
      </w:r>
    </w:p>
    <w:p w14:paraId="73BE2165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</w:p>
    <w:p w14:paraId="601407D7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Software vendors, web site developers, and others might limit what they allow as a valid domain name in their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applications. This might constrain the Internet’s growth, consumer choice and promotion of market competition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on-line. The effort toward universal acceptance of domains seeks to ensure that the systems that perform domain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name validation do it in a correct way that allows for all valid domains to function correctly. Domains should work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regardless of the script they are written in or the time they were implemented: 20 years ago or yesterday.</w:t>
      </w:r>
    </w:p>
    <w:p w14:paraId="7B7DAF86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</w:p>
    <w:p w14:paraId="1FC3A184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To properly support today’s DNS, implementers need to deploy software and solutions that cater to all of these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developments. Software needs to fully accept all the variety of domain names. This includes domain endings containing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4 or more characters and internationalized domain names.</w:t>
      </w:r>
    </w:p>
    <w:p w14:paraId="2F1805EB" w14:textId="77777777" w:rsidR="00945519" w:rsidRPr="002722A8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7A7CE5B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What has changed?</w:t>
      </w:r>
    </w:p>
    <w:p w14:paraId="0BA44590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No predetermined length.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Until 2001, TLDs were either 2 or 3 characters long. This is no longer true. Does your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software limit domain endings to a certain number of characters?</w:t>
      </w:r>
    </w:p>
    <w:p w14:paraId="380D6A3F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75B1D0EB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No fixed set of TLDs. In 2001, there were about 250 such endings.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Now there are over 300. This will grow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at a greater rate starting in 2013 as a result of the new 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gTLD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program. Hundreds more TLDs are likely to be added to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the root zone in the following years. Does your software have a hard-coded list of valid TLDs that it checks against?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Is it regularly updated? Or does your application have a fixed drop-down box?</w:t>
      </w:r>
    </w:p>
    <w:p w14:paraId="41A8C600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02C0C6F2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Non-Latin domains.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Fields that accept domain names as input (such as email addresses, URLs, etc.) need to accept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not just Latin but other encodings to work properly. Can your software correctly accept “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испытание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” if entered into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a domain-related field?</w:t>
      </w:r>
    </w:p>
    <w:p w14:paraId="389CD654" w14:textId="77777777" w:rsidR="00945519" w:rsidRPr="00A4442C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73D738FE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Multiple representations.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Non-Latin domains introduce a new idea – presentation and wire formats are different.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For example, “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xn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--</w:t>
      </w:r>
      <w:proofErr w:type="spell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zckzah</w:t>
      </w:r>
      <w:proofErr w:type="spell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” and </w:t>
      </w:r>
      <w:r w:rsidRPr="007B46CC">
        <w:rPr>
          <w:rFonts w:ascii="Arial" w:hAnsi="Arial" w:cs="Arial"/>
          <w:color w:val="17365D" w:themeColor="text2" w:themeShade="BF"/>
          <w:sz w:val="19"/>
          <w:szCs w:val="19"/>
        </w:rPr>
        <w:t>“</w:t>
      </w:r>
      <w:r w:rsidR="002722A8" w:rsidRPr="007B46CC">
        <w:rPr>
          <w:rFonts w:ascii="ＭＳ ゴシック" w:eastAsia="ＭＳ ゴシック" w:hAnsi="ＭＳ ゴシック" w:cs="ヒラギノ明朝 ProN W3" w:hint="eastAsia"/>
          <w:color w:val="17365D" w:themeColor="text2" w:themeShade="BF"/>
          <w:sz w:val="19"/>
          <w:szCs w:val="19"/>
        </w:rPr>
        <w:t>テスト</w:t>
      </w:r>
      <w:r w:rsidRPr="007B46CC">
        <w:rPr>
          <w:rFonts w:ascii="Arial" w:hAnsi="Arial" w:cs="Arial"/>
          <w:color w:val="17365D" w:themeColor="text2" w:themeShade="BF"/>
          <w:sz w:val="19"/>
          <w:szCs w:val="19"/>
        </w:rPr>
        <w:t>”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are the exact same domain. Would your software know to treat them the same?</w:t>
      </w:r>
    </w:p>
    <w:p w14:paraId="22B26F5F" w14:textId="77777777" w:rsidR="00945519" w:rsidRPr="002722A8" w:rsidRDefault="00945519">
      <w:pPr>
        <w:rPr>
          <w:rFonts w:ascii="Arial" w:hAnsi="Arial" w:cs="Arial"/>
          <w:b/>
          <w:bCs/>
          <w:sz w:val="30"/>
          <w:szCs w:val="30"/>
        </w:rPr>
      </w:pPr>
      <w:r w:rsidRPr="002722A8">
        <w:rPr>
          <w:rFonts w:ascii="Arial" w:hAnsi="Arial" w:cs="Arial"/>
          <w:b/>
          <w:bCs/>
          <w:sz w:val="30"/>
          <w:szCs w:val="30"/>
        </w:rPr>
        <w:br w:type="page"/>
      </w:r>
    </w:p>
    <w:p w14:paraId="3267562C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27"/>
          <w:szCs w:val="27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lastRenderedPageBreak/>
        <w:t>Do</w:t>
      </w:r>
      <w:r w:rsidRPr="00A4442C">
        <w:rPr>
          <w:rFonts w:ascii="Arial" w:hAnsi="Arial" w:cs="Arial"/>
          <w:b/>
          <w:bCs/>
          <w:color w:val="E36C0A" w:themeColor="accent6" w:themeShade="BF"/>
          <w:sz w:val="27"/>
          <w:szCs w:val="27"/>
        </w:rPr>
        <w:t xml:space="preserve">s </w:t>
      </w: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and Don’t</w:t>
      </w:r>
      <w:r w:rsidRPr="00A4442C">
        <w:rPr>
          <w:rFonts w:ascii="Arial" w:hAnsi="Arial" w:cs="Arial"/>
          <w:b/>
          <w:bCs/>
          <w:color w:val="E36C0A" w:themeColor="accent6" w:themeShade="BF"/>
          <w:sz w:val="27"/>
          <w:szCs w:val="27"/>
        </w:rPr>
        <w:t>s</w:t>
      </w:r>
    </w:p>
    <w:p w14:paraId="4161947A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Menlo Bold" w:hAnsi="Menlo Bold" w:cs="Menlo Bold"/>
          <w:color w:val="FF0000"/>
          <w:sz w:val="37"/>
          <w:szCs w:val="37"/>
        </w:rPr>
        <w:t>✘</w:t>
      </w:r>
      <w:r w:rsidRPr="00A4442C">
        <w:rPr>
          <w:rFonts w:ascii="Arial" w:hAnsi="Arial" w:cs="Arial"/>
          <w:color w:val="17365D" w:themeColor="text2" w:themeShade="BF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Don’t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check domain validity if you don’t need to.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A lot of applications don’t</w:t>
      </w:r>
    </w:p>
    <w:p w14:paraId="5789D287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need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to constrain the domain field, so unless you have a compelling reason to constrain</w:t>
      </w:r>
    </w:p>
    <w:p w14:paraId="5D5E6673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it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, leave it open.</w:t>
      </w:r>
    </w:p>
    <w:p w14:paraId="098D28B7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Menlo Bold" w:hAnsi="Menlo Bold" w:cs="Menlo Bold"/>
          <w:color w:val="FF0000"/>
          <w:sz w:val="37"/>
          <w:szCs w:val="37"/>
        </w:rPr>
        <w:t>✘</w:t>
      </w:r>
      <w:r w:rsidRPr="00A4442C">
        <w:rPr>
          <w:rFonts w:ascii="Arial" w:hAnsi="Arial" w:cs="Arial"/>
          <w:color w:val="FF0000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Don’t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check the length of a domain to determine validity.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You can no longer assume domain endings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will be 2 or 3 characters long. They potentially can be between 1 and 63 characters long.</w:t>
      </w:r>
    </w:p>
    <w:p w14:paraId="075FAD48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B65663">
        <w:rPr>
          <w:rFonts w:ascii="Menlo Bold" w:hAnsi="Menlo Bold" w:cs="Menlo Bold"/>
          <w:color w:val="76923C" w:themeColor="accent3" w:themeShade="BF"/>
          <w:sz w:val="37"/>
          <w:szCs w:val="37"/>
        </w:rPr>
        <w:t>✔</w:t>
      </w:r>
      <w:r w:rsidRPr="00B65663">
        <w:rPr>
          <w:rFonts w:ascii="Arial" w:hAnsi="Arial" w:cs="Arial"/>
          <w:color w:val="76923C" w:themeColor="accent3" w:themeShade="BF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use an IDN library to properly convert domain names if they are received in multiple formats.</w:t>
      </w:r>
    </w:p>
    <w:p w14:paraId="7C874A7E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There are many libraries (a lot of them are free) that are used by major software vendors to implement this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functionality. Make sure the library supports the most current (“IDNA2008”) standard, as the older standard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introduces compatibility issues.</w:t>
      </w:r>
    </w:p>
    <w:p w14:paraId="6D41AB79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Menlo Bold" w:hAnsi="Menlo Bold" w:cs="Menlo Bold"/>
          <w:color w:val="FF0000"/>
          <w:sz w:val="37"/>
          <w:szCs w:val="37"/>
        </w:rPr>
        <w:t>✘</w:t>
      </w:r>
      <w:r w:rsidRPr="00A4442C">
        <w:rPr>
          <w:rFonts w:ascii="Arial" w:hAnsi="Arial" w:cs="Arial"/>
          <w:color w:val="FF0000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Don’t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use a hard-coded list of domains in your application.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If you need to check if a domain exists, the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best way to do it is using the DNS protocol. A live DNS query happens quickly and will provide your application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with the most up-to-date data available.</w:t>
      </w:r>
    </w:p>
    <w:p w14:paraId="0B5C29C9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B65663">
        <w:rPr>
          <w:rFonts w:ascii="Menlo Bold" w:hAnsi="Menlo Bold" w:cs="Menlo Bold"/>
          <w:color w:val="76923C" w:themeColor="accent3" w:themeShade="BF"/>
          <w:sz w:val="37"/>
          <w:szCs w:val="37"/>
        </w:rPr>
        <w:t>✔</w:t>
      </w:r>
      <w:r w:rsidRPr="00B65663">
        <w:rPr>
          <w:rFonts w:ascii="Arial" w:hAnsi="Arial" w:cs="Arial"/>
          <w:color w:val="76923C" w:themeColor="accent3" w:themeShade="BF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If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you require a hard-coded list, do make sure it is regularly updated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(e.g., daily) using an appropriate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methodology. ICANN provides some sample toolkits on how this might be done.</w:t>
      </w:r>
    </w:p>
    <w:p w14:paraId="69BBBBFD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B65663">
        <w:rPr>
          <w:rFonts w:ascii="Menlo Bold" w:hAnsi="Menlo Bold" w:cs="Menlo Bold"/>
          <w:color w:val="76923C" w:themeColor="accent3" w:themeShade="BF"/>
          <w:sz w:val="37"/>
          <w:szCs w:val="37"/>
        </w:rPr>
        <w:t>✔</w:t>
      </w:r>
      <w:r w:rsidRPr="00B65663">
        <w:rPr>
          <w:rFonts w:ascii="Arial" w:hAnsi="Arial" w:cs="Arial"/>
          <w:color w:val="76923C" w:themeColor="accent3" w:themeShade="BF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ask questions if you are not sure.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ICANN is happy to help provide advice to software developers and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implementers on what is needed. Contact us at: </w:t>
      </w:r>
      <w:r w:rsidRPr="00616FD2">
        <w:rPr>
          <w:rFonts w:ascii="Arial" w:hAnsi="Arial" w:cs="Arial"/>
          <w:i/>
          <w:iCs/>
          <w:color w:val="31849B" w:themeColor="accent5" w:themeShade="BF"/>
          <w:sz w:val="19"/>
          <w:szCs w:val="19"/>
        </w:rPr>
        <w:t>tld-acceptance@icann.org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</w:t>
      </w:r>
    </w:p>
    <w:p w14:paraId="6227CD0C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B65663">
        <w:rPr>
          <w:rFonts w:ascii="Menlo Bold" w:hAnsi="Menlo Bold" w:cs="Menlo Bold"/>
          <w:color w:val="76923C" w:themeColor="accent3" w:themeShade="BF"/>
          <w:sz w:val="37"/>
          <w:szCs w:val="37"/>
        </w:rPr>
        <w:t>✔</w:t>
      </w:r>
      <w:r w:rsidRPr="00B65663">
        <w:rPr>
          <w:rFonts w:ascii="Arial" w:hAnsi="Arial" w:cs="Arial"/>
          <w:color w:val="76923C" w:themeColor="accent3" w:themeShade="BF"/>
          <w:sz w:val="37"/>
          <w:szCs w:val="37"/>
        </w:rPr>
        <w:t xml:space="preserve"> </w:t>
      </w:r>
      <w:proofErr w:type="gramStart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Do</w:t>
      </w:r>
      <w:proofErr w:type="gramEnd"/>
      <w:r w:rsidRPr="00A4442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report websites or software that has problems accepting newer domains.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If you notice a website that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has problems, let us know and we’ll try to reach out to the operators to encourage them to follow these guidelines.</w:t>
      </w:r>
    </w:p>
    <w:p w14:paraId="2BF23408" w14:textId="77777777" w:rsidR="00945519" w:rsidRPr="002722A8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05C2D540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Sample toolkit - TLD verification tool</w:t>
      </w:r>
    </w:p>
    <w:p w14:paraId="1E7BB086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The primary method of correctly checking if a domain is valid is to use the DNS. If the application has access to the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Internet (most applications do), the best way is simply to perform a DNS query. This ensures the most accurate and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up-to-date data is returned from the most authoritative source – the DNS itself.</w:t>
      </w:r>
    </w:p>
    <w:p w14:paraId="0A2FC7F8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In some rare cases, it is not possible to use the DNS protocol. When software programs need to check whether a top-level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domain is valid, but is not able to perform an online check, ICANN provides guidance on alternate methods. In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particular, the program may need to use a regularly updated list of valid top-level domains to perform its checking.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ICANN has put together </w:t>
      </w:r>
      <w:proofErr w:type="gramStart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sample programming</w:t>
      </w:r>
      <w:proofErr w:type="gramEnd"/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code that software developers can use. The code is available under</w:t>
      </w:r>
      <w:r w:rsidR="00945519"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an open source license at: </w:t>
      </w:r>
      <w:r w:rsidRPr="00616FD2">
        <w:rPr>
          <w:rFonts w:ascii="Arial" w:hAnsi="Arial" w:cs="Arial"/>
          <w:i/>
          <w:iCs/>
          <w:color w:val="31849B" w:themeColor="accent5" w:themeShade="BF"/>
          <w:sz w:val="19"/>
          <w:szCs w:val="19"/>
        </w:rPr>
        <w:t>https://github.com/icann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</w:t>
      </w:r>
    </w:p>
    <w:p w14:paraId="66172CEA" w14:textId="77777777" w:rsidR="00945519" w:rsidRPr="002722A8" w:rsidRDefault="00945519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222F336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A4442C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More information</w:t>
      </w:r>
    </w:p>
    <w:p w14:paraId="31D92F2B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 xml:space="preserve">To learn more about the effort, visit us at: </w:t>
      </w:r>
      <w:r w:rsidRPr="00616FD2">
        <w:rPr>
          <w:rFonts w:ascii="Arial" w:hAnsi="Arial" w:cs="Arial"/>
          <w:i/>
          <w:iCs/>
          <w:color w:val="31849B" w:themeColor="accent5" w:themeShade="BF"/>
          <w:sz w:val="19"/>
          <w:szCs w:val="19"/>
        </w:rPr>
        <w:t>http://www.icann.org/en/resources/tld-acceptance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</w:t>
      </w:r>
    </w:p>
    <w:p w14:paraId="73F34236" w14:textId="77777777" w:rsidR="00E36881" w:rsidRPr="00A4442C" w:rsidRDefault="00E36881" w:rsidP="00E36881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9"/>
          <w:szCs w:val="19"/>
        </w:rPr>
      </w:pP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To share your ideas and suggestions on the topic or to submit an acceptance issue report, email us at:</w:t>
      </w:r>
    </w:p>
    <w:p w14:paraId="563FF74B" w14:textId="77777777" w:rsidR="007D17E2" w:rsidRPr="00A4442C" w:rsidRDefault="00E36881" w:rsidP="00E36881">
      <w:pPr>
        <w:rPr>
          <w:rFonts w:ascii="Arial" w:hAnsi="Arial" w:cs="Arial"/>
          <w:color w:val="17365D" w:themeColor="text2" w:themeShade="BF"/>
        </w:rPr>
      </w:pPr>
      <w:proofErr w:type="gramStart"/>
      <w:r w:rsidRPr="00616FD2">
        <w:rPr>
          <w:rFonts w:ascii="Arial" w:hAnsi="Arial" w:cs="Arial"/>
          <w:i/>
          <w:iCs/>
          <w:color w:val="31849B" w:themeColor="accent5" w:themeShade="BF"/>
          <w:sz w:val="19"/>
          <w:szCs w:val="19"/>
        </w:rPr>
        <w:t>tld</w:t>
      </w:r>
      <w:proofErr w:type="gramEnd"/>
      <w:r w:rsidRPr="00616FD2">
        <w:rPr>
          <w:rFonts w:ascii="Arial" w:hAnsi="Arial" w:cs="Arial"/>
          <w:i/>
          <w:iCs/>
          <w:color w:val="31849B" w:themeColor="accent5" w:themeShade="BF"/>
          <w:sz w:val="19"/>
          <w:szCs w:val="19"/>
        </w:rPr>
        <w:t>-acceptance@icann.org</w:t>
      </w:r>
      <w:r w:rsidRPr="00A4442C">
        <w:rPr>
          <w:rFonts w:ascii="Arial" w:hAnsi="Arial" w:cs="Arial"/>
          <w:color w:val="17365D" w:themeColor="text2" w:themeShade="BF"/>
          <w:sz w:val="19"/>
          <w:szCs w:val="19"/>
        </w:rPr>
        <w:t>.</w:t>
      </w:r>
      <w:bookmarkStart w:id="0" w:name="_GoBack"/>
      <w:bookmarkEnd w:id="0"/>
    </w:p>
    <w:sectPr w:rsidR="007D17E2" w:rsidRPr="00A4442C" w:rsidSect="007D1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1"/>
    <w:rsid w:val="002722A8"/>
    <w:rsid w:val="00616FD2"/>
    <w:rsid w:val="007B46CC"/>
    <w:rsid w:val="007D17E2"/>
    <w:rsid w:val="00945519"/>
    <w:rsid w:val="009E12EF"/>
    <w:rsid w:val="00A4442C"/>
    <w:rsid w:val="00A6028E"/>
    <w:rsid w:val="00B65663"/>
    <w:rsid w:val="00E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D0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832</Words>
  <Characters>4747</Characters>
  <Application>Microsoft Macintosh Word</Application>
  <DocSecurity>0</DocSecurity>
  <Lines>39</Lines>
  <Paragraphs>11</Paragraphs>
  <ScaleCrop>false</ScaleCrop>
  <Company>ICANN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Sokolova</dc:creator>
  <cp:keywords/>
  <dc:description/>
  <cp:lastModifiedBy>Nadia Sokolova</cp:lastModifiedBy>
  <cp:revision>7</cp:revision>
  <dcterms:created xsi:type="dcterms:W3CDTF">2012-08-28T16:32:00Z</dcterms:created>
  <dcterms:modified xsi:type="dcterms:W3CDTF">2012-08-28T16:45:00Z</dcterms:modified>
</cp:coreProperties>
</file>