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3B" w:rsidRPr="00462E23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2"/>
        </w:rPr>
      </w:pPr>
      <w:r w:rsidRPr="00462E23">
        <w:rPr>
          <w:rFonts w:asciiTheme="majorHAnsi" w:hAnsiTheme="majorHAnsi" w:cs="Arial"/>
          <w:b/>
          <w:sz w:val="22"/>
        </w:rPr>
        <w:t>Background</w:t>
      </w:r>
    </w:p>
    <w:p w:rsidR="00763E3B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763E3B">
        <w:rPr>
          <w:rFonts w:asciiTheme="majorHAnsi" w:hAnsiTheme="majorHAnsi" w:cs="Arial"/>
          <w:sz w:val="22"/>
        </w:rPr>
        <w:t>Working Team 1 is tasked with meeting the Working Group's Charter Objective 2: To identify how the application fee can be reduced and/or subsidized to accommodate applicants that fulfill appropriate criteria to qualify for this benefit, in keeping with the principle of full cost recovery of the application process costs.  </w:t>
      </w:r>
    </w:p>
    <w:p w:rsidR="00763E3B" w:rsidRPr="00763E3B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:rsidR="00763E3B" w:rsidRPr="00462E23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Monaco"/>
          <w:b/>
          <w:sz w:val="22"/>
          <w:szCs w:val="20"/>
        </w:rPr>
      </w:pPr>
      <w:r w:rsidRPr="00462E23">
        <w:rPr>
          <w:rFonts w:asciiTheme="majorHAnsi" w:hAnsiTheme="majorHAnsi" w:cs="Arial"/>
          <w:b/>
          <w:sz w:val="22"/>
        </w:rPr>
        <w:t>Process</w:t>
      </w:r>
    </w:p>
    <w:p w:rsidR="00763E3B" w:rsidRPr="00763E3B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Monaco"/>
          <w:sz w:val="22"/>
          <w:szCs w:val="20"/>
        </w:rPr>
      </w:pPr>
      <w:r w:rsidRPr="00763E3B">
        <w:rPr>
          <w:rFonts w:asciiTheme="majorHAnsi" w:hAnsiTheme="majorHAnsi" w:cs="Arial"/>
          <w:sz w:val="22"/>
        </w:rPr>
        <w:t>WT1 examined how the applicati</w:t>
      </w:r>
      <w:r w:rsidR="003F2C2B">
        <w:rPr>
          <w:rFonts w:asciiTheme="majorHAnsi" w:hAnsiTheme="majorHAnsi" w:cs="Arial"/>
          <w:sz w:val="22"/>
        </w:rPr>
        <w:t xml:space="preserve">on fee has been constructed and explained/justified </w:t>
      </w:r>
      <w:r w:rsidRPr="00763E3B">
        <w:rPr>
          <w:rFonts w:asciiTheme="majorHAnsi" w:hAnsiTheme="majorHAnsi" w:cs="Arial"/>
          <w:sz w:val="22"/>
        </w:rPr>
        <w:t>in the cost consideration documents</w:t>
      </w:r>
      <w:r>
        <w:rPr>
          <w:rStyle w:val="FootnoteReference"/>
          <w:rFonts w:asciiTheme="majorHAnsi" w:hAnsiTheme="majorHAnsi" w:cs="Arial"/>
          <w:sz w:val="22"/>
        </w:rPr>
        <w:footnoteReference w:id="-1"/>
      </w:r>
      <w:r w:rsidR="00F22CBF">
        <w:rPr>
          <w:rFonts w:asciiTheme="majorHAnsi" w:hAnsiTheme="majorHAnsi" w:cs="Arial"/>
          <w:sz w:val="22"/>
        </w:rPr>
        <w:t xml:space="preserve"> and the DAG4</w:t>
      </w:r>
      <w:r w:rsidRPr="00763E3B">
        <w:rPr>
          <w:rFonts w:asciiTheme="majorHAnsi" w:hAnsiTheme="majorHAnsi" w:cs="Arial"/>
          <w:sz w:val="22"/>
        </w:rPr>
        <w:t xml:space="preserve"> in order to determine if there is any potential for requesting the fee</w:t>
      </w:r>
      <w:r w:rsidR="003F2C2B">
        <w:rPr>
          <w:rFonts w:asciiTheme="majorHAnsi" w:hAnsiTheme="majorHAnsi" w:cs="Arial"/>
          <w:sz w:val="22"/>
        </w:rPr>
        <w:t>s</w:t>
      </w:r>
      <w:r w:rsidRPr="00763E3B">
        <w:rPr>
          <w:rFonts w:asciiTheme="majorHAnsi" w:hAnsiTheme="majorHAnsi" w:cs="Arial"/>
          <w:sz w:val="22"/>
        </w:rPr>
        <w:t xml:space="preserve"> be revisited for applicants that meet the </w:t>
      </w:r>
      <w:r w:rsidR="003F2C2B">
        <w:rPr>
          <w:rFonts w:asciiTheme="majorHAnsi" w:hAnsiTheme="majorHAnsi" w:cs="Arial"/>
          <w:sz w:val="22"/>
        </w:rPr>
        <w:t xml:space="preserve">established </w:t>
      </w:r>
      <w:r w:rsidRPr="00763E3B">
        <w:rPr>
          <w:rFonts w:asciiTheme="majorHAnsi" w:hAnsiTheme="majorHAnsi" w:cs="Arial"/>
          <w:sz w:val="22"/>
        </w:rPr>
        <w:t>crite</w:t>
      </w:r>
      <w:r w:rsidR="003F2C2B">
        <w:rPr>
          <w:rFonts w:asciiTheme="majorHAnsi" w:hAnsiTheme="majorHAnsi" w:cs="Arial"/>
          <w:sz w:val="22"/>
        </w:rPr>
        <w:t>ria</w:t>
      </w:r>
      <w:r>
        <w:rPr>
          <w:rFonts w:asciiTheme="majorHAnsi" w:hAnsiTheme="majorHAnsi" w:cs="Arial"/>
          <w:sz w:val="22"/>
        </w:rPr>
        <w:t xml:space="preserve">.  The WT </w:t>
      </w:r>
      <w:r w:rsidR="00F22CBF">
        <w:rPr>
          <w:rFonts w:asciiTheme="majorHAnsi" w:hAnsiTheme="majorHAnsi" w:cs="Arial"/>
          <w:sz w:val="22"/>
        </w:rPr>
        <w:t xml:space="preserve">suggests several </w:t>
      </w:r>
      <w:r w:rsidRPr="00763E3B">
        <w:rPr>
          <w:rFonts w:asciiTheme="majorHAnsi" w:hAnsiTheme="majorHAnsi" w:cs="Arial"/>
          <w:sz w:val="22"/>
        </w:rPr>
        <w:t>options for financial support</w:t>
      </w:r>
      <w:r w:rsidR="00F22CBF">
        <w:rPr>
          <w:rFonts w:asciiTheme="majorHAnsi" w:hAnsiTheme="majorHAnsi" w:cs="Arial"/>
          <w:sz w:val="22"/>
        </w:rPr>
        <w:t xml:space="preserve"> of applicants.  The first two </w:t>
      </w:r>
      <w:r>
        <w:rPr>
          <w:rFonts w:asciiTheme="majorHAnsi" w:hAnsiTheme="majorHAnsi" w:cs="Arial"/>
          <w:sz w:val="22"/>
        </w:rPr>
        <w:t>suggestions</w:t>
      </w:r>
      <w:r w:rsidRPr="00763E3B">
        <w:rPr>
          <w:rFonts w:asciiTheme="majorHAnsi" w:hAnsiTheme="majorHAnsi" w:cs="Arial"/>
          <w:sz w:val="22"/>
        </w:rPr>
        <w:t xml:space="preserve"> </w:t>
      </w:r>
      <w:r w:rsidR="003F2C2B">
        <w:rPr>
          <w:rFonts w:asciiTheme="majorHAnsi" w:hAnsiTheme="majorHAnsi" w:cs="Arial"/>
          <w:sz w:val="22"/>
        </w:rPr>
        <w:t>have consensus; the remaining</w:t>
      </w:r>
      <w:r w:rsidRPr="00763E3B">
        <w:rPr>
          <w:rFonts w:asciiTheme="majorHAnsi" w:hAnsiTheme="majorHAnsi" w:cs="Arial"/>
          <w:sz w:val="22"/>
        </w:rPr>
        <w:t xml:space="preserve"> suggestion</w:t>
      </w:r>
      <w:r w:rsidR="00F22CBF">
        <w:rPr>
          <w:rFonts w:asciiTheme="majorHAnsi" w:hAnsiTheme="majorHAnsi" w:cs="Arial"/>
          <w:sz w:val="22"/>
        </w:rPr>
        <w:t>s</w:t>
      </w:r>
      <w:r w:rsidRPr="00763E3B">
        <w:rPr>
          <w:rFonts w:asciiTheme="majorHAnsi" w:hAnsiTheme="majorHAnsi" w:cs="Arial"/>
          <w:sz w:val="22"/>
        </w:rPr>
        <w:t xml:space="preserve"> </w:t>
      </w:r>
      <w:r w:rsidR="00F22CBF">
        <w:rPr>
          <w:rFonts w:asciiTheme="majorHAnsi" w:hAnsiTheme="majorHAnsi" w:cs="Arial"/>
          <w:sz w:val="22"/>
        </w:rPr>
        <w:t xml:space="preserve">are </w:t>
      </w:r>
      <w:r w:rsidRPr="00763E3B">
        <w:rPr>
          <w:rFonts w:asciiTheme="majorHAnsi" w:hAnsiTheme="majorHAnsi" w:cs="Arial"/>
          <w:sz w:val="22"/>
        </w:rPr>
        <w:t>still under discussion.</w:t>
      </w:r>
    </w:p>
    <w:p w:rsidR="00763E3B" w:rsidRPr="00763E3B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:rsidR="00763E3B" w:rsidRPr="00462E23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Monaco"/>
          <w:sz w:val="22"/>
          <w:szCs w:val="20"/>
        </w:rPr>
      </w:pPr>
      <w:r w:rsidRPr="00763E3B">
        <w:rPr>
          <w:rFonts w:asciiTheme="majorHAnsi" w:hAnsiTheme="majorHAnsi" w:cs="Arial"/>
          <w:sz w:val="22"/>
        </w:rPr>
        <w:t xml:space="preserve">The </w:t>
      </w:r>
      <w:r>
        <w:rPr>
          <w:rFonts w:asciiTheme="majorHAnsi" w:hAnsiTheme="majorHAnsi" w:cs="Arial"/>
          <w:sz w:val="22"/>
        </w:rPr>
        <w:t xml:space="preserve">fee for applying for a new </w:t>
      </w:r>
      <w:proofErr w:type="spellStart"/>
      <w:r>
        <w:rPr>
          <w:rFonts w:asciiTheme="majorHAnsi" w:hAnsiTheme="majorHAnsi" w:cs="Arial"/>
          <w:sz w:val="22"/>
        </w:rPr>
        <w:t>gTLD</w:t>
      </w:r>
      <w:proofErr w:type="spellEnd"/>
      <w:r>
        <w:rPr>
          <w:rFonts w:asciiTheme="majorHAnsi" w:hAnsiTheme="majorHAnsi" w:cs="Arial"/>
          <w:sz w:val="22"/>
        </w:rPr>
        <w:t xml:space="preserve"> </w:t>
      </w:r>
      <w:r w:rsidRPr="00763E3B">
        <w:rPr>
          <w:rFonts w:asciiTheme="majorHAnsi" w:hAnsiTheme="majorHAnsi" w:cs="Arial"/>
          <w:sz w:val="22"/>
        </w:rPr>
        <w:t>is $185,000.</w:t>
      </w:r>
      <w:r w:rsidR="00462E23">
        <w:rPr>
          <w:rFonts w:asciiTheme="majorHAnsi" w:hAnsiTheme="majorHAnsi" w:cs="Monaco"/>
          <w:sz w:val="22"/>
          <w:szCs w:val="20"/>
        </w:rPr>
        <w:t xml:space="preserve">  </w:t>
      </w:r>
      <w:r w:rsidRPr="00763E3B">
        <w:rPr>
          <w:rFonts w:asciiTheme="majorHAnsi" w:hAnsiTheme="majorHAnsi" w:cs="Arial"/>
          <w:sz w:val="22"/>
        </w:rPr>
        <w:t>The fee structure is divided as:</w:t>
      </w:r>
    </w:p>
    <w:p w:rsidR="00763E3B" w:rsidRPr="00462E23" w:rsidRDefault="00763E3B" w:rsidP="00462E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462E23">
        <w:rPr>
          <w:rFonts w:asciiTheme="majorHAnsi" w:hAnsiTheme="majorHAnsi" w:cs="Arial"/>
          <w:sz w:val="22"/>
        </w:rPr>
        <w:t xml:space="preserve">New </w:t>
      </w:r>
      <w:proofErr w:type="spellStart"/>
      <w:r w:rsidRPr="00462E23">
        <w:rPr>
          <w:rFonts w:asciiTheme="majorHAnsi" w:hAnsiTheme="majorHAnsi" w:cs="Arial"/>
          <w:sz w:val="22"/>
        </w:rPr>
        <w:t>gTLD</w:t>
      </w:r>
      <w:proofErr w:type="spellEnd"/>
      <w:r w:rsidRPr="00462E23">
        <w:rPr>
          <w:rFonts w:asciiTheme="majorHAnsi" w:hAnsiTheme="majorHAnsi" w:cs="Arial"/>
          <w:sz w:val="22"/>
        </w:rPr>
        <w:t xml:space="preserve"> Program Development Costs  $ 26,000</w:t>
      </w:r>
    </w:p>
    <w:p w:rsidR="00763E3B" w:rsidRPr="00462E23" w:rsidRDefault="00763E3B" w:rsidP="00462E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462E23">
        <w:rPr>
          <w:rFonts w:asciiTheme="majorHAnsi" w:hAnsiTheme="majorHAnsi" w:cs="Arial"/>
          <w:sz w:val="22"/>
        </w:rPr>
        <w:t>Fixed and variable Application evaluation costs - Predictable  $100,000</w:t>
      </w:r>
    </w:p>
    <w:p w:rsidR="00763E3B" w:rsidRPr="00462E23" w:rsidRDefault="00763E3B" w:rsidP="00462E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Monaco"/>
          <w:sz w:val="22"/>
          <w:szCs w:val="20"/>
        </w:rPr>
      </w:pPr>
      <w:r w:rsidRPr="00462E23">
        <w:rPr>
          <w:rFonts w:asciiTheme="majorHAnsi" w:hAnsiTheme="majorHAnsi" w:cs="Arial"/>
          <w:sz w:val="22"/>
        </w:rPr>
        <w:t xml:space="preserve">Risk/Contingency costs $60,000                      </w:t>
      </w:r>
    </w:p>
    <w:p w:rsidR="00763E3B" w:rsidRPr="00763E3B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:rsidR="00763E3B" w:rsidRPr="00462E23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Monaco"/>
          <w:b/>
          <w:sz w:val="22"/>
          <w:szCs w:val="20"/>
        </w:rPr>
      </w:pPr>
      <w:r w:rsidRPr="00462E23">
        <w:rPr>
          <w:rFonts w:asciiTheme="majorHAnsi" w:hAnsiTheme="majorHAnsi" w:cs="Arial"/>
          <w:b/>
          <w:sz w:val="22"/>
        </w:rPr>
        <w:t>Proposals</w:t>
      </w:r>
    </w:p>
    <w:p w:rsidR="00462E23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462E23">
        <w:rPr>
          <w:rFonts w:asciiTheme="majorHAnsi" w:hAnsiTheme="majorHAnsi" w:cs="Arial"/>
          <w:sz w:val="22"/>
        </w:rPr>
        <w:t>The following suggestions have been formulated by WT1.</w:t>
      </w:r>
    </w:p>
    <w:p w:rsidR="00763E3B" w:rsidRPr="00462E23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Monaco"/>
          <w:sz w:val="22"/>
          <w:szCs w:val="20"/>
        </w:rPr>
      </w:pPr>
    </w:p>
    <w:p w:rsidR="00763E3B" w:rsidRPr="00462E23" w:rsidRDefault="00277C63" w:rsidP="00462E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onaco"/>
          <w:sz w:val="22"/>
          <w:szCs w:val="20"/>
        </w:rPr>
      </w:pPr>
      <w:r w:rsidRPr="00462E23">
        <w:rPr>
          <w:rFonts w:asciiTheme="majorHAnsi" w:hAnsiTheme="majorHAnsi" w:cs="Arial"/>
          <w:sz w:val="22"/>
        </w:rPr>
        <w:t>Waive t</w:t>
      </w:r>
      <w:r w:rsidR="00763E3B" w:rsidRPr="00462E23">
        <w:rPr>
          <w:rFonts w:asciiTheme="majorHAnsi" w:hAnsiTheme="majorHAnsi" w:cs="Arial"/>
          <w:sz w:val="22"/>
        </w:rPr>
        <w:t xml:space="preserve">he cost of </w:t>
      </w:r>
      <w:r w:rsidRPr="00462E23">
        <w:rPr>
          <w:rFonts w:asciiTheme="majorHAnsi" w:hAnsiTheme="majorHAnsi" w:cs="Arial"/>
          <w:sz w:val="22"/>
        </w:rPr>
        <w:t>Program Development ($26K)</w:t>
      </w:r>
      <w:r w:rsidR="00763E3B" w:rsidRPr="00462E23">
        <w:rPr>
          <w:rFonts w:asciiTheme="majorHAnsi" w:hAnsiTheme="majorHAnsi" w:cs="Arial"/>
          <w:sz w:val="22"/>
        </w:rPr>
        <w:t xml:space="preserve"> for selected entities qualifying for financial assistance. The document </w:t>
      </w:r>
      <w:r w:rsidR="00763E3B" w:rsidRPr="00462E23">
        <w:rPr>
          <w:rFonts w:asciiTheme="majorHAnsi" w:hAnsiTheme="majorHAnsi" w:cs="Arial"/>
          <w:i/>
          <w:sz w:val="22"/>
        </w:rPr>
        <w:t xml:space="preserve">New </w:t>
      </w:r>
      <w:proofErr w:type="spellStart"/>
      <w:r w:rsidR="00763E3B" w:rsidRPr="00462E23">
        <w:rPr>
          <w:rFonts w:asciiTheme="majorHAnsi" w:hAnsiTheme="majorHAnsi" w:cs="Arial"/>
          <w:i/>
          <w:sz w:val="22"/>
        </w:rPr>
        <w:t>gTLD</w:t>
      </w:r>
      <w:proofErr w:type="spellEnd"/>
      <w:r w:rsidR="00763E3B" w:rsidRPr="00462E23">
        <w:rPr>
          <w:rFonts w:asciiTheme="majorHAnsi" w:hAnsiTheme="majorHAnsi" w:cs="Arial"/>
          <w:i/>
          <w:sz w:val="22"/>
        </w:rPr>
        <w:t xml:space="preserve"> Program Explanatory Memorandum New </w:t>
      </w:r>
      <w:proofErr w:type="spellStart"/>
      <w:r w:rsidR="00763E3B" w:rsidRPr="00462E23">
        <w:rPr>
          <w:rFonts w:asciiTheme="majorHAnsi" w:hAnsiTheme="majorHAnsi" w:cs="Arial"/>
          <w:i/>
          <w:sz w:val="22"/>
        </w:rPr>
        <w:t>gTLD</w:t>
      </w:r>
      <w:proofErr w:type="spellEnd"/>
      <w:r w:rsidR="00763E3B" w:rsidRPr="00462E23">
        <w:rPr>
          <w:rFonts w:asciiTheme="majorHAnsi" w:hAnsiTheme="majorHAnsi" w:cs="Arial"/>
          <w:i/>
          <w:sz w:val="22"/>
        </w:rPr>
        <w:t xml:space="preserve"> Budget</w:t>
      </w:r>
      <w:r w:rsidR="00763E3B">
        <w:rPr>
          <w:rStyle w:val="FootnoteReference"/>
          <w:rFonts w:asciiTheme="majorHAnsi" w:hAnsiTheme="majorHAnsi" w:cs="Arial"/>
          <w:i/>
          <w:sz w:val="22"/>
        </w:rPr>
        <w:footnoteReference w:id="0"/>
      </w:r>
      <w:proofErr w:type="gramStart"/>
      <w:r w:rsidR="00763E3B" w:rsidRPr="00462E23">
        <w:rPr>
          <w:rFonts w:asciiTheme="majorHAnsi" w:hAnsiTheme="majorHAnsi" w:cs="Arial"/>
          <w:sz w:val="22"/>
        </w:rPr>
        <w:t xml:space="preserve">  indicates</w:t>
      </w:r>
      <w:proofErr w:type="gramEnd"/>
      <w:r w:rsidR="00763E3B" w:rsidRPr="00462E23">
        <w:rPr>
          <w:rFonts w:asciiTheme="majorHAnsi" w:hAnsiTheme="majorHAnsi" w:cs="Arial"/>
          <w:sz w:val="22"/>
        </w:rPr>
        <w:t xml:space="preserve"> an expected Net profit of  $184,600 for the </w:t>
      </w:r>
      <w:r w:rsidR="00D479AB" w:rsidRPr="00462E23">
        <w:rPr>
          <w:rFonts w:asciiTheme="majorHAnsi" w:hAnsiTheme="majorHAnsi" w:cs="Arial"/>
          <w:sz w:val="22"/>
        </w:rPr>
        <w:t xml:space="preserve"> new </w:t>
      </w:r>
      <w:proofErr w:type="spellStart"/>
      <w:r w:rsidR="00763E3B" w:rsidRPr="00462E23">
        <w:rPr>
          <w:rFonts w:asciiTheme="majorHAnsi" w:hAnsiTheme="majorHAnsi" w:cs="Arial"/>
          <w:sz w:val="22"/>
        </w:rPr>
        <w:t>gTLD</w:t>
      </w:r>
      <w:proofErr w:type="spellEnd"/>
      <w:r w:rsidR="00763E3B" w:rsidRPr="00462E23">
        <w:rPr>
          <w:rFonts w:asciiTheme="majorHAnsi" w:hAnsiTheme="majorHAnsi" w:cs="Arial"/>
          <w:sz w:val="22"/>
        </w:rPr>
        <w:t xml:space="preserve"> program.  This profit coul</w:t>
      </w:r>
      <w:r w:rsidR="00D479AB" w:rsidRPr="00462E23">
        <w:rPr>
          <w:rFonts w:asciiTheme="majorHAnsi" w:hAnsiTheme="majorHAnsi" w:cs="Arial"/>
          <w:sz w:val="22"/>
        </w:rPr>
        <w:t xml:space="preserve">d offset the loss of waiving the </w:t>
      </w:r>
      <w:r w:rsidR="00763E3B" w:rsidRPr="00462E23">
        <w:rPr>
          <w:rFonts w:asciiTheme="majorHAnsi" w:hAnsiTheme="majorHAnsi" w:cs="Arial"/>
          <w:sz w:val="22"/>
        </w:rPr>
        <w:t>$26k</w:t>
      </w:r>
      <w:r w:rsidR="00D479AB" w:rsidRPr="00462E23">
        <w:rPr>
          <w:rFonts w:asciiTheme="majorHAnsi" w:hAnsiTheme="majorHAnsi" w:cs="Arial"/>
          <w:sz w:val="22"/>
        </w:rPr>
        <w:t xml:space="preserve"> program development costs</w:t>
      </w:r>
      <w:r w:rsidR="00763E3B" w:rsidRPr="00462E23">
        <w:rPr>
          <w:rFonts w:asciiTheme="majorHAnsi" w:hAnsiTheme="majorHAnsi" w:cs="Arial"/>
          <w:sz w:val="22"/>
        </w:rPr>
        <w:t xml:space="preserve"> for seven applicants.</w:t>
      </w:r>
      <w:r w:rsidR="00783C4C">
        <w:rPr>
          <w:rFonts w:asciiTheme="majorHAnsi" w:hAnsiTheme="majorHAnsi" w:cs="Arial"/>
          <w:sz w:val="22"/>
        </w:rPr>
        <w:t xml:space="preserve">  </w:t>
      </w:r>
      <w:r w:rsidR="00783C4C" w:rsidRPr="00462E23">
        <w:rPr>
          <w:rFonts w:asciiTheme="majorHAnsi" w:hAnsiTheme="majorHAnsi" w:cs="Arial"/>
          <w:sz w:val="22"/>
        </w:rPr>
        <w:t xml:space="preserve">We expect very few applicants </w:t>
      </w:r>
      <w:r w:rsidR="00783C4C">
        <w:rPr>
          <w:rFonts w:asciiTheme="majorHAnsi" w:hAnsiTheme="majorHAnsi" w:cs="Arial"/>
          <w:sz w:val="22"/>
        </w:rPr>
        <w:t xml:space="preserve">(relative to the total number applying) </w:t>
      </w:r>
      <w:r w:rsidR="00783C4C" w:rsidRPr="00462E23">
        <w:rPr>
          <w:rFonts w:asciiTheme="majorHAnsi" w:hAnsiTheme="majorHAnsi" w:cs="Arial"/>
          <w:sz w:val="22"/>
        </w:rPr>
        <w:t>to meet the criteria for assistance, so the financial burden of waiving these fees should be minimal</w:t>
      </w:r>
      <w:r w:rsidR="00783C4C">
        <w:rPr>
          <w:rFonts w:asciiTheme="majorHAnsi" w:hAnsiTheme="majorHAnsi" w:cs="Arial"/>
          <w:sz w:val="22"/>
        </w:rPr>
        <w:t>.</w:t>
      </w:r>
      <w:r w:rsidR="00783C4C" w:rsidRPr="00462E23">
        <w:rPr>
          <w:rFonts w:asciiTheme="majorHAnsi" w:hAnsiTheme="majorHAnsi" w:cs="Monaco"/>
          <w:sz w:val="22"/>
          <w:szCs w:val="20"/>
        </w:rPr>
        <w:t xml:space="preserve">  </w:t>
      </w:r>
    </w:p>
    <w:p w:rsidR="00763E3B" w:rsidRPr="00763E3B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:rsidR="00F22CBF" w:rsidRPr="00462E23" w:rsidRDefault="00277C63" w:rsidP="00462E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462E23">
        <w:rPr>
          <w:rFonts w:asciiTheme="majorHAnsi" w:hAnsiTheme="majorHAnsi" w:cs="Arial"/>
          <w:sz w:val="22"/>
        </w:rPr>
        <w:t xml:space="preserve">Graduated Fees. </w:t>
      </w:r>
      <w:r w:rsidR="00763E3B" w:rsidRPr="00462E23">
        <w:rPr>
          <w:rFonts w:asciiTheme="majorHAnsi" w:hAnsiTheme="majorHAnsi" w:cs="Arial"/>
          <w:sz w:val="22"/>
        </w:rPr>
        <w:t xml:space="preserve">Instead of paying the entire $180k upon acceptance of the applications, applicants meeting the criteria established for support could pay </w:t>
      </w:r>
      <w:r w:rsidR="00D479AB" w:rsidRPr="00462E23">
        <w:rPr>
          <w:rFonts w:asciiTheme="majorHAnsi" w:hAnsiTheme="majorHAnsi" w:cs="Arial"/>
          <w:sz w:val="22"/>
        </w:rPr>
        <w:t>the</w:t>
      </w:r>
      <w:r w:rsidR="00763E3B" w:rsidRPr="00462E23">
        <w:rPr>
          <w:rFonts w:asciiTheme="majorHAnsi" w:hAnsiTheme="majorHAnsi" w:cs="Arial"/>
          <w:sz w:val="22"/>
        </w:rPr>
        <w:t xml:space="preserve"> fees</w:t>
      </w:r>
      <w:r w:rsidR="00D479AB" w:rsidRPr="00462E23">
        <w:rPr>
          <w:rFonts w:asciiTheme="majorHAnsi" w:hAnsiTheme="majorHAnsi" w:cs="Arial"/>
          <w:sz w:val="22"/>
        </w:rPr>
        <w:t xml:space="preserve"> incrementally (perhaps following the refund schedule in reverse)</w:t>
      </w:r>
      <w:r w:rsidR="00763E3B" w:rsidRPr="00462E23">
        <w:rPr>
          <w:rFonts w:asciiTheme="majorHAnsi" w:hAnsiTheme="majorHAnsi" w:cs="Arial"/>
          <w:sz w:val="22"/>
        </w:rPr>
        <w:t>. Allowing an applicant to pay graduated fees gives the applicant more time to raise money</w:t>
      </w:r>
      <w:r w:rsidR="00F22CBF" w:rsidRPr="00462E23">
        <w:rPr>
          <w:rFonts w:asciiTheme="majorHAnsi" w:hAnsiTheme="majorHAnsi" w:cs="Arial"/>
          <w:sz w:val="22"/>
        </w:rPr>
        <w:t>, and i</w:t>
      </w:r>
      <w:r w:rsidR="00763E3B" w:rsidRPr="00462E23">
        <w:rPr>
          <w:rFonts w:asciiTheme="majorHAnsi" w:hAnsiTheme="majorHAnsi" w:cs="Arial"/>
          <w:sz w:val="22"/>
        </w:rPr>
        <w:t>nvestors will be more likely to back an appli</w:t>
      </w:r>
      <w:r w:rsidRPr="00462E23">
        <w:rPr>
          <w:rFonts w:asciiTheme="majorHAnsi" w:hAnsiTheme="majorHAnsi" w:cs="Arial"/>
          <w:sz w:val="22"/>
        </w:rPr>
        <w:t>cation that passes</w:t>
      </w:r>
      <w:r w:rsidR="00763E3B" w:rsidRPr="00462E23">
        <w:rPr>
          <w:rFonts w:asciiTheme="majorHAnsi" w:hAnsiTheme="majorHAnsi" w:cs="Arial"/>
          <w:sz w:val="22"/>
        </w:rPr>
        <w:t xml:space="preserve"> the initial evaluation.  Graduated fees e</w:t>
      </w:r>
      <w:r w:rsidRPr="00462E23">
        <w:rPr>
          <w:rFonts w:asciiTheme="majorHAnsi" w:hAnsiTheme="majorHAnsi" w:cs="Arial"/>
          <w:sz w:val="22"/>
        </w:rPr>
        <w:t>nable an applicant to compete for strings that might otherwise have gone to the first and/or only group with enoug</w:t>
      </w:r>
      <w:r w:rsidR="00F22CBF" w:rsidRPr="00462E23">
        <w:rPr>
          <w:rFonts w:asciiTheme="majorHAnsi" w:hAnsiTheme="majorHAnsi" w:cs="Arial"/>
          <w:sz w:val="22"/>
        </w:rPr>
        <w:t>h money to apply.</w:t>
      </w:r>
      <w:r w:rsidRPr="00462E23">
        <w:rPr>
          <w:rFonts w:asciiTheme="majorHAnsi" w:hAnsiTheme="majorHAnsi" w:cs="Arial"/>
          <w:sz w:val="22"/>
        </w:rPr>
        <w:t xml:space="preserve">  I</w:t>
      </w:r>
      <w:r w:rsidR="00763E3B" w:rsidRPr="00462E23">
        <w:rPr>
          <w:rFonts w:asciiTheme="majorHAnsi" w:hAnsiTheme="majorHAnsi" w:cs="Arial"/>
          <w:sz w:val="22"/>
        </w:rPr>
        <w:t>f the applicant does not proceed through the entire process, they are not "costing" ICANN the full projected amount, therefore cost recovery remains intact.</w:t>
      </w:r>
    </w:p>
    <w:p w:rsidR="00F22CBF" w:rsidRDefault="00F22CBF" w:rsidP="00763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:rsidR="00F22CBF" w:rsidRPr="00462E23" w:rsidRDefault="00783C4C" w:rsidP="00462E2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Auction Proceeds. </w:t>
      </w:r>
      <w:r w:rsidR="00F22CBF" w:rsidRPr="00462E23">
        <w:rPr>
          <w:rFonts w:asciiTheme="majorHAnsi" w:hAnsiTheme="majorHAnsi"/>
          <w:sz w:val="22"/>
        </w:rPr>
        <w:t>Qualified applicants receive a partial refund from any auction proceeds</w:t>
      </w:r>
      <w:r w:rsidR="00F22CBF">
        <w:rPr>
          <w:rStyle w:val="FootnoteReference"/>
          <w:rFonts w:asciiTheme="majorHAnsi" w:hAnsiTheme="majorHAnsi"/>
          <w:sz w:val="22"/>
        </w:rPr>
        <w:footnoteReference w:id="1"/>
      </w:r>
      <w:r w:rsidR="00F22CBF" w:rsidRPr="00462E23">
        <w:rPr>
          <w:rFonts w:asciiTheme="majorHAnsi" w:hAnsiTheme="majorHAnsi"/>
          <w:sz w:val="22"/>
        </w:rPr>
        <w:t>—for which they can repay any loans</w:t>
      </w:r>
      <w:r>
        <w:rPr>
          <w:rFonts w:asciiTheme="majorHAnsi" w:hAnsiTheme="majorHAnsi"/>
          <w:sz w:val="22"/>
        </w:rPr>
        <w:t xml:space="preserve"> or invest into their registry, </w:t>
      </w:r>
      <w:proofErr w:type="gramStart"/>
      <w:r>
        <w:rPr>
          <w:rFonts w:asciiTheme="majorHAnsi" w:hAnsiTheme="majorHAnsi"/>
          <w:sz w:val="22"/>
        </w:rPr>
        <w:t xml:space="preserve">or  </w:t>
      </w:r>
      <w:r w:rsidR="00F22CBF" w:rsidRPr="00462E23">
        <w:rPr>
          <w:rFonts w:asciiTheme="majorHAnsi" w:hAnsiTheme="majorHAnsi"/>
          <w:sz w:val="22"/>
        </w:rPr>
        <w:t>the</w:t>
      </w:r>
      <w:proofErr w:type="gramEnd"/>
      <w:r w:rsidR="00F22CBF" w:rsidRPr="00462E23">
        <w:rPr>
          <w:rFonts w:asciiTheme="majorHAnsi" w:hAnsiTheme="majorHAnsi"/>
          <w:sz w:val="22"/>
        </w:rPr>
        <w:t xml:space="preserve"> auction proceeds could be used to refill the disadvantag</w:t>
      </w:r>
      <w:r>
        <w:rPr>
          <w:rFonts w:asciiTheme="majorHAnsi" w:hAnsiTheme="majorHAnsi"/>
          <w:sz w:val="22"/>
        </w:rPr>
        <w:t xml:space="preserve">ed applicant’s foundation fund </w:t>
      </w:r>
      <w:r w:rsidR="00F22CBF" w:rsidRPr="00462E23">
        <w:rPr>
          <w:rFonts w:asciiTheme="majorHAnsi" w:hAnsiTheme="majorHAnsi"/>
          <w:sz w:val="22"/>
        </w:rPr>
        <w:t>for subsequent rounds.</w:t>
      </w:r>
    </w:p>
    <w:p w:rsidR="00763E3B" w:rsidRPr="00277C63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:rsidR="00763E3B" w:rsidRPr="00763E3B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</w:rPr>
      </w:pPr>
    </w:p>
    <w:p w:rsidR="001B23AC" w:rsidRPr="00462E23" w:rsidRDefault="00010852" w:rsidP="00462E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Lower the Registry fixed fees due to ICANN.  </w:t>
      </w:r>
      <w:r w:rsidR="00525D87" w:rsidRPr="00462E23">
        <w:rPr>
          <w:rFonts w:asciiTheme="majorHAnsi" w:hAnsiTheme="majorHAnsi" w:cs="Arial"/>
          <w:sz w:val="22"/>
        </w:rPr>
        <w:t>In lieu of</w:t>
      </w:r>
      <w:r w:rsidR="001B23AC" w:rsidRPr="00462E23">
        <w:rPr>
          <w:rFonts w:asciiTheme="majorHAnsi" w:hAnsiTheme="majorHAnsi" w:cs="Arial"/>
          <w:sz w:val="22"/>
        </w:rPr>
        <w:t xml:space="preserve"> the </w:t>
      </w:r>
      <w:r w:rsidR="00525D87" w:rsidRPr="00462E23">
        <w:rPr>
          <w:rFonts w:asciiTheme="majorHAnsi" w:hAnsiTheme="majorHAnsi" w:cs="Arial"/>
          <w:sz w:val="22"/>
        </w:rPr>
        <w:t xml:space="preserve">Registry-Level fixed fee of </w:t>
      </w:r>
      <w:r w:rsidR="001B23AC" w:rsidRPr="00462E23">
        <w:rPr>
          <w:rFonts w:asciiTheme="majorHAnsi" w:hAnsiTheme="majorHAnsi" w:cs="Arial"/>
          <w:sz w:val="22"/>
        </w:rPr>
        <w:t>US$25,000 per calendar year</w:t>
      </w:r>
      <w:r w:rsidR="00525D87">
        <w:rPr>
          <w:rStyle w:val="FootnoteReference"/>
          <w:rFonts w:asciiTheme="majorHAnsi" w:hAnsiTheme="majorHAnsi" w:cs="Arial"/>
          <w:sz w:val="22"/>
        </w:rPr>
        <w:footnoteReference w:id="2"/>
      </w:r>
      <w:r w:rsidR="00525D87" w:rsidRPr="00462E23">
        <w:rPr>
          <w:rFonts w:asciiTheme="majorHAnsi" w:hAnsiTheme="majorHAnsi" w:cs="Arial"/>
          <w:sz w:val="22"/>
        </w:rPr>
        <w:t xml:space="preserve">, </w:t>
      </w:r>
      <w:r w:rsidR="001B23AC" w:rsidRPr="00462E23">
        <w:rPr>
          <w:rFonts w:asciiTheme="majorHAnsi" w:hAnsiTheme="majorHAnsi" w:cs="Arial"/>
          <w:sz w:val="22"/>
        </w:rPr>
        <w:t xml:space="preserve">instead </w:t>
      </w:r>
      <w:r w:rsidR="00277C63" w:rsidRPr="00462E23">
        <w:rPr>
          <w:rFonts w:asciiTheme="majorHAnsi" w:hAnsiTheme="majorHAnsi" w:cs="Arial"/>
          <w:sz w:val="22"/>
        </w:rPr>
        <w:t>only charge t</w:t>
      </w:r>
      <w:r w:rsidR="001B23AC" w:rsidRPr="00462E23">
        <w:rPr>
          <w:rFonts w:asciiTheme="majorHAnsi" w:hAnsiTheme="majorHAnsi" w:cs="Arial"/>
          <w:sz w:val="22"/>
        </w:rPr>
        <w:t xml:space="preserve">he Registry-Level Transaction Fee of US$0.25 per initial or renewal domain name registration. </w:t>
      </w:r>
      <w:r w:rsidR="00525D87" w:rsidRPr="00462E23">
        <w:rPr>
          <w:rFonts w:asciiTheme="majorHAnsi" w:hAnsiTheme="majorHAnsi" w:cs="Arial"/>
          <w:sz w:val="22"/>
        </w:rPr>
        <w:t xml:space="preserve">An annual fee of $25k to ICANN is a barrier to </w:t>
      </w:r>
      <w:r w:rsidR="00277C63" w:rsidRPr="00462E23">
        <w:rPr>
          <w:rFonts w:asciiTheme="majorHAnsi" w:hAnsiTheme="majorHAnsi" w:cs="Arial"/>
          <w:sz w:val="22"/>
        </w:rPr>
        <w:t>sustainability</w:t>
      </w:r>
      <w:r w:rsidR="00525D87" w:rsidRPr="00462E23">
        <w:rPr>
          <w:rFonts w:asciiTheme="majorHAnsi" w:hAnsiTheme="majorHAnsi" w:cs="Arial"/>
          <w:sz w:val="22"/>
        </w:rPr>
        <w:t xml:space="preserve"> for an applicant represent</w:t>
      </w:r>
      <w:r>
        <w:rPr>
          <w:rFonts w:asciiTheme="majorHAnsi" w:hAnsiTheme="majorHAnsi" w:cs="Arial"/>
          <w:sz w:val="22"/>
        </w:rPr>
        <w:t xml:space="preserve">ing a small community.  Many </w:t>
      </w:r>
      <w:proofErr w:type="spellStart"/>
      <w:r>
        <w:rPr>
          <w:rFonts w:asciiTheme="majorHAnsi" w:hAnsiTheme="majorHAnsi" w:cs="Arial"/>
          <w:sz w:val="22"/>
        </w:rPr>
        <w:t>T</w:t>
      </w:r>
      <w:r w:rsidR="00525D87" w:rsidRPr="00462E23">
        <w:rPr>
          <w:rFonts w:asciiTheme="majorHAnsi" w:hAnsiTheme="majorHAnsi" w:cs="Arial"/>
          <w:sz w:val="22"/>
        </w:rPr>
        <w:t>LDs</w:t>
      </w:r>
      <w:proofErr w:type="spellEnd"/>
      <w:r w:rsidR="00525D87" w:rsidRPr="00462E23">
        <w:rPr>
          <w:rFonts w:asciiTheme="majorHAnsi" w:hAnsiTheme="majorHAnsi" w:cs="Arial"/>
          <w:sz w:val="22"/>
        </w:rPr>
        <w:t xml:space="preserve"> pay much </w:t>
      </w:r>
      <w:r w:rsidR="00277C63" w:rsidRPr="00462E23">
        <w:rPr>
          <w:rFonts w:asciiTheme="majorHAnsi" w:hAnsiTheme="majorHAnsi" w:cs="Arial"/>
          <w:sz w:val="22"/>
        </w:rPr>
        <w:t>less to ICANN (if anything).  If</w:t>
      </w:r>
      <w:r w:rsidR="00525D87" w:rsidRPr="00462E23">
        <w:rPr>
          <w:rFonts w:asciiTheme="majorHAnsi" w:hAnsiTheme="majorHAnsi" w:cs="Arial"/>
          <w:sz w:val="22"/>
        </w:rPr>
        <w:t xml:space="preserve"> a minimum is absolutely requ</w:t>
      </w:r>
      <w:r w:rsidR="00277C63" w:rsidRPr="00462E23">
        <w:rPr>
          <w:rFonts w:asciiTheme="majorHAnsi" w:hAnsiTheme="majorHAnsi" w:cs="Arial"/>
          <w:sz w:val="22"/>
        </w:rPr>
        <w:t>ired, then consider lowering this fee by 50% for qualified applicants.</w:t>
      </w:r>
    </w:p>
    <w:p w:rsidR="00763E3B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:rsidR="00763E3B" w:rsidRPr="00462E23" w:rsidRDefault="00277C63" w:rsidP="00462E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onaco"/>
          <w:sz w:val="22"/>
          <w:szCs w:val="20"/>
        </w:rPr>
      </w:pPr>
      <w:r w:rsidRPr="00462E23">
        <w:rPr>
          <w:rFonts w:asciiTheme="majorHAnsi" w:hAnsiTheme="majorHAnsi" w:cs="Arial"/>
          <w:sz w:val="22"/>
        </w:rPr>
        <w:t>Reconsider the</w:t>
      </w:r>
      <w:r w:rsidR="00525D87" w:rsidRPr="00462E23">
        <w:rPr>
          <w:rFonts w:asciiTheme="majorHAnsi" w:hAnsiTheme="majorHAnsi" w:cs="Arial"/>
          <w:sz w:val="22"/>
        </w:rPr>
        <w:t xml:space="preserve"> Risk/Contingency </w:t>
      </w:r>
      <w:r w:rsidRPr="00462E23">
        <w:rPr>
          <w:rFonts w:asciiTheme="majorHAnsi" w:hAnsiTheme="majorHAnsi" w:cs="Arial"/>
          <w:sz w:val="22"/>
        </w:rPr>
        <w:t>cost per applicant ($60k).</w:t>
      </w:r>
      <w:r w:rsidR="00525D87" w:rsidRPr="00462E23">
        <w:rPr>
          <w:rFonts w:asciiTheme="majorHAnsi" w:hAnsiTheme="majorHAnsi" w:cs="Arial"/>
          <w:sz w:val="22"/>
        </w:rPr>
        <w:t xml:space="preserve">  </w:t>
      </w:r>
      <w:r w:rsidR="00763E3B" w:rsidRPr="00462E23">
        <w:rPr>
          <w:rFonts w:asciiTheme="majorHAnsi" w:hAnsiTheme="majorHAnsi" w:cs="Arial"/>
          <w:sz w:val="22"/>
        </w:rPr>
        <w:t xml:space="preserve">The </w:t>
      </w:r>
      <w:r w:rsidR="006250BD" w:rsidRPr="00462E23">
        <w:rPr>
          <w:rFonts w:asciiTheme="majorHAnsi" w:hAnsiTheme="majorHAnsi" w:cs="Arial"/>
          <w:sz w:val="22"/>
        </w:rPr>
        <w:t>WT</w:t>
      </w:r>
      <w:r w:rsidR="00763E3B" w:rsidRPr="00462E23">
        <w:rPr>
          <w:rFonts w:asciiTheme="majorHAnsi" w:hAnsiTheme="majorHAnsi" w:cs="Arial"/>
          <w:sz w:val="22"/>
        </w:rPr>
        <w:t xml:space="preserve"> </w:t>
      </w:r>
      <w:r w:rsidR="00525D87" w:rsidRPr="00462E23">
        <w:rPr>
          <w:rFonts w:asciiTheme="majorHAnsi" w:hAnsiTheme="majorHAnsi" w:cs="Arial"/>
          <w:sz w:val="22"/>
        </w:rPr>
        <w:t xml:space="preserve">questions </w:t>
      </w:r>
      <w:r w:rsidR="00763E3B" w:rsidRPr="00462E23">
        <w:rPr>
          <w:rFonts w:asciiTheme="majorHAnsi" w:hAnsiTheme="majorHAnsi" w:cs="Arial"/>
          <w:sz w:val="22"/>
        </w:rPr>
        <w:t>if ICANN really expects</w:t>
      </w:r>
      <w:r w:rsidRPr="00462E23">
        <w:rPr>
          <w:rFonts w:asciiTheme="majorHAnsi" w:hAnsiTheme="majorHAnsi" w:cs="Arial"/>
          <w:sz w:val="22"/>
        </w:rPr>
        <w:t xml:space="preserve"> a total of</w:t>
      </w:r>
      <w:r w:rsidR="00763E3B" w:rsidRPr="00462E23">
        <w:rPr>
          <w:rFonts w:asciiTheme="majorHAnsi" w:hAnsiTheme="majorHAnsi" w:cs="Arial"/>
          <w:sz w:val="22"/>
        </w:rPr>
        <w:t xml:space="preserve"> $30,000,000</w:t>
      </w:r>
      <w:r w:rsidR="00525D87" w:rsidRPr="00462E23">
        <w:rPr>
          <w:rFonts w:asciiTheme="majorHAnsi" w:hAnsiTheme="majorHAnsi" w:cs="Arial"/>
          <w:sz w:val="22"/>
        </w:rPr>
        <w:t xml:space="preserve"> ($60k x 500 applications)</w:t>
      </w:r>
      <w:r w:rsidR="00763E3B" w:rsidRPr="00462E23">
        <w:rPr>
          <w:rFonts w:asciiTheme="majorHAnsi" w:hAnsiTheme="majorHAnsi" w:cs="Arial"/>
          <w:sz w:val="22"/>
        </w:rPr>
        <w:t xml:space="preserve"> i</w:t>
      </w:r>
      <w:r w:rsidRPr="00462E23">
        <w:rPr>
          <w:rFonts w:asciiTheme="majorHAnsi" w:hAnsiTheme="majorHAnsi" w:cs="Arial"/>
          <w:sz w:val="22"/>
        </w:rPr>
        <w:t>n unknown costs to surface.  T</w:t>
      </w:r>
      <w:r w:rsidR="00763E3B" w:rsidRPr="00462E23">
        <w:rPr>
          <w:rFonts w:asciiTheme="majorHAnsi" w:hAnsiTheme="majorHAnsi" w:cs="Arial"/>
          <w:sz w:val="22"/>
        </w:rPr>
        <w:t>his fee could be reduced/excused for the applicants that meet the criteria established by the WG.</w:t>
      </w:r>
    </w:p>
    <w:p w:rsidR="00763E3B" w:rsidRPr="00763E3B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Century Gothic"/>
          <w:sz w:val="22"/>
        </w:rPr>
      </w:pPr>
    </w:p>
    <w:p w:rsidR="00763E3B" w:rsidRPr="00462E23" w:rsidRDefault="00525D87" w:rsidP="00462E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onaco"/>
          <w:sz w:val="22"/>
          <w:szCs w:val="20"/>
        </w:rPr>
      </w:pPr>
      <w:r w:rsidRPr="00462E23">
        <w:rPr>
          <w:rFonts w:asciiTheme="majorHAnsi" w:hAnsiTheme="majorHAnsi" w:cs="Arial"/>
          <w:sz w:val="22"/>
        </w:rPr>
        <w:t xml:space="preserve">The Fixed/Variable cost of $100,000 is based on </w:t>
      </w:r>
      <w:r w:rsidR="00763E3B" w:rsidRPr="00462E23">
        <w:rPr>
          <w:rFonts w:asciiTheme="majorHAnsi" w:hAnsiTheme="majorHAnsi" w:cs="Arial"/>
          <w:sz w:val="22"/>
        </w:rPr>
        <w:t xml:space="preserve">the total cost of the previous round of applications, which the </w:t>
      </w:r>
      <w:r w:rsidR="008E0D61" w:rsidRPr="00462E23">
        <w:rPr>
          <w:rFonts w:asciiTheme="majorHAnsi" w:hAnsiTheme="majorHAnsi" w:cs="Arial"/>
          <w:sz w:val="22"/>
        </w:rPr>
        <w:t xml:space="preserve">cost considerations </w:t>
      </w:r>
      <w:r w:rsidR="00763E3B" w:rsidRPr="00462E23">
        <w:rPr>
          <w:rFonts w:asciiTheme="majorHAnsi" w:hAnsiTheme="majorHAnsi" w:cs="Arial"/>
          <w:sz w:val="22"/>
        </w:rPr>
        <w:t>document quantifies as $1.8MM for all ten application</w:t>
      </w:r>
      <w:r w:rsidR="00010852">
        <w:rPr>
          <w:rFonts w:asciiTheme="majorHAnsi" w:hAnsiTheme="majorHAnsi" w:cs="Arial"/>
          <w:sz w:val="22"/>
        </w:rPr>
        <w:t xml:space="preserve">s.  </w:t>
      </w:r>
      <w:r w:rsidRPr="00462E23">
        <w:rPr>
          <w:rFonts w:asciiTheme="majorHAnsi" w:hAnsiTheme="majorHAnsi" w:cs="Arial"/>
          <w:sz w:val="22"/>
        </w:rPr>
        <w:t xml:space="preserve">This fee </w:t>
      </w:r>
      <w:r w:rsidR="00763E3B" w:rsidRPr="00462E23">
        <w:rPr>
          <w:rFonts w:asciiTheme="majorHAnsi" w:hAnsiTheme="majorHAnsi" w:cs="Arial"/>
          <w:sz w:val="22"/>
        </w:rPr>
        <w:t>most probably includes costs associated with the conflict that arose from the rejection of the "</w:t>
      </w:r>
      <w:proofErr w:type="gramStart"/>
      <w:r w:rsidR="00763E3B" w:rsidRPr="00462E23">
        <w:rPr>
          <w:rFonts w:asciiTheme="majorHAnsi" w:hAnsiTheme="majorHAnsi" w:cs="Arial"/>
          <w:sz w:val="22"/>
        </w:rPr>
        <w:t>.XXX</w:t>
      </w:r>
      <w:proofErr w:type="gramEnd"/>
      <w:r w:rsidR="00763E3B" w:rsidRPr="00462E23">
        <w:rPr>
          <w:rFonts w:asciiTheme="majorHAnsi" w:hAnsiTheme="majorHAnsi" w:cs="Arial"/>
          <w:sz w:val="22"/>
        </w:rPr>
        <w:t>" applicati</w:t>
      </w:r>
      <w:r w:rsidR="00010852">
        <w:rPr>
          <w:rFonts w:asciiTheme="majorHAnsi" w:hAnsiTheme="majorHAnsi" w:cs="Arial"/>
          <w:sz w:val="22"/>
        </w:rPr>
        <w:t>on, which is remains unresolved</w:t>
      </w:r>
      <w:r w:rsidR="00763E3B" w:rsidRPr="00462E23">
        <w:rPr>
          <w:rFonts w:asciiTheme="majorHAnsi" w:hAnsiTheme="majorHAnsi" w:cs="Arial"/>
          <w:sz w:val="22"/>
        </w:rPr>
        <w:t xml:space="preserve">. The fee of $180,000 may have been significantly skewed </w:t>
      </w:r>
      <w:r w:rsidR="00010852">
        <w:rPr>
          <w:rFonts w:asciiTheme="majorHAnsi" w:hAnsiTheme="majorHAnsi" w:cs="Arial"/>
          <w:sz w:val="22"/>
        </w:rPr>
        <w:t xml:space="preserve">by the long-term work required for </w:t>
      </w:r>
      <w:r w:rsidR="008E0D61" w:rsidRPr="00462E23">
        <w:rPr>
          <w:rFonts w:asciiTheme="majorHAnsi" w:hAnsiTheme="majorHAnsi" w:cs="Arial"/>
          <w:sz w:val="22"/>
        </w:rPr>
        <w:t>.XXX</w:t>
      </w:r>
      <w:r w:rsidR="00763E3B" w:rsidRPr="00462E23">
        <w:rPr>
          <w:rFonts w:asciiTheme="majorHAnsi" w:hAnsiTheme="majorHAnsi" w:cs="Arial"/>
          <w:sz w:val="22"/>
        </w:rPr>
        <w:t>.  The actual evaluation and administrative costs for the other</w:t>
      </w:r>
      <w:r w:rsidR="00277C63" w:rsidRPr="00462E23">
        <w:rPr>
          <w:rFonts w:asciiTheme="majorHAnsi" w:hAnsiTheme="majorHAnsi" w:cs="Arial"/>
          <w:sz w:val="22"/>
        </w:rPr>
        <w:t xml:space="preserve"> nine applications may have </w:t>
      </w:r>
      <w:r w:rsidR="00763E3B" w:rsidRPr="00462E23">
        <w:rPr>
          <w:rFonts w:asciiTheme="majorHAnsi" w:hAnsiTheme="majorHAnsi" w:cs="Arial"/>
          <w:sz w:val="22"/>
        </w:rPr>
        <w:t>be</w:t>
      </w:r>
      <w:r w:rsidR="00277C63" w:rsidRPr="00462E23">
        <w:rPr>
          <w:rFonts w:asciiTheme="majorHAnsi" w:hAnsiTheme="majorHAnsi" w:cs="Arial"/>
          <w:sz w:val="22"/>
        </w:rPr>
        <w:t xml:space="preserve">en considerably less than $180,000 per </w:t>
      </w:r>
      <w:r w:rsidR="00763E3B" w:rsidRPr="00462E23">
        <w:rPr>
          <w:rFonts w:asciiTheme="majorHAnsi" w:hAnsiTheme="majorHAnsi" w:cs="Arial"/>
          <w:sz w:val="22"/>
        </w:rPr>
        <w:t>piece.</w:t>
      </w:r>
      <w:r w:rsidR="006250BD" w:rsidRPr="00462E23">
        <w:rPr>
          <w:rFonts w:asciiTheme="majorHAnsi" w:hAnsiTheme="majorHAnsi" w:cs="Arial"/>
          <w:sz w:val="22"/>
        </w:rPr>
        <w:t xml:space="preserve">  If this is the case, the $100,000 fixed </w:t>
      </w:r>
      <w:r w:rsidR="008E0D61" w:rsidRPr="00462E23">
        <w:rPr>
          <w:rFonts w:asciiTheme="majorHAnsi" w:hAnsiTheme="majorHAnsi" w:cs="Arial"/>
          <w:sz w:val="22"/>
        </w:rPr>
        <w:t>cost fee</w:t>
      </w:r>
      <w:r w:rsidR="006250BD" w:rsidRPr="00462E23">
        <w:rPr>
          <w:rFonts w:asciiTheme="majorHAnsi" w:hAnsiTheme="majorHAnsi" w:cs="Arial"/>
          <w:sz w:val="22"/>
        </w:rPr>
        <w:t xml:space="preserve"> could be reduced.</w:t>
      </w:r>
    </w:p>
    <w:p w:rsidR="00763E3B" w:rsidRPr="00763E3B" w:rsidRDefault="00763E3B" w:rsidP="00763E3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</w:p>
    <w:p w:rsidR="00763E3B" w:rsidRPr="00763E3B" w:rsidRDefault="00F22CBF" w:rsidP="00F22CB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WT1 is working with WT2 on identifying sources of funding for subsidizing the fees for qualified applicants.  </w:t>
      </w:r>
      <w:r w:rsidR="006250BD">
        <w:rPr>
          <w:rFonts w:asciiTheme="majorHAnsi" w:hAnsiTheme="majorHAnsi"/>
          <w:sz w:val="22"/>
        </w:rPr>
        <w:t>The WG suggests that a</w:t>
      </w:r>
      <w:r w:rsidR="00605A1F">
        <w:rPr>
          <w:rFonts w:asciiTheme="majorHAnsi" w:hAnsiTheme="majorHAnsi"/>
          <w:sz w:val="22"/>
        </w:rPr>
        <w:t>n independe</w:t>
      </w:r>
      <w:r w:rsidR="006250BD">
        <w:rPr>
          <w:rFonts w:asciiTheme="majorHAnsi" w:hAnsiTheme="majorHAnsi"/>
          <w:sz w:val="22"/>
        </w:rPr>
        <w:t>nt foundation be established, outside of ICANN structures, to assist applicants with funding.</w:t>
      </w:r>
    </w:p>
    <w:sectPr w:rsidR="00763E3B" w:rsidRPr="00763E3B" w:rsidSect="00763E3B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783C4C" w:rsidRDefault="00783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63E3B">
          <w:rPr>
            <w:rFonts w:asciiTheme="majorHAnsi" w:hAnsiTheme="majorHAnsi" w:cs="Helvetica"/>
            <w:color w:val="274FAA"/>
            <w:sz w:val="22"/>
            <w:u w:val="single" w:color="274FAA"/>
          </w:rPr>
          <w:t>h</w:t>
        </w:r>
        <w:r w:rsidRPr="00763E3B">
          <w:rPr>
            <w:rFonts w:asciiTheme="majorHAnsi" w:hAnsiTheme="majorHAnsi" w:cs="Helvetica"/>
            <w:color w:val="274FAA"/>
            <w:sz w:val="22"/>
            <w:u w:val="single" w:color="274FAA"/>
          </w:rPr>
          <w:t>t</w:t>
        </w:r>
        <w:r w:rsidRPr="00763E3B">
          <w:rPr>
            <w:rFonts w:asciiTheme="majorHAnsi" w:hAnsiTheme="majorHAnsi" w:cs="Helvetica"/>
            <w:color w:val="274FAA"/>
            <w:sz w:val="22"/>
            <w:u w:val="single" w:color="274FAA"/>
          </w:rPr>
          <w:t>tp://www.icann.org/en/topics/new-gtlds/cost-considerations-04oct09-en.pdf</w:t>
        </w:r>
      </w:hyperlink>
    </w:p>
  </w:footnote>
  <w:footnote w:id="0">
    <w:p w:rsidR="00783C4C" w:rsidRDefault="00783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3E3B">
        <w:rPr>
          <w:rFonts w:asciiTheme="majorHAnsi" w:hAnsiTheme="majorHAnsi" w:cs="Arial"/>
          <w:sz w:val="22"/>
        </w:rPr>
        <w:t> http://www.icann.org/en/topics/new-gtlds/new-gtld-budget-28may10-en.pdf</w:t>
      </w:r>
    </w:p>
  </w:footnote>
  <w:footnote w:id="1">
    <w:p w:rsidR="00783C4C" w:rsidRPr="006250BD" w:rsidRDefault="00783C4C" w:rsidP="00F22CBF">
      <w:pPr>
        <w:pStyle w:val="FootnoteText"/>
        <w:rPr>
          <w:rFonts w:asciiTheme="majorHAnsi" w:hAnsiTheme="majorHAnsi" w:cs="Arial"/>
          <w:sz w:val="22"/>
        </w:rPr>
      </w:pPr>
      <w:r>
        <w:rPr>
          <w:rStyle w:val="FootnoteReference"/>
        </w:rPr>
        <w:footnoteRef/>
      </w:r>
      <w:r>
        <w:rPr>
          <w:rFonts w:asciiTheme="majorHAnsi" w:hAnsiTheme="majorHAnsi" w:cs="Arial"/>
          <w:sz w:val="22"/>
        </w:rPr>
        <w:t xml:space="preserve">  </w:t>
      </w:r>
      <w:r w:rsidRPr="00763E3B">
        <w:rPr>
          <w:rFonts w:asciiTheme="majorHAnsi" w:hAnsiTheme="majorHAnsi" w:cs="Arial"/>
          <w:sz w:val="22"/>
        </w:rPr>
        <w:t>http://www.icann.org/en/topics/new-gtlds/</w:t>
      </w:r>
      <w:r w:rsidRPr="00277C63">
        <w:rPr>
          <w:rFonts w:asciiTheme="majorHAnsi" w:hAnsiTheme="majorHAnsi" w:cs="Arial"/>
          <w:sz w:val="22"/>
        </w:rPr>
        <w:t>Draft-rfp-clean-28may10-en.pdf</w:t>
      </w:r>
      <w:r>
        <w:rPr>
          <w:rFonts w:asciiTheme="majorHAnsi" w:hAnsiTheme="majorHAnsi" w:cs="Arial"/>
          <w:sz w:val="22"/>
        </w:rPr>
        <w:t xml:space="preserve"> </w:t>
      </w:r>
      <w:r w:rsidRPr="006250BD">
        <w:rPr>
          <w:rFonts w:asciiTheme="majorHAnsi" w:hAnsiTheme="majorHAnsi" w:cs="Arial"/>
          <w:sz w:val="22"/>
        </w:rPr>
        <w:t>page 4-18</w:t>
      </w:r>
    </w:p>
  </w:footnote>
  <w:footnote w:id="2">
    <w:p w:rsidR="00783C4C" w:rsidRDefault="00783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7C63">
        <w:rPr>
          <w:rFonts w:asciiTheme="majorHAnsi" w:hAnsiTheme="majorHAnsi" w:cs="Arial"/>
          <w:sz w:val="22"/>
        </w:rPr>
        <w:t>Draft-rfp-clean-28may10-en.pdf</w:t>
      </w:r>
      <w:r>
        <w:rPr>
          <w:rFonts w:asciiTheme="majorHAnsi" w:hAnsiTheme="majorHAnsi" w:cs="Arial"/>
          <w:sz w:val="22"/>
        </w:rPr>
        <w:t xml:space="preserve"> Registry Agreement 6.1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7F6"/>
    <w:multiLevelType w:val="hybridMultilevel"/>
    <w:tmpl w:val="BA18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703E"/>
    <w:multiLevelType w:val="hybridMultilevel"/>
    <w:tmpl w:val="81B6B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C6D17"/>
    <w:multiLevelType w:val="hybridMultilevel"/>
    <w:tmpl w:val="B1FA64C6"/>
    <w:lvl w:ilvl="0" w:tplc="9F56479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C4686"/>
    <w:multiLevelType w:val="hybridMultilevel"/>
    <w:tmpl w:val="752A3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63E3B"/>
    <w:rsid w:val="00010852"/>
    <w:rsid w:val="00132B3C"/>
    <w:rsid w:val="001B23AC"/>
    <w:rsid w:val="00277C63"/>
    <w:rsid w:val="003F2C2B"/>
    <w:rsid w:val="00462E23"/>
    <w:rsid w:val="00525D87"/>
    <w:rsid w:val="00605A1F"/>
    <w:rsid w:val="006250BD"/>
    <w:rsid w:val="00763E3B"/>
    <w:rsid w:val="00783C4C"/>
    <w:rsid w:val="008E0D61"/>
    <w:rsid w:val="00D479AB"/>
    <w:rsid w:val="00F22CBF"/>
    <w:rsid w:val="00F734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D0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63E3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E3B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63E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nn.org/en/topics/new-gtlds/cost-considerations-04oct09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603</Words>
  <Characters>3440</Characters>
  <Application>Microsoft Macintosh Word</Application>
  <DocSecurity>0</DocSecurity>
  <Lines>28</Lines>
  <Paragraphs>6</Paragraphs>
  <ScaleCrop>false</ScaleCrop>
  <Company>CITC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Elaine Pruis</cp:lastModifiedBy>
  <cp:revision>7</cp:revision>
  <dcterms:created xsi:type="dcterms:W3CDTF">2010-06-11T12:33:00Z</dcterms:created>
  <dcterms:modified xsi:type="dcterms:W3CDTF">2010-06-11T15:53:00Z</dcterms:modified>
</cp:coreProperties>
</file>