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53" w:rsidRPr="00015453" w:rsidRDefault="00015453">
      <w:pPr>
        <w:rPr>
          <w:rFonts w:asciiTheme="minorHAnsi" w:hAnsiTheme="minorHAnsi" w:cstheme="minorHAnsi"/>
          <w:b/>
          <w:sz w:val="28"/>
          <w:szCs w:val="28"/>
        </w:rPr>
      </w:pPr>
      <w:r w:rsidRPr="00015453">
        <w:rPr>
          <w:rFonts w:asciiTheme="minorHAnsi" w:hAnsiTheme="minorHAnsi" w:cstheme="minorHAnsi"/>
          <w:b/>
          <w:sz w:val="28"/>
          <w:szCs w:val="28"/>
        </w:rPr>
        <w:t>Status WG - Review of Public Comments</w:t>
      </w:r>
    </w:p>
    <w:tbl>
      <w:tblPr>
        <w:tblStyle w:val="TableGrid"/>
        <w:tblpPr w:leftFromText="180" w:rightFromText="180" w:vertAnchor="page" w:horzAnchor="margin" w:tblpXSpec="center" w:tblpY="2206"/>
        <w:tblW w:w="11257" w:type="dxa"/>
        <w:tblCellMar>
          <w:left w:w="115" w:type="dxa"/>
          <w:right w:w="115" w:type="dxa"/>
        </w:tblCellMar>
        <w:tblLook w:val="04A0"/>
      </w:tblPr>
      <w:tblGrid>
        <w:gridCol w:w="3003"/>
        <w:gridCol w:w="1886"/>
        <w:gridCol w:w="1838"/>
        <w:gridCol w:w="1420"/>
        <w:gridCol w:w="3110"/>
      </w:tblGrid>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Respondents</w:t>
            </w:r>
          </w:p>
        </w:tc>
        <w:tc>
          <w:tcPr>
            <w:tcW w:w="1886"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JAS WG discussions finalized?</w:t>
            </w: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Summary of Discussions</w:t>
            </w:r>
          </w:p>
          <w:p w:rsidR="00AA68A5" w:rsidRPr="00563496" w:rsidRDefault="00AA68A5"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Available?</w:t>
            </w: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Final Disposition</w:t>
            </w:r>
          </w:p>
          <w:p w:rsidR="00AA68A5" w:rsidRPr="00563496" w:rsidRDefault="00AA68A5"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Available?</w:t>
            </w: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Comments/Next steps/ Responsible party</w:t>
            </w: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Danny Younger</w:t>
            </w:r>
            <w:r w:rsidRPr="00563496">
              <w:rPr>
                <w:rFonts w:asciiTheme="minorHAnsi" w:hAnsiTheme="minorHAnsi" w:cstheme="minorHAnsi"/>
                <w:sz w:val="22"/>
                <w:szCs w:val="22"/>
              </w:rPr>
              <w:t xml:space="preserve"> – NGO domain proposal</w:t>
            </w:r>
          </w:p>
        </w:tc>
        <w:tc>
          <w:tcPr>
            <w:tcW w:w="1886" w:type="dxa"/>
            <w:tcMar>
              <w:right w:w="72" w:type="dxa"/>
            </w:tcMar>
          </w:tcPr>
          <w:p w:rsidR="00015453" w:rsidRPr="00563496" w:rsidRDefault="00ED1798" w:rsidP="00563496">
            <w:pPr>
              <w:pStyle w:val="NoSpacing"/>
              <w:rPr>
                <w:rFonts w:asciiTheme="minorHAnsi" w:hAnsiTheme="minorHAnsi" w:cstheme="minorHAnsi"/>
                <w:sz w:val="22"/>
                <w:szCs w:val="22"/>
              </w:rPr>
            </w:pPr>
            <w:r>
              <w:rPr>
                <w:rFonts w:asciiTheme="minorHAnsi" w:hAnsiTheme="minorHAnsi" w:cstheme="minorHAnsi"/>
                <w:sz w:val="22"/>
                <w:szCs w:val="22"/>
              </w:rPr>
              <w:t>maybe</w:t>
            </w:r>
          </w:p>
        </w:tc>
        <w:tc>
          <w:tcPr>
            <w:tcW w:w="1838" w:type="dxa"/>
            <w:tcMar>
              <w:right w:w="72" w:type="dxa"/>
            </w:tcMar>
          </w:tcPr>
          <w:p w:rsidR="00015453" w:rsidRPr="00563496" w:rsidRDefault="00ED1798" w:rsidP="00563496">
            <w:pPr>
              <w:pStyle w:val="NoSpacing"/>
              <w:rPr>
                <w:rFonts w:asciiTheme="minorHAnsi" w:hAnsiTheme="minorHAnsi" w:cstheme="minorHAnsi"/>
                <w:sz w:val="22"/>
                <w:szCs w:val="22"/>
              </w:rPr>
            </w:pPr>
            <w:r>
              <w:rPr>
                <w:rFonts w:asciiTheme="minorHAnsi" w:hAnsiTheme="minorHAnsi" w:cstheme="minorHAnsi"/>
                <w:sz w:val="22"/>
                <w:szCs w:val="22"/>
              </w:rPr>
              <w:t>yes</w:t>
            </w:r>
          </w:p>
        </w:tc>
        <w:tc>
          <w:tcPr>
            <w:tcW w:w="1420" w:type="dxa"/>
            <w:tcMar>
              <w:right w:w="72" w:type="dxa"/>
            </w:tcMar>
          </w:tcPr>
          <w:p w:rsidR="00015453" w:rsidRPr="00563496" w:rsidRDefault="00ED1798" w:rsidP="00563496">
            <w:pPr>
              <w:pStyle w:val="NoSpacing"/>
              <w:rPr>
                <w:rFonts w:asciiTheme="minorHAnsi" w:hAnsiTheme="minorHAnsi" w:cstheme="minorHAnsi"/>
                <w:sz w:val="22"/>
                <w:szCs w:val="22"/>
              </w:rPr>
            </w:pPr>
            <w:r>
              <w:rPr>
                <w:rFonts w:asciiTheme="minorHAnsi" w:hAnsiTheme="minorHAnsi" w:cstheme="minorHAnsi"/>
                <w:sz w:val="22"/>
                <w:szCs w:val="22"/>
              </w:rPr>
              <w:t>no</w:t>
            </w: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Danny Younger</w:t>
            </w:r>
            <w:r w:rsidRPr="00563496">
              <w:rPr>
                <w:rFonts w:asciiTheme="minorHAnsi" w:hAnsiTheme="minorHAnsi" w:cstheme="minorHAnsi"/>
                <w:sz w:val="22"/>
                <w:szCs w:val="22"/>
              </w:rPr>
              <w:t xml:space="preserve"> - Ongoing costs in the event of registry failure—assistance measures</w:t>
            </w:r>
          </w:p>
        </w:tc>
        <w:tc>
          <w:tcPr>
            <w:tcW w:w="1886"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563496">
        <w:trPr>
          <w:trHeight w:val="1142"/>
        </w:trPr>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Danny Younger</w:t>
            </w:r>
            <w:r w:rsidRPr="00563496">
              <w:rPr>
                <w:rFonts w:asciiTheme="minorHAnsi" w:hAnsiTheme="minorHAnsi" w:cstheme="minorHAnsi"/>
                <w:sz w:val="22"/>
                <w:szCs w:val="22"/>
              </w:rPr>
              <w:t xml:space="preserve"> - Cultural and Linguistic TLDs—Proposal for Support and New Fast-Track Program</w:t>
            </w:r>
          </w:p>
        </w:tc>
        <w:tc>
          <w:tcPr>
            <w:tcW w:w="1886"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Danny Younger</w:t>
            </w:r>
            <w:r w:rsidRPr="00563496">
              <w:rPr>
                <w:rFonts w:asciiTheme="minorHAnsi" w:hAnsiTheme="minorHAnsi" w:cstheme="minorHAnsi"/>
                <w:sz w:val="22"/>
                <w:szCs w:val="22"/>
              </w:rPr>
              <w:t xml:space="preserve"> - Registrar Transaction Fee--Support for Disadvantaged </w:t>
            </w:r>
            <w:proofErr w:type="spellStart"/>
            <w:r w:rsidRPr="00563496">
              <w:rPr>
                <w:rFonts w:asciiTheme="minorHAnsi" w:hAnsiTheme="minorHAnsi" w:cstheme="minorHAnsi"/>
                <w:sz w:val="22"/>
                <w:szCs w:val="22"/>
              </w:rPr>
              <w:t>gTLD</w:t>
            </w:r>
            <w:proofErr w:type="spellEnd"/>
            <w:r w:rsidRPr="00563496">
              <w:rPr>
                <w:rFonts w:asciiTheme="minorHAnsi" w:hAnsiTheme="minorHAnsi" w:cstheme="minorHAnsi"/>
                <w:sz w:val="22"/>
                <w:szCs w:val="22"/>
              </w:rPr>
              <w:t xml:space="preserve"> Applicants.</w:t>
            </w:r>
          </w:p>
        </w:tc>
        <w:tc>
          <w:tcPr>
            <w:tcW w:w="1886" w:type="dxa"/>
            <w:tcMar>
              <w:right w:w="72" w:type="dxa"/>
            </w:tcMar>
          </w:tcPr>
          <w:p w:rsidR="00015453" w:rsidRPr="00563496" w:rsidRDefault="00AA68A5"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Yes</w:t>
            </w:r>
          </w:p>
        </w:tc>
        <w:tc>
          <w:tcPr>
            <w:tcW w:w="1838" w:type="dxa"/>
            <w:tcMar>
              <w:right w:w="72" w:type="dxa"/>
            </w:tcMar>
          </w:tcPr>
          <w:p w:rsidR="00015453" w:rsidRPr="00563496" w:rsidRDefault="00AA68A5"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Yes</w:t>
            </w:r>
          </w:p>
        </w:tc>
        <w:tc>
          <w:tcPr>
            <w:tcW w:w="1420" w:type="dxa"/>
            <w:tcMar>
              <w:right w:w="72" w:type="dxa"/>
            </w:tcMar>
          </w:tcPr>
          <w:p w:rsidR="00015453" w:rsidRPr="00563496" w:rsidRDefault="00AA68A5"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Draft ready for WG review</w:t>
            </w: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Danny Younger</w:t>
            </w:r>
            <w:r w:rsidRPr="00563496">
              <w:rPr>
                <w:rFonts w:asciiTheme="minorHAnsi" w:hAnsiTheme="minorHAnsi" w:cstheme="minorHAnsi"/>
                <w:sz w:val="22"/>
                <w:szCs w:val="22"/>
              </w:rPr>
              <w:t xml:space="preserve"> - Bundling of Applications—Reduced Fee Proposal</w:t>
            </w:r>
          </w:p>
        </w:tc>
        <w:tc>
          <w:tcPr>
            <w:tcW w:w="1886" w:type="dxa"/>
            <w:tcMar>
              <w:right w:w="72" w:type="dxa"/>
            </w:tcMar>
          </w:tcPr>
          <w:p w:rsidR="00015453" w:rsidRPr="00563496" w:rsidRDefault="006C6D9F"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 xml:space="preserve">Yes – same as </w:t>
            </w:r>
            <w:r w:rsidR="008C3B2A" w:rsidRPr="00563496">
              <w:rPr>
                <w:rFonts w:asciiTheme="minorHAnsi" w:hAnsiTheme="minorHAnsi" w:cstheme="minorHAnsi"/>
                <w:sz w:val="22"/>
                <w:szCs w:val="22"/>
              </w:rPr>
              <w:t xml:space="preserve">Stefano </w:t>
            </w:r>
            <w:proofErr w:type="spellStart"/>
            <w:r w:rsidR="008C3B2A" w:rsidRPr="00563496">
              <w:rPr>
                <w:rFonts w:asciiTheme="minorHAnsi" w:hAnsiTheme="minorHAnsi" w:cstheme="minorHAnsi"/>
                <w:sz w:val="22"/>
                <w:szCs w:val="22"/>
              </w:rPr>
              <w:t>Cimatoribus</w:t>
            </w:r>
            <w:proofErr w:type="spellEnd"/>
            <w:r w:rsidRPr="00563496">
              <w:rPr>
                <w:rFonts w:asciiTheme="minorHAnsi" w:hAnsiTheme="minorHAnsi" w:cstheme="minorHAnsi"/>
                <w:sz w:val="22"/>
                <w:szCs w:val="22"/>
              </w:rPr>
              <w:t xml:space="preserve">  proposal</w:t>
            </w:r>
          </w:p>
        </w:tc>
        <w:tc>
          <w:tcPr>
            <w:tcW w:w="1838" w:type="dxa"/>
            <w:tcMar>
              <w:right w:w="72" w:type="dxa"/>
            </w:tcMar>
          </w:tcPr>
          <w:p w:rsidR="00015453" w:rsidRPr="00563496" w:rsidRDefault="008C3B2A"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 xml:space="preserve">Yes – same as Stefano </w:t>
            </w:r>
            <w:proofErr w:type="spellStart"/>
            <w:r w:rsidRPr="00563496">
              <w:rPr>
                <w:rFonts w:asciiTheme="minorHAnsi" w:hAnsiTheme="minorHAnsi" w:cstheme="minorHAnsi"/>
                <w:sz w:val="22"/>
                <w:szCs w:val="22"/>
              </w:rPr>
              <w:t>Cimatoribus</w:t>
            </w:r>
            <w:proofErr w:type="spellEnd"/>
            <w:r w:rsidRPr="00563496">
              <w:rPr>
                <w:rFonts w:asciiTheme="minorHAnsi" w:hAnsiTheme="minorHAnsi" w:cstheme="minorHAnsi"/>
                <w:sz w:val="22"/>
                <w:szCs w:val="22"/>
              </w:rPr>
              <w:t xml:space="preserve">  proposal</w:t>
            </w:r>
          </w:p>
        </w:tc>
        <w:tc>
          <w:tcPr>
            <w:tcW w:w="1420" w:type="dxa"/>
            <w:tcMar>
              <w:right w:w="72" w:type="dxa"/>
            </w:tcMar>
          </w:tcPr>
          <w:p w:rsidR="00015453" w:rsidRPr="00563496" w:rsidRDefault="008C3B2A"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Draft ready for WG review</w:t>
            </w: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Danny Younger</w:t>
            </w:r>
            <w:r w:rsidRPr="00563496">
              <w:rPr>
                <w:rFonts w:asciiTheme="minorHAnsi" w:hAnsiTheme="minorHAnsi" w:cstheme="minorHAnsi"/>
                <w:sz w:val="22"/>
                <w:szCs w:val="22"/>
              </w:rPr>
              <w:t xml:space="preserve"> - Exception to Registry-Registrar Separation for certain groups</w:t>
            </w:r>
          </w:p>
        </w:tc>
        <w:tc>
          <w:tcPr>
            <w:tcW w:w="1886"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b/>
                <w:sz w:val="22"/>
                <w:szCs w:val="22"/>
              </w:rPr>
            </w:pPr>
            <w:r w:rsidRPr="00563496">
              <w:rPr>
                <w:rFonts w:asciiTheme="minorHAnsi" w:hAnsiTheme="minorHAnsi" w:cstheme="minorHAnsi"/>
                <w:b/>
                <w:sz w:val="22"/>
                <w:szCs w:val="22"/>
              </w:rPr>
              <w:t xml:space="preserve">Stefano </w:t>
            </w:r>
            <w:proofErr w:type="spellStart"/>
            <w:r w:rsidRPr="00563496">
              <w:rPr>
                <w:rFonts w:asciiTheme="minorHAnsi" w:hAnsiTheme="minorHAnsi" w:cstheme="minorHAnsi"/>
                <w:b/>
                <w:sz w:val="22"/>
                <w:szCs w:val="22"/>
              </w:rPr>
              <w:t>Cimatoribus</w:t>
            </w:r>
            <w:proofErr w:type="spellEnd"/>
          </w:p>
          <w:p w:rsidR="00015453" w:rsidRPr="00563496" w:rsidRDefault="00015453" w:rsidP="00563496">
            <w:pPr>
              <w:pStyle w:val="NoSpacing"/>
              <w:rPr>
                <w:rFonts w:asciiTheme="minorHAnsi" w:hAnsiTheme="minorHAnsi" w:cstheme="minorHAnsi"/>
                <w:sz w:val="22"/>
                <w:szCs w:val="22"/>
              </w:rPr>
            </w:pPr>
          </w:p>
        </w:tc>
        <w:tc>
          <w:tcPr>
            <w:tcW w:w="1886" w:type="dxa"/>
            <w:tcMar>
              <w:right w:w="72" w:type="dxa"/>
            </w:tcMar>
          </w:tcPr>
          <w:p w:rsidR="00015453" w:rsidRPr="00563496" w:rsidRDefault="006C6D9F"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Yes – same as Danny Young  bundling of applications proposal</w:t>
            </w:r>
          </w:p>
        </w:tc>
        <w:tc>
          <w:tcPr>
            <w:tcW w:w="1838" w:type="dxa"/>
            <w:tcMar>
              <w:right w:w="72" w:type="dxa"/>
            </w:tcMar>
          </w:tcPr>
          <w:p w:rsidR="00015453" w:rsidRPr="00563496" w:rsidRDefault="006C6D9F"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Yes - same as Danny Young  bundling of applications proposal</w:t>
            </w:r>
          </w:p>
        </w:tc>
        <w:tc>
          <w:tcPr>
            <w:tcW w:w="1420" w:type="dxa"/>
            <w:tcMar>
              <w:right w:w="72" w:type="dxa"/>
            </w:tcMar>
          </w:tcPr>
          <w:p w:rsidR="00015453" w:rsidRPr="00563496" w:rsidRDefault="006C6D9F"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Draft ready for WG review</w:t>
            </w: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 xml:space="preserve">George </w:t>
            </w:r>
            <w:proofErr w:type="spellStart"/>
            <w:r w:rsidRPr="00563496">
              <w:rPr>
                <w:rFonts w:asciiTheme="minorHAnsi" w:hAnsiTheme="minorHAnsi" w:cstheme="minorHAnsi"/>
                <w:b/>
                <w:sz w:val="22"/>
                <w:szCs w:val="22"/>
              </w:rPr>
              <w:t>Kirikos</w:t>
            </w:r>
            <w:proofErr w:type="spellEnd"/>
            <w:r w:rsidRPr="00563496">
              <w:rPr>
                <w:rFonts w:asciiTheme="minorHAnsi" w:hAnsiTheme="minorHAnsi" w:cstheme="minorHAnsi"/>
                <w:sz w:val="22"/>
                <w:szCs w:val="22"/>
              </w:rPr>
              <w:t xml:space="preserve"> - Leap of Faith Financial Services Inc.</w:t>
            </w:r>
          </w:p>
          <w:p w:rsidR="00015453" w:rsidRPr="00563496" w:rsidRDefault="00015453" w:rsidP="00563496">
            <w:pPr>
              <w:pStyle w:val="NoSpacing"/>
              <w:rPr>
                <w:rFonts w:asciiTheme="minorHAnsi" w:hAnsiTheme="minorHAnsi" w:cstheme="minorHAnsi"/>
                <w:sz w:val="22"/>
                <w:szCs w:val="22"/>
              </w:rPr>
            </w:pPr>
          </w:p>
        </w:tc>
        <w:tc>
          <w:tcPr>
            <w:tcW w:w="1886" w:type="dxa"/>
            <w:tcMar>
              <w:right w:w="72" w:type="dxa"/>
            </w:tcMar>
          </w:tcPr>
          <w:p w:rsidR="00015453" w:rsidRPr="00563496" w:rsidRDefault="00563496"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 xml:space="preserve">No – comment not </w:t>
            </w:r>
            <w:r w:rsidR="00015453" w:rsidRPr="00563496">
              <w:rPr>
                <w:rFonts w:asciiTheme="minorHAnsi" w:hAnsiTheme="minorHAnsi" w:cstheme="minorHAnsi"/>
                <w:sz w:val="22"/>
                <w:szCs w:val="22"/>
              </w:rPr>
              <w:t>specific to the report nor issues discussed</w:t>
            </w: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 xml:space="preserve">Jeff </w:t>
            </w:r>
            <w:proofErr w:type="spellStart"/>
            <w:r w:rsidRPr="00563496">
              <w:rPr>
                <w:rFonts w:asciiTheme="minorHAnsi" w:hAnsiTheme="minorHAnsi" w:cstheme="minorHAnsi"/>
                <w:b/>
                <w:sz w:val="22"/>
                <w:szCs w:val="22"/>
              </w:rPr>
              <w:t>Neuman</w:t>
            </w:r>
            <w:proofErr w:type="spellEnd"/>
            <w:r w:rsidRPr="00563496">
              <w:rPr>
                <w:rFonts w:asciiTheme="minorHAnsi" w:hAnsiTheme="minorHAnsi" w:cstheme="minorHAnsi"/>
                <w:sz w:val="22"/>
                <w:szCs w:val="22"/>
              </w:rPr>
              <w:t xml:space="preserve"> – </w:t>
            </w:r>
            <w:proofErr w:type="spellStart"/>
            <w:r w:rsidRPr="00563496">
              <w:rPr>
                <w:rFonts w:asciiTheme="minorHAnsi" w:hAnsiTheme="minorHAnsi" w:cstheme="minorHAnsi"/>
                <w:sz w:val="22"/>
                <w:szCs w:val="22"/>
              </w:rPr>
              <w:t>Neustar</w:t>
            </w:r>
            <w:proofErr w:type="spellEnd"/>
          </w:p>
        </w:tc>
        <w:tc>
          <w:tcPr>
            <w:tcW w:w="1886"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 xml:space="preserve">Dr. </w:t>
            </w:r>
            <w:proofErr w:type="spellStart"/>
            <w:r w:rsidRPr="00563496">
              <w:rPr>
                <w:rFonts w:asciiTheme="minorHAnsi" w:hAnsiTheme="minorHAnsi" w:cstheme="minorHAnsi"/>
                <w:b/>
                <w:sz w:val="22"/>
                <w:szCs w:val="22"/>
              </w:rPr>
              <w:t>Ibaa</w:t>
            </w:r>
            <w:proofErr w:type="spellEnd"/>
            <w:r w:rsidRPr="00563496">
              <w:rPr>
                <w:rFonts w:asciiTheme="minorHAnsi" w:hAnsiTheme="minorHAnsi" w:cstheme="minorHAnsi"/>
                <w:b/>
                <w:sz w:val="22"/>
                <w:szCs w:val="22"/>
              </w:rPr>
              <w:t xml:space="preserve"> </w:t>
            </w:r>
            <w:proofErr w:type="spellStart"/>
            <w:r w:rsidRPr="00563496">
              <w:rPr>
                <w:rFonts w:asciiTheme="minorHAnsi" w:hAnsiTheme="minorHAnsi" w:cstheme="minorHAnsi"/>
                <w:b/>
                <w:sz w:val="22"/>
                <w:szCs w:val="22"/>
              </w:rPr>
              <w:t>Oueichek</w:t>
            </w:r>
            <w:proofErr w:type="spellEnd"/>
            <w:r w:rsidRPr="00563496">
              <w:rPr>
                <w:rFonts w:asciiTheme="minorHAnsi" w:hAnsiTheme="minorHAnsi" w:cstheme="minorHAnsi"/>
                <w:sz w:val="22"/>
                <w:szCs w:val="22"/>
              </w:rPr>
              <w:t xml:space="preserve"> - Arab Team for domain names and Internet issues</w:t>
            </w:r>
          </w:p>
        </w:tc>
        <w:tc>
          <w:tcPr>
            <w:tcW w:w="1886"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 xml:space="preserve"> </w:t>
            </w:r>
            <w:r w:rsidRPr="00563496">
              <w:rPr>
                <w:rFonts w:asciiTheme="minorHAnsi" w:hAnsiTheme="minorHAnsi" w:cstheme="minorHAnsi"/>
                <w:b/>
                <w:sz w:val="22"/>
                <w:szCs w:val="22"/>
              </w:rPr>
              <w:t xml:space="preserve">Michele </w:t>
            </w:r>
            <w:proofErr w:type="spellStart"/>
            <w:r w:rsidRPr="00563496">
              <w:rPr>
                <w:rFonts w:asciiTheme="minorHAnsi" w:hAnsiTheme="minorHAnsi" w:cstheme="minorHAnsi"/>
                <w:b/>
                <w:sz w:val="22"/>
                <w:szCs w:val="22"/>
              </w:rPr>
              <w:t>Neylon</w:t>
            </w:r>
            <w:proofErr w:type="spellEnd"/>
            <w:r w:rsidRPr="00563496">
              <w:rPr>
                <w:rFonts w:asciiTheme="minorHAnsi" w:hAnsiTheme="minorHAnsi" w:cstheme="minorHAnsi"/>
                <w:sz w:val="22"/>
                <w:szCs w:val="22"/>
              </w:rPr>
              <w:t xml:space="preserve"> - </w:t>
            </w:r>
            <w:proofErr w:type="spellStart"/>
            <w:r w:rsidRPr="00563496">
              <w:rPr>
                <w:rFonts w:asciiTheme="minorHAnsi" w:hAnsiTheme="minorHAnsi" w:cstheme="minorHAnsi"/>
                <w:sz w:val="22"/>
                <w:szCs w:val="22"/>
              </w:rPr>
              <w:t>Blacknight</w:t>
            </w:r>
            <w:proofErr w:type="spellEnd"/>
          </w:p>
        </w:tc>
        <w:tc>
          <w:tcPr>
            <w:tcW w:w="1886"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b/>
                <w:sz w:val="22"/>
                <w:szCs w:val="22"/>
              </w:rPr>
              <w:t>Debra Y. Hughes</w:t>
            </w:r>
            <w:r w:rsidRPr="00563496">
              <w:rPr>
                <w:rFonts w:asciiTheme="minorHAnsi" w:hAnsiTheme="minorHAnsi" w:cstheme="minorHAnsi"/>
                <w:sz w:val="22"/>
                <w:szCs w:val="22"/>
              </w:rPr>
              <w:t xml:space="preserve"> - American Red Cross</w:t>
            </w:r>
          </w:p>
        </w:tc>
        <w:tc>
          <w:tcPr>
            <w:tcW w:w="1886" w:type="dxa"/>
            <w:tcMar>
              <w:right w:w="72" w:type="dxa"/>
            </w:tcMar>
          </w:tcPr>
          <w:p w:rsidR="00015453" w:rsidRPr="00563496" w:rsidRDefault="00563496" w:rsidP="00563496">
            <w:pPr>
              <w:pStyle w:val="NoSpacing"/>
              <w:rPr>
                <w:rFonts w:asciiTheme="minorHAnsi" w:hAnsiTheme="minorHAnsi" w:cstheme="minorHAnsi"/>
                <w:sz w:val="22"/>
                <w:szCs w:val="22"/>
              </w:rPr>
            </w:pPr>
            <w:r>
              <w:rPr>
                <w:rFonts w:asciiTheme="minorHAnsi" w:hAnsiTheme="minorHAnsi" w:cstheme="minorHAnsi"/>
                <w:sz w:val="22"/>
                <w:szCs w:val="22"/>
              </w:rPr>
              <w:t>started</w:t>
            </w:r>
          </w:p>
        </w:tc>
        <w:tc>
          <w:tcPr>
            <w:tcW w:w="1838" w:type="dxa"/>
            <w:tcMar>
              <w:right w:w="72" w:type="dxa"/>
            </w:tcMar>
          </w:tcPr>
          <w:p w:rsidR="00015453" w:rsidRPr="00563496" w:rsidRDefault="00563496" w:rsidP="00563496">
            <w:pPr>
              <w:pStyle w:val="NoSpacing"/>
              <w:rPr>
                <w:rFonts w:asciiTheme="minorHAnsi" w:hAnsiTheme="minorHAnsi" w:cstheme="minorHAnsi"/>
                <w:sz w:val="22"/>
                <w:szCs w:val="22"/>
              </w:rPr>
            </w:pPr>
            <w:r>
              <w:rPr>
                <w:rFonts w:asciiTheme="minorHAnsi" w:hAnsiTheme="minorHAnsi" w:cstheme="minorHAnsi"/>
                <w:sz w:val="22"/>
                <w:szCs w:val="22"/>
              </w:rPr>
              <w:t>started</w:t>
            </w: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p>
        </w:tc>
      </w:tr>
      <w:tr w:rsidR="00015453" w:rsidRPr="00563496" w:rsidTr="00015453">
        <w:tc>
          <w:tcPr>
            <w:tcW w:w="3003" w:type="dxa"/>
            <w:tcMar>
              <w:right w:w="72" w:type="dxa"/>
            </w:tcMar>
          </w:tcPr>
          <w:p w:rsidR="00015453" w:rsidRPr="00563496" w:rsidRDefault="00015453" w:rsidP="00563496">
            <w:pPr>
              <w:pStyle w:val="NoSpacing"/>
              <w:rPr>
                <w:rFonts w:asciiTheme="minorHAnsi" w:hAnsiTheme="minorHAnsi" w:cstheme="minorHAnsi"/>
                <w:b/>
                <w:sz w:val="22"/>
                <w:szCs w:val="22"/>
              </w:rPr>
            </w:pPr>
            <w:proofErr w:type="spellStart"/>
            <w:r w:rsidRPr="00563496">
              <w:rPr>
                <w:rFonts w:asciiTheme="minorHAnsi" w:hAnsiTheme="minorHAnsi" w:cstheme="minorHAnsi"/>
                <w:b/>
                <w:sz w:val="22"/>
                <w:szCs w:val="22"/>
              </w:rPr>
              <w:t>AfriICANN</w:t>
            </w:r>
            <w:proofErr w:type="spellEnd"/>
            <w:r w:rsidRPr="00563496">
              <w:rPr>
                <w:rFonts w:asciiTheme="minorHAnsi" w:hAnsiTheme="minorHAnsi" w:cstheme="minorHAnsi"/>
                <w:b/>
                <w:sz w:val="22"/>
                <w:szCs w:val="22"/>
              </w:rPr>
              <w:t>/AFRALO Statement</w:t>
            </w:r>
          </w:p>
        </w:tc>
        <w:tc>
          <w:tcPr>
            <w:tcW w:w="1886"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Maybe</w:t>
            </w:r>
          </w:p>
        </w:tc>
        <w:tc>
          <w:tcPr>
            <w:tcW w:w="1838"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started</w:t>
            </w:r>
          </w:p>
        </w:tc>
        <w:tc>
          <w:tcPr>
            <w:tcW w:w="1420"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To be agreed by the group</w:t>
            </w:r>
          </w:p>
        </w:tc>
        <w:tc>
          <w:tcPr>
            <w:tcW w:w="3110" w:type="dxa"/>
            <w:tcMar>
              <w:right w:w="72" w:type="dxa"/>
            </w:tcMar>
          </w:tcPr>
          <w:p w:rsidR="00015453" w:rsidRPr="00563496" w:rsidRDefault="00015453" w:rsidP="00563496">
            <w:pPr>
              <w:pStyle w:val="NoSpacing"/>
              <w:rPr>
                <w:rFonts w:asciiTheme="minorHAnsi" w:hAnsiTheme="minorHAnsi" w:cstheme="minorHAnsi"/>
                <w:sz w:val="22"/>
                <w:szCs w:val="22"/>
              </w:rPr>
            </w:pPr>
            <w:r w:rsidRPr="00563496">
              <w:rPr>
                <w:rFonts w:asciiTheme="minorHAnsi" w:hAnsiTheme="minorHAnsi" w:cstheme="minorHAnsi"/>
                <w:sz w:val="22"/>
                <w:szCs w:val="22"/>
              </w:rPr>
              <w:t xml:space="preserve">Definition of ethnical and linguistic community </w:t>
            </w:r>
            <w:proofErr w:type="gramStart"/>
            <w:r w:rsidRPr="00563496">
              <w:rPr>
                <w:rFonts w:asciiTheme="minorHAnsi" w:hAnsiTheme="minorHAnsi" w:cstheme="minorHAnsi"/>
                <w:sz w:val="22"/>
                <w:szCs w:val="22"/>
              </w:rPr>
              <w:t>raised</w:t>
            </w:r>
            <w:proofErr w:type="gramEnd"/>
            <w:r w:rsidRPr="00563496">
              <w:rPr>
                <w:rFonts w:asciiTheme="minorHAnsi" w:hAnsiTheme="minorHAnsi" w:cstheme="minorHAnsi"/>
                <w:sz w:val="22"/>
                <w:szCs w:val="22"/>
              </w:rPr>
              <w:t xml:space="preserve"> following a long discussion. More clarity needed.</w:t>
            </w:r>
          </w:p>
        </w:tc>
      </w:tr>
    </w:tbl>
    <w:p w:rsidR="00015453" w:rsidRDefault="00015453" w:rsidP="00015453"/>
    <w:tbl>
      <w:tblPr>
        <w:tblW w:w="1125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250"/>
      </w:tblGrid>
      <w:tr w:rsidR="002D1540" w:rsidRPr="00877308" w:rsidTr="002D1540">
        <w:tc>
          <w:tcPr>
            <w:tcW w:w="11250" w:type="dxa"/>
            <w:shd w:val="clear" w:color="auto" w:fill="B8CCE4" w:themeFill="accent1" w:themeFillTint="66"/>
          </w:tcPr>
          <w:p w:rsidR="002D1540" w:rsidRPr="002D1540" w:rsidRDefault="002D1540" w:rsidP="002D1540">
            <w:pPr>
              <w:rPr>
                <w:rFonts w:asciiTheme="minorHAnsi" w:hAnsiTheme="minorHAnsi" w:cstheme="minorHAnsi"/>
                <w:b/>
                <w:sz w:val="28"/>
                <w:szCs w:val="28"/>
              </w:rPr>
            </w:pPr>
            <w:r w:rsidRPr="002D1540">
              <w:rPr>
                <w:rFonts w:asciiTheme="minorHAnsi" w:hAnsiTheme="minorHAnsi" w:cstheme="minorHAnsi"/>
                <w:b/>
                <w:sz w:val="28"/>
                <w:szCs w:val="28"/>
              </w:rPr>
              <w:lastRenderedPageBreak/>
              <w:t>Comment</w:t>
            </w:r>
            <w:r>
              <w:rPr>
                <w:rFonts w:asciiTheme="minorHAnsi" w:hAnsiTheme="minorHAnsi" w:cstheme="minorHAnsi"/>
                <w:b/>
                <w:sz w:val="28"/>
                <w:szCs w:val="28"/>
              </w:rPr>
              <w:t>s</w:t>
            </w:r>
            <w:r w:rsidRPr="002D1540">
              <w:rPr>
                <w:rFonts w:asciiTheme="minorHAnsi" w:hAnsiTheme="minorHAnsi" w:cstheme="minorHAnsi"/>
                <w:b/>
                <w:sz w:val="28"/>
                <w:szCs w:val="28"/>
              </w:rPr>
              <w:t xml:space="preserve"> Received to date related to WT1</w:t>
            </w:r>
          </w:p>
          <w:p w:rsidR="002D1540" w:rsidRPr="002D1540" w:rsidRDefault="002D1540" w:rsidP="002D1540">
            <w:pPr>
              <w:rPr>
                <w:rFonts w:asciiTheme="minorHAnsi" w:hAnsiTheme="minorHAnsi" w:cstheme="minorHAnsi"/>
                <w:i/>
                <w:color w:val="FF0000"/>
              </w:rPr>
            </w:pPr>
            <w:r w:rsidRPr="002D1540">
              <w:rPr>
                <w:rFonts w:asciiTheme="minorHAnsi" w:hAnsiTheme="minorHAnsi" w:cstheme="minorHAnsi"/>
                <w:i/>
                <w:color w:val="FF0000"/>
                <w:sz w:val="22"/>
                <w:szCs w:val="22"/>
              </w:rPr>
              <w:t xml:space="preserve">This is a summary of points raised for discussion and </w:t>
            </w:r>
            <w:r w:rsidRPr="002D1540">
              <w:rPr>
                <w:rFonts w:asciiTheme="minorHAnsi" w:hAnsiTheme="minorHAnsi" w:cstheme="minorHAnsi"/>
                <w:i/>
                <w:color w:val="FF0000"/>
                <w:sz w:val="22"/>
                <w:szCs w:val="22"/>
              </w:rPr>
              <w:t>reference only</w:t>
            </w:r>
            <w:r w:rsidRPr="002D1540">
              <w:rPr>
                <w:rFonts w:asciiTheme="minorHAnsi" w:hAnsiTheme="minorHAnsi" w:cstheme="minorHAnsi"/>
                <w:i/>
                <w:color w:val="FF0000"/>
                <w:sz w:val="22"/>
                <w:szCs w:val="22"/>
              </w:rPr>
              <w:t>; not part of Final Proposal</w:t>
            </w:r>
          </w:p>
        </w:tc>
      </w:tr>
      <w:tr w:rsidR="002D1540" w:rsidRPr="00877308" w:rsidTr="002D1540">
        <w:tc>
          <w:tcPr>
            <w:tcW w:w="11250" w:type="dxa"/>
          </w:tcPr>
          <w:p w:rsidR="002D1540" w:rsidRPr="002D1540" w:rsidRDefault="002D1540" w:rsidP="002D1540">
            <w:pPr>
              <w:spacing w:line="240" w:lineRule="auto"/>
              <w:rPr>
                <w:rFonts w:asciiTheme="minorHAnsi" w:hAnsiTheme="minorHAnsi" w:cstheme="minorHAnsi"/>
              </w:rPr>
            </w:pPr>
            <w:r w:rsidRPr="002D1540">
              <w:rPr>
                <w:rFonts w:asciiTheme="minorHAnsi" w:hAnsiTheme="minorHAnsi" w:cstheme="minorHAnsi"/>
                <w:b/>
              </w:rPr>
              <w:t>WT1-1.</w:t>
            </w:r>
            <w:r w:rsidRPr="002D1540">
              <w:rPr>
                <w:rFonts w:asciiTheme="minorHAnsi" w:hAnsiTheme="minorHAnsi" w:cstheme="minorHAnsi"/>
              </w:rPr>
              <w:t xml:space="preserve"> It is not unreasonable to ask the broader registrant community to participate in supporting the expansion of the namespace; increase in registrar fees.</w:t>
            </w:r>
            <w:r>
              <w:rPr>
                <w:rFonts w:asciiTheme="minorHAnsi" w:hAnsiTheme="minorHAnsi" w:cstheme="minorHAnsi"/>
              </w:rPr>
              <w:t xml:space="preserve"> </w:t>
            </w:r>
            <w:r w:rsidRPr="002D1540">
              <w:rPr>
                <w:rFonts w:asciiTheme="minorHAnsi" w:hAnsiTheme="minorHAnsi" w:cstheme="minorHAnsi"/>
              </w:rPr>
              <w:t>Subsidiz</w:t>
            </w:r>
            <w:r>
              <w:rPr>
                <w:rFonts w:asciiTheme="minorHAnsi" w:hAnsiTheme="minorHAnsi" w:cstheme="minorHAnsi"/>
              </w:rPr>
              <w:t>e by an increase and registrant</w:t>
            </w:r>
            <w:r w:rsidRPr="002D1540">
              <w:rPr>
                <w:rFonts w:asciiTheme="minorHAnsi" w:hAnsiTheme="minorHAnsi" w:cstheme="minorHAnsi"/>
              </w:rPr>
              <w:t xml:space="preserve">s fee passed trough by </w:t>
            </w:r>
            <w:r>
              <w:rPr>
                <w:rFonts w:asciiTheme="minorHAnsi" w:hAnsiTheme="minorHAnsi" w:cstheme="minorHAnsi"/>
              </w:rPr>
              <w:t>r</w:t>
            </w:r>
            <w:r w:rsidRPr="002D1540">
              <w:rPr>
                <w:rFonts w:asciiTheme="minorHAnsi" w:hAnsiTheme="minorHAnsi" w:cstheme="minorHAnsi"/>
              </w:rPr>
              <w:t>egistrar.</w:t>
            </w:r>
          </w:p>
          <w:p w:rsidR="002D1540" w:rsidRDefault="002D1540" w:rsidP="002D1540">
            <w:pPr>
              <w:spacing w:line="240" w:lineRule="auto"/>
              <w:rPr>
                <w:rFonts w:asciiTheme="minorHAnsi" w:hAnsiTheme="minorHAnsi" w:cstheme="minorHAnsi"/>
              </w:rPr>
            </w:pPr>
            <w:r>
              <w:rPr>
                <w:rFonts w:asciiTheme="minorHAnsi" w:hAnsiTheme="minorHAnsi" w:cstheme="minorHAnsi"/>
              </w:rPr>
              <w:t xml:space="preserve"> </w:t>
            </w:r>
          </w:p>
          <w:p w:rsidR="002D1540" w:rsidRPr="00943EA6" w:rsidRDefault="002D1540" w:rsidP="002D1540">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2D1540" w:rsidRDefault="002D1540" w:rsidP="002D1540">
            <w:pPr>
              <w:spacing w:line="240" w:lineRule="auto"/>
              <w:rPr>
                <w:rFonts w:asciiTheme="minorHAnsi" w:hAnsiTheme="minorHAnsi" w:cstheme="minorHAnsi"/>
              </w:rPr>
            </w:pPr>
            <w:r w:rsidRPr="002D1540">
              <w:rPr>
                <w:rFonts w:asciiTheme="minorHAnsi" w:hAnsiTheme="minorHAnsi" w:cstheme="minorHAnsi"/>
              </w:rPr>
              <w:t xml:space="preserve">Increasing on </w:t>
            </w:r>
            <w:proofErr w:type="gramStart"/>
            <w:r w:rsidRPr="002D1540">
              <w:rPr>
                <w:rFonts w:asciiTheme="minorHAnsi" w:hAnsiTheme="minorHAnsi" w:cstheme="minorHAnsi"/>
              </w:rPr>
              <w:t>a per</w:t>
            </w:r>
            <w:proofErr w:type="gramEnd"/>
            <w:r w:rsidRPr="002D1540">
              <w:rPr>
                <w:rFonts w:asciiTheme="minorHAnsi" w:hAnsiTheme="minorHAnsi" w:cstheme="minorHAnsi"/>
              </w:rPr>
              <w:t xml:space="preserve"> string of one cents to fund such support.</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problem is that it comes from the pocket of the user</w:t>
            </w:r>
          </w:p>
          <w:p w:rsidR="002D1540" w:rsidRPr="002D1540" w:rsidRDefault="002D1540" w:rsidP="00943EA6">
            <w:pPr>
              <w:spacing w:line="240" w:lineRule="auto"/>
              <w:rPr>
                <w:rFonts w:asciiTheme="minorHAnsi" w:hAnsiTheme="minorHAnsi" w:cstheme="minorHAnsi"/>
              </w:rPr>
            </w:pPr>
            <w:proofErr w:type="gramStart"/>
            <w:r w:rsidRPr="002D1540">
              <w:rPr>
                <w:rFonts w:asciiTheme="minorHAnsi" w:hAnsiTheme="minorHAnsi" w:cstheme="minorHAnsi"/>
              </w:rPr>
              <w:t>goes</w:t>
            </w:r>
            <w:proofErr w:type="gramEnd"/>
            <w:r w:rsidRPr="002D1540">
              <w:rPr>
                <w:rFonts w:asciiTheme="minorHAnsi" w:hAnsiTheme="minorHAnsi" w:cstheme="minorHAnsi"/>
              </w:rPr>
              <w:t xml:space="preserve"> against the intent of being self financing.</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is this the time to fight that political battle</w:t>
            </w:r>
          </w:p>
          <w:p w:rsidR="002D1540" w:rsidRPr="002D1540" w:rsidRDefault="002D1540" w:rsidP="00943EA6">
            <w:pPr>
              <w:spacing w:line="240" w:lineRule="auto"/>
              <w:rPr>
                <w:rFonts w:asciiTheme="minorHAnsi" w:hAnsiTheme="minorHAnsi" w:cstheme="minorHAnsi"/>
              </w:rPr>
            </w:pPr>
            <w:proofErr w:type="gramStart"/>
            <w:r w:rsidRPr="002D1540">
              <w:rPr>
                <w:rFonts w:asciiTheme="minorHAnsi" w:hAnsiTheme="minorHAnsi" w:cstheme="minorHAnsi"/>
              </w:rPr>
              <w:t>this</w:t>
            </w:r>
            <w:proofErr w:type="gramEnd"/>
            <w:r w:rsidRPr="002D1540">
              <w:rPr>
                <w:rFonts w:asciiTheme="minorHAnsi" w:hAnsiTheme="minorHAnsi" w:cstheme="minorHAnsi"/>
              </w:rPr>
              <w:t xml:space="preserve"> is a rough mechanism used by ICANN to get registrars to accept new comments and this would be difficult to convince them.</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This Could be sufficiently assured funds that we could ''borrow'' from next year's revenue...</w:t>
            </w:r>
          </w:p>
        </w:tc>
      </w:tr>
      <w:tr w:rsidR="002D1540" w:rsidRPr="00877308" w:rsidTr="002D1540">
        <w:tc>
          <w:tcPr>
            <w:tcW w:w="11250" w:type="dxa"/>
          </w:tcPr>
          <w:p w:rsidR="002D1540" w:rsidRPr="002D1540" w:rsidRDefault="002D1540" w:rsidP="00943EA6">
            <w:pPr>
              <w:spacing w:line="240" w:lineRule="auto"/>
              <w:rPr>
                <w:rFonts w:asciiTheme="minorHAnsi" w:hAnsiTheme="minorHAnsi" w:cstheme="minorHAnsi"/>
              </w:rPr>
            </w:pPr>
            <w:r w:rsidRPr="00943EA6">
              <w:rPr>
                <w:rFonts w:asciiTheme="minorHAnsi" w:hAnsiTheme="minorHAnsi" w:cstheme="minorHAnsi"/>
                <w:b/>
              </w:rPr>
              <w:t>WT1-2</w:t>
            </w:r>
            <w:r w:rsidRPr="002D1540">
              <w:rPr>
                <w:rFonts w:asciiTheme="minorHAnsi" w:hAnsiTheme="minorHAnsi" w:cstheme="minorHAnsi"/>
              </w:rPr>
              <w:t xml:space="preserve">. The Working Group should propose that each additional script proposed by a </w:t>
            </w:r>
            <w:proofErr w:type="spellStart"/>
            <w:r w:rsidRPr="002D1540">
              <w:rPr>
                <w:rFonts w:asciiTheme="minorHAnsi" w:hAnsiTheme="minorHAnsi" w:cstheme="minorHAnsi"/>
              </w:rPr>
              <w:t>gTLD</w:t>
            </w:r>
            <w:proofErr w:type="spellEnd"/>
            <w:r w:rsidRPr="002D1540">
              <w:rPr>
                <w:rFonts w:asciiTheme="minorHAnsi" w:hAnsiTheme="minorHAnsi" w:cstheme="minorHAnsi"/>
              </w:rPr>
              <w:t xml:space="preserve"> applicant will be priced commensurate with the cost calculations for the fast-track IDN </w:t>
            </w:r>
            <w:proofErr w:type="spellStart"/>
            <w:r w:rsidRPr="002D1540">
              <w:rPr>
                <w:rFonts w:asciiTheme="minorHAnsi" w:hAnsiTheme="minorHAnsi" w:cstheme="minorHAnsi"/>
              </w:rPr>
              <w:t>ccTLDs</w:t>
            </w:r>
            <w:proofErr w:type="spellEnd"/>
            <w:r w:rsidRPr="002D1540">
              <w:rPr>
                <w:rFonts w:asciiTheme="minorHAnsi" w:hAnsiTheme="minorHAnsi" w:cstheme="minorHAnsi"/>
              </w:rPr>
              <w:t xml:space="preserve"> namely, $26,700 per script.</w:t>
            </w:r>
          </w:p>
          <w:p w:rsidR="00943EA6" w:rsidRDefault="00943EA6" w:rsidP="00943EA6">
            <w:pPr>
              <w:spacing w:line="240" w:lineRule="auto"/>
              <w:rPr>
                <w:rFonts w:asciiTheme="minorHAnsi" w:hAnsiTheme="minorHAnsi" w:cstheme="minorHAnsi"/>
                <w:b/>
                <w:color w:val="FF0000"/>
              </w:rPr>
            </w:pPr>
          </w:p>
          <w:p w:rsidR="002D1540"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Interesting Idea</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Supports getting scripts that won't be built out built out</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Andrew's suggestion regarding Tier1 and Tier2</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fits into notion of bundling lower prices for additional scripts</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xml:space="preserve">- does not fit into the model of all TLDs costing the same.  </w:t>
            </w:r>
            <w:proofErr w:type="gramStart"/>
            <w:r w:rsidRPr="002D1540">
              <w:rPr>
                <w:rFonts w:asciiTheme="minorHAnsi" w:hAnsiTheme="minorHAnsi" w:cstheme="minorHAnsi"/>
              </w:rPr>
              <w:t>did</w:t>
            </w:r>
            <w:proofErr w:type="gramEnd"/>
            <w:r w:rsidRPr="002D1540">
              <w:rPr>
                <w:rFonts w:asciiTheme="minorHAnsi" w:hAnsiTheme="minorHAnsi" w:cstheme="minorHAnsi"/>
              </w:rPr>
              <w:t xml:space="preserve"> the cost model factor in multiple  applications for variants.</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refer to DAGv4 on this issue.</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xml:space="preserve">- difficult to do </w:t>
            </w:r>
          </w:p>
        </w:tc>
      </w:tr>
      <w:tr w:rsidR="002D1540" w:rsidRPr="00877308" w:rsidTr="002D1540">
        <w:tc>
          <w:tcPr>
            <w:tcW w:w="11250" w:type="dxa"/>
          </w:tcPr>
          <w:p w:rsidR="002D1540" w:rsidRPr="002D1540" w:rsidRDefault="002D1540" w:rsidP="00943EA6">
            <w:pPr>
              <w:spacing w:line="240" w:lineRule="auto"/>
              <w:rPr>
                <w:rFonts w:asciiTheme="minorHAnsi" w:hAnsiTheme="minorHAnsi" w:cstheme="minorHAnsi"/>
              </w:rPr>
            </w:pPr>
            <w:r w:rsidRPr="00943EA6">
              <w:rPr>
                <w:rFonts w:asciiTheme="minorHAnsi" w:hAnsiTheme="minorHAnsi" w:cstheme="minorHAnsi"/>
                <w:b/>
              </w:rPr>
              <w:t>WT1-3</w:t>
            </w:r>
            <w:r w:rsidRPr="002D1540">
              <w:rPr>
                <w:rFonts w:asciiTheme="minorHAnsi" w:hAnsiTheme="minorHAnsi" w:cstheme="minorHAnsi"/>
              </w:rPr>
              <w:t xml:space="preserve">. supportive of the staggered fee approach recommended by the WG, and the use of some portion of any auction proceeds to provide a partial refund of application fees to qualified applicants. Since the minimum annual fee of $25,000 would likely be very challenging for some disadvantaged Applicants, </w:t>
            </w:r>
            <w:proofErr w:type="spellStart"/>
            <w:r w:rsidRPr="002D1540">
              <w:rPr>
                <w:rFonts w:asciiTheme="minorHAnsi" w:hAnsiTheme="minorHAnsi" w:cstheme="minorHAnsi"/>
              </w:rPr>
              <w:t>Neustar</w:t>
            </w:r>
            <w:proofErr w:type="spellEnd"/>
            <w:r w:rsidRPr="002D1540">
              <w:rPr>
                <w:rFonts w:asciiTheme="minorHAnsi" w:hAnsiTheme="minorHAnsi" w:cstheme="minorHAnsi"/>
              </w:rPr>
              <w:t xml:space="preserve"> also supports the elimination or reduction of fees for disadvantaged applicants, but only in circumstances where registration volumes do not support payment of the annual minimum.</w:t>
            </w: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2D1540" w:rsidRDefault="002D1540" w:rsidP="009A7AE5">
            <w:pPr>
              <w:spacing w:line="240" w:lineRule="auto"/>
              <w:ind w:left="357"/>
              <w:rPr>
                <w:rFonts w:asciiTheme="minorHAnsi" w:hAnsiTheme="minorHAnsi" w:cstheme="minorHAnsi"/>
              </w:rPr>
            </w:pP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support for addition</w:t>
            </w:r>
          </w:p>
        </w:tc>
      </w:tr>
      <w:tr w:rsidR="002D1540" w:rsidRPr="00877308" w:rsidTr="002D1540">
        <w:tc>
          <w:tcPr>
            <w:tcW w:w="11250" w:type="dxa"/>
          </w:tcPr>
          <w:p w:rsidR="002D1540" w:rsidRPr="002D1540" w:rsidRDefault="002D1540" w:rsidP="00943EA6">
            <w:pPr>
              <w:spacing w:line="240" w:lineRule="auto"/>
              <w:rPr>
                <w:rFonts w:asciiTheme="minorHAnsi" w:hAnsiTheme="minorHAnsi" w:cstheme="minorHAnsi"/>
              </w:rPr>
            </w:pPr>
            <w:r w:rsidRPr="00943EA6">
              <w:rPr>
                <w:rFonts w:asciiTheme="minorHAnsi" w:hAnsiTheme="minorHAnsi" w:cstheme="minorHAnsi"/>
                <w:b/>
              </w:rPr>
              <w:t>WT1-4</w:t>
            </w:r>
            <w:r w:rsidRPr="002D1540">
              <w:rPr>
                <w:rFonts w:asciiTheme="minorHAnsi" w:hAnsiTheme="minorHAnsi" w:cstheme="minorHAnsi"/>
              </w:rPr>
              <w:t xml:space="preserve">. There are two important points that need to be taken into account prior to the issuance of any final report. First (WT2 issue). Second, while fully supportive of the need to ensure the protection of registrants in the event of a registry failure, the primarily reliance by ICANN on a financial instrument is misguided. There are other mechanisms, beside mere financial instruments, that exist to safeguard registrant interests in the case of a registry failure.  While ICANN’s application fee may represent a barrier to enter for some potential applicants, the potential posting of a financial instrument prior to the launch of the </w:t>
            </w:r>
            <w:proofErr w:type="spellStart"/>
            <w:r w:rsidRPr="002D1540">
              <w:rPr>
                <w:rFonts w:asciiTheme="minorHAnsi" w:hAnsiTheme="minorHAnsi" w:cstheme="minorHAnsi"/>
              </w:rPr>
              <w:t>gTLD</w:t>
            </w:r>
            <w:proofErr w:type="spellEnd"/>
            <w:r w:rsidRPr="002D1540">
              <w:rPr>
                <w:rFonts w:asciiTheme="minorHAnsi" w:hAnsiTheme="minorHAnsi" w:cstheme="minorHAnsi"/>
              </w:rPr>
              <w:t xml:space="preserve"> represents a much more substantial barrier to entry. This Working Group should address what other support mechanisms exist in the potential case of a registry failure and how they could be made available to applicants.</w:t>
            </w:r>
          </w:p>
          <w:p w:rsidR="00943EA6" w:rsidRDefault="00943EA6" w:rsidP="00943EA6">
            <w:pPr>
              <w:spacing w:line="240" w:lineRule="auto"/>
              <w:rPr>
                <w:rFonts w:asciiTheme="minorHAnsi" w:hAnsiTheme="minorHAnsi" w:cstheme="minorHAnsi"/>
                <w:b/>
                <w:color w:val="FF0000"/>
              </w:rPr>
            </w:pPr>
          </w:p>
          <w:p w:rsidR="002D1540"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xml:space="preserve">- </w:t>
            </w:r>
            <w:proofErr w:type="gramStart"/>
            <w:r w:rsidRPr="002D1540">
              <w:rPr>
                <w:rFonts w:asciiTheme="minorHAnsi" w:hAnsiTheme="minorHAnsi" w:cstheme="minorHAnsi"/>
              </w:rPr>
              <w:t>should</w:t>
            </w:r>
            <w:proofErr w:type="gramEnd"/>
            <w:r w:rsidRPr="002D1540">
              <w:rPr>
                <w:rFonts w:asciiTheme="minorHAnsi" w:hAnsiTheme="minorHAnsi" w:cstheme="minorHAnsi"/>
              </w:rPr>
              <w:t xml:space="preserve"> this apply to just new </w:t>
            </w:r>
            <w:proofErr w:type="spellStart"/>
            <w:r w:rsidRPr="002D1540">
              <w:rPr>
                <w:rFonts w:asciiTheme="minorHAnsi" w:hAnsiTheme="minorHAnsi" w:cstheme="minorHAnsi"/>
              </w:rPr>
              <w:t>gTLD</w:t>
            </w:r>
            <w:proofErr w:type="spellEnd"/>
            <w:r w:rsidRPr="002D1540">
              <w:rPr>
                <w:rFonts w:asciiTheme="minorHAnsi" w:hAnsiTheme="minorHAnsi" w:cstheme="minorHAnsi"/>
              </w:rPr>
              <w:t xml:space="preserve"> - support the idea.</w:t>
            </w:r>
          </w:p>
        </w:tc>
      </w:tr>
      <w:tr w:rsidR="002D1540" w:rsidRPr="00877308" w:rsidTr="002D1540">
        <w:tc>
          <w:tcPr>
            <w:tcW w:w="11250" w:type="dxa"/>
          </w:tcPr>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lastRenderedPageBreak/>
              <w:t xml:space="preserve">WT1-5. The working group's current document offers ICANN several possible solutions to allow new TLDs to be available to organisations and/or communities without imposing artificial economic barriers. Since "status quo" is so often mentioned within the ICANN realm, if you examine the current ICANN budget it is clear that economic barriers were removed to allow .museum to operate. The working group's document recognises that strict criteria for economic exceptions need to </w:t>
            </w:r>
            <w:proofErr w:type="gramStart"/>
            <w:r w:rsidRPr="002D1540">
              <w:rPr>
                <w:rFonts w:asciiTheme="minorHAnsi" w:hAnsiTheme="minorHAnsi" w:cstheme="minorHAnsi"/>
              </w:rPr>
              <w:t>laid</w:t>
            </w:r>
            <w:proofErr w:type="gramEnd"/>
            <w:r w:rsidRPr="002D1540">
              <w:rPr>
                <w:rFonts w:asciiTheme="minorHAnsi" w:hAnsiTheme="minorHAnsi" w:cstheme="minorHAnsi"/>
              </w:rPr>
              <w:t xml:space="preserve"> down and that only a limited number of applicants would meet the criteria. Several companies, including ourselves, have stated that they would be willing to offer services to qualified applicants.</w:t>
            </w: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2D1540" w:rsidRDefault="002D1540" w:rsidP="009A7AE5">
            <w:pPr>
              <w:spacing w:line="240" w:lineRule="auto"/>
              <w:ind w:left="357"/>
              <w:rPr>
                <w:rFonts w:asciiTheme="minorHAnsi" w:hAnsiTheme="minorHAnsi" w:cstheme="minorHAnsi"/>
              </w:rPr>
            </w:pPr>
          </w:p>
          <w:p w:rsidR="002D1540" w:rsidRPr="002D1540" w:rsidRDefault="002D1540" w:rsidP="009A7AE5">
            <w:pPr>
              <w:spacing w:line="240" w:lineRule="auto"/>
              <w:ind w:left="357"/>
              <w:rPr>
                <w:rFonts w:asciiTheme="minorHAnsi" w:hAnsiTheme="minorHAnsi" w:cstheme="minorHAnsi"/>
              </w:rPr>
            </w:pPr>
          </w:p>
        </w:tc>
      </w:tr>
      <w:tr w:rsidR="002D1540" w:rsidRPr="00877308" w:rsidTr="002D1540">
        <w:tc>
          <w:tcPr>
            <w:tcW w:w="11250" w:type="dxa"/>
          </w:tcPr>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WT1-6. Concerns raise that various fee structures in the program (evaluation, auction, etc) are cost prohibitive for non-for-profit organizations and take away funds otherwise used to serve the public. Lower the cost for non-for-profit organizations – waive the cost of program development; staggered fees; partial refund from auction proceeds; lower registry fixed fees; reconsider risk/contingency cost per applicant; consider reduction of fixed/variable cost.</w:t>
            </w:r>
          </w:p>
          <w:p w:rsidR="002D1540" w:rsidRPr="002D1540" w:rsidRDefault="002D1540" w:rsidP="009A7AE5">
            <w:pPr>
              <w:spacing w:line="240" w:lineRule="auto"/>
              <w:ind w:left="357"/>
              <w:rPr>
                <w:rFonts w:asciiTheme="minorHAnsi" w:hAnsiTheme="minorHAnsi" w:cstheme="minorHAnsi"/>
              </w:rPr>
            </w:pP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2D1540" w:rsidRDefault="002D1540" w:rsidP="009A7AE5">
            <w:pPr>
              <w:spacing w:line="240" w:lineRule="auto"/>
              <w:ind w:left="357"/>
              <w:rPr>
                <w:rFonts w:asciiTheme="minorHAnsi" w:hAnsiTheme="minorHAnsi" w:cstheme="minorHAnsi"/>
              </w:rPr>
            </w:pPr>
          </w:p>
          <w:p w:rsidR="002D1540" w:rsidRPr="002D1540" w:rsidRDefault="002D1540" w:rsidP="009A7AE5">
            <w:pPr>
              <w:spacing w:line="240" w:lineRule="auto"/>
              <w:ind w:left="357"/>
              <w:rPr>
                <w:rFonts w:asciiTheme="minorHAnsi" w:hAnsiTheme="minorHAnsi" w:cstheme="minorHAnsi"/>
              </w:rPr>
            </w:pPr>
          </w:p>
        </w:tc>
      </w:tr>
      <w:tr w:rsidR="002D1540" w:rsidRPr="00877308" w:rsidTr="002D1540">
        <w:tc>
          <w:tcPr>
            <w:tcW w:w="11250" w:type="dxa"/>
          </w:tcPr>
          <w:p w:rsidR="002D1540" w:rsidRDefault="002D1540" w:rsidP="00943EA6">
            <w:pPr>
              <w:spacing w:line="240" w:lineRule="auto"/>
              <w:rPr>
                <w:rFonts w:asciiTheme="minorHAnsi" w:hAnsiTheme="minorHAnsi" w:cstheme="minorHAnsi"/>
              </w:rPr>
            </w:pPr>
            <w:r w:rsidRPr="002D1540">
              <w:rPr>
                <w:rFonts w:asciiTheme="minorHAnsi" w:hAnsiTheme="minorHAnsi" w:cstheme="minorHAnsi"/>
              </w:rPr>
              <w:t>WT1-7. Comprehensive statement from African/</w:t>
            </w:r>
            <w:proofErr w:type="spellStart"/>
            <w:r w:rsidRPr="002D1540">
              <w:rPr>
                <w:rFonts w:asciiTheme="minorHAnsi" w:hAnsiTheme="minorHAnsi" w:cstheme="minorHAnsi"/>
              </w:rPr>
              <w:t>Afralo</w:t>
            </w:r>
            <w:proofErr w:type="spellEnd"/>
            <w:r w:rsidRPr="002D1540">
              <w:rPr>
                <w:rFonts w:asciiTheme="minorHAnsi" w:hAnsiTheme="minorHAnsi" w:cstheme="minorHAnsi"/>
              </w:rPr>
              <w:t xml:space="preserve"> about the extent of the support (financial, technical, linguistic, legal…); support is of utmost importance for geographic, cultural linguistic, and more generally community based applications; Since Africa is disadvantaged and lagging behind due to the digital divide, we strongly suggest that ICANN provides supplementary support and additional cost reduction for </w:t>
            </w:r>
            <w:proofErr w:type="spellStart"/>
            <w:r w:rsidRPr="002D1540">
              <w:rPr>
                <w:rFonts w:asciiTheme="minorHAnsi" w:hAnsiTheme="minorHAnsi" w:cstheme="minorHAnsi"/>
              </w:rPr>
              <w:t>gTLDs</w:t>
            </w:r>
            <w:proofErr w:type="spellEnd"/>
            <w:r w:rsidRPr="002D1540">
              <w:rPr>
                <w:rFonts w:asciiTheme="minorHAnsi" w:hAnsiTheme="minorHAnsi" w:cstheme="minorHAnsi"/>
              </w:rPr>
              <w:t xml:space="preserve"> applications from African countries</w:t>
            </w:r>
          </w:p>
          <w:p w:rsidR="00943EA6" w:rsidRDefault="00943EA6" w:rsidP="00943EA6">
            <w:pPr>
              <w:spacing w:line="240" w:lineRule="auto"/>
              <w:rPr>
                <w:rFonts w:asciiTheme="minorHAnsi" w:hAnsiTheme="minorHAnsi" w:cstheme="minorHAnsi"/>
                <w:b/>
                <w:color w:val="FF0000"/>
              </w:rPr>
            </w:pP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Pr="002D1540" w:rsidRDefault="00943EA6" w:rsidP="00943EA6">
            <w:pPr>
              <w:spacing w:line="240" w:lineRule="auto"/>
              <w:rPr>
                <w:rFonts w:asciiTheme="minorHAnsi" w:hAnsiTheme="minorHAnsi" w:cstheme="minorHAnsi"/>
              </w:rPr>
            </w:pPr>
          </w:p>
        </w:tc>
      </w:tr>
      <w:tr w:rsidR="002D1540" w:rsidRPr="00877308" w:rsidTr="002D1540">
        <w:tc>
          <w:tcPr>
            <w:tcW w:w="11250" w:type="dxa"/>
          </w:tcPr>
          <w:p w:rsidR="002D1540" w:rsidRDefault="002D1540" w:rsidP="00943EA6">
            <w:pPr>
              <w:spacing w:line="240" w:lineRule="auto"/>
              <w:rPr>
                <w:rFonts w:asciiTheme="minorHAnsi" w:hAnsiTheme="minorHAnsi" w:cstheme="minorHAnsi"/>
              </w:rPr>
            </w:pPr>
            <w:r w:rsidRPr="00943EA6">
              <w:rPr>
                <w:rFonts w:asciiTheme="minorHAnsi" w:hAnsiTheme="minorHAnsi" w:cstheme="minorHAnsi"/>
                <w:b/>
              </w:rPr>
              <w:t>WT1-8</w:t>
            </w:r>
            <w:r w:rsidRPr="002D1540">
              <w:rPr>
                <w:rFonts w:asciiTheme="minorHAnsi" w:hAnsiTheme="minorHAnsi" w:cstheme="minorHAnsi"/>
              </w:rPr>
              <w:t xml:space="preserve">  Bundling </w:t>
            </w: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Pr="002D1540" w:rsidRDefault="00943EA6" w:rsidP="00943EA6">
            <w:pPr>
              <w:spacing w:line="240" w:lineRule="auto"/>
              <w:rPr>
                <w:rFonts w:asciiTheme="minorHAnsi" w:hAnsiTheme="minorHAnsi" w:cstheme="minorHAnsi"/>
              </w:rPr>
            </w:pP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Is this more of an applicant guide book consideration</w:t>
            </w:r>
          </w:p>
          <w:p w:rsidR="002D1540" w:rsidRPr="002D1540" w:rsidRDefault="002D1540" w:rsidP="00943EA6">
            <w:pPr>
              <w:spacing w:line="240" w:lineRule="auto"/>
              <w:rPr>
                <w:rFonts w:asciiTheme="minorHAnsi" w:hAnsiTheme="minorHAnsi" w:cstheme="minorHAnsi"/>
              </w:rPr>
            </w:pPr>
            <w:r w:rsidRPr="002D1540">
              <w:rPr>
                <w:rFonts w:asciiTheme="minorHAnsi" w:hAnsiTheme="minorHAnsi" w:cstheme="minorHAnsi"/>
              </w:rPr>
              <w:t>- Andrew to send in a suggestion</w:t>
            </w:r>
          </w:p>
        </w:tc>
      </w:tr>
    </w:tbl>
    <w:p w:rsidR="00015453" w:rsidRDefault="00015453"/>
    <w:tbl>
      <w:tblPr>
        <w:tblW w:w="111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160"/>
      </w:tblGrid>
      <w:tr w:rsidR="002D1540" w:rsidRPr="00806E2A" w:rsidTr="002D1540">
        <w:tc>
          <w:tcPr>
            <w:tcW w:w="11160" w:type="dxa"/>
            <w:shd w:val="clear" w:color="auto" w:fill="B8CCE4" w:themeFill="accent1" w:themeFillTint="66"/>
          </w:tcPr>
          <w:p w:rsidR="002D1540" w:rsidRPr="002D1540" w:rsidRDefault="002D1540" w:rsidP="002D1540">
            <w:pPr>
              <w:rPr>
                <w:rFonts w:asciiTheme="minorHAnsi" w:hAnsiTheme="minorHAnsi" w:cstheme="minorHAnsi"/>
                <w:b/>
                <w:i/>
                <w:sz w:val="28"/>
                <w:szCs w:val="28"/>
              </w:rPr>
            </w:pPr>
            <w:r w:rsidRPr="002D1540">
              <w:rPr>
                <w:rFonts w:asciiTheme="minorHAnsi" w:hAnsiTheme="minorHAnsi" w:cstheme="minorHAnsi"/>
                <w:b/>
                <w:i/>
                <w:sz w:val="28"/>
                <w:szCs w:val="28"/>
              </w:rPr>
              <w:t xml:space="preserve">Comments </w:t>
            </w:r>
            <w:r w:rsidRPr="002D1540">
              <w:rPr>
                <w:rFonts w:asciiTheme="minorHAnsi" w:hAnsiTheme="minorHAnsi" w:cstheme="minorHAnsi"/>
                <w:b/>
                <w:i/>
                <w:sz w:val="28"/>
                <w:szCs w:val="28"/>
              </w:rPr>
              <w:t xml:space="preserve">Received to date related to WT 2 </w:t>
            </w:r>
          </w:p>
          <w:p w:rsidR="002D1540" w:rsidRPr="002D1540" w:rsidRDefault="002D1540" w:rsidP="002D1540">
            <w:pPr>
              <w:rPr>
                <w:i/>
                <w:color w:val="FF0000"/>
                <w:sz w:val="22"/>
                <w:szCs w:val="22"/>
              </w:rPr>
            </w:pPr>
            <w:r w:rsidRPr="002D1540">
              <w:rPr>
                <w:rFonts w:asciiTheme="minorHAnsi" w:hAnsiTheme="minorHAnsi" w:cstheme="minorHAnsi"/>
                <w:i/>
                <w:color w:val="FF0000"/>
                <w:sz w:val="22"/>
                <w:szCs w:val="22"/>
              </w:rPr>
              <w:t xml:space="preserve">This is a summary of points raised for discussion and </w:t>
            </w:r>
            <w:r w:rsidRPr="002D1540">
              <w:rPr>
                <w:rFonts w:asciiTheme="minorHAnsi" w:hAnsiTheme="minorHAnsi" w:cstheme="minorHAnsi"/>
                <w:i/>
                <w:color w:val="FF0000"/>
                <w:sz w:val="22"/>
                <w:szCs w:val="22"/>
              </w:rPr>
              <w:t>reference only</w:t>
            </w:r>
            <w:r w:rsidRPr="002D1540">
              <w:rPr>
                <w:rFonts w:asciiTheme="minorHAnsi" w:hAnsiTheme="minorHAnsi" w:cstheme="minorHAnsi"/>
                <w:i/>
                <w:color w:val="FF0000"/>
                <w:sz w:val="22"/>
                <w:szCs w:val="22"/>
              </w:rPr>
              <w:t>; not part of Final Proposal</w:t>
            </w:r>
          </w:p>
        </w:tc>
      </w:tr>
      <w:tr w:rsidR="002D1540" w:rsidRPr="00806E2A" w:rsidTr="002D1540">
        <w:tc>
          <w:tcPr>
            <w:tcW w:w="11160" w:type="dxa"/>
          </w:tcPr>
          <w:p w:rsidR="002D1540" w:rsidRPr="00943EA6"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b/>
                <w:szCs w:val="24"/>
                <w:lang w:val="en-US" w:eastAsia="en-US"/>
              </w:rPr>
              <w:t>WT2-1.</w:t>
            </w:r>
            <w:r w:rsidRPr="00943EA6">
              <w:rPr>
                <w:rFonts w:asciiTheme="minorHAnsi" w:hAnsiTheme="minorHAnsi" w:cstheme="minorHAnsi"/>
                <w:szCs w:val="24"/>
                <w:lang w:val="en-US" w:eastAsia="en-US"/>
              </w:rPr>
              <w:t xml:space="preserve"> The targeting of ethnic and linguistic communities in the initial/pilot phase while providing preference to applicants geographically located in Emerging Markets/Developing countries and in languages whose presence on the web is limited.  The document also presents appropriate criteria for determining who would not qualify for special support.  Some additional thought should be given, however, to the evaluation process </w:t>
            </w:r>
            <w:r w:rsidRPr="00943EA6">
              <w:rPr>
                <w:rFonts w:asciiTheme="minorHAnsi" w:hAnsiTheme="minorHAnsi" w:cstheme="minorHAnsi"/>
                <w:szCs w:val="24"/>
                <w:lang w:val="en-US" w:eastAsia="en-US"/>
              </w:rPr>
              <w:lastRenderedPageBreak/>
              <w:t>for those Applicants who wish to participate, including the timing and resources required.  The transparency of the process, including information about the Applicants, the details o</w:t>
            </w:r>
            <w:r w:rsidR="00943EA6">
              <w:rPr>
                <w:rFonts w:asciiTheme="minorHAnsi" w:hAnsiTheme="minorHAnsi" w:cstheme="minorHAnsi"/>
                <w:szCs w:val="24"/>
                <w:lang w:val="en-US" w:eastAsia="en-US"/>
              </w:rPr>
              <w:t xml:space="preserve">f the program applications, as </w:t>
            </w:r>
            <w:r w:rsidRPr="00943EA6">
              <w:rPr>
                <w:rFonts w:asciiTheme="minorHAnsi" w:hAnsiTheme="minorHAnsi" w:cstheme="minorHAnsi"/>
                <w:szCs w:val="24"/>
                <w:lang w:val="en-US" w:eastAsia="en-US"/>
              </w:rPr>
              <w:t>well as financial or other support received is particularly important to foster confidence in the program.</w:t>
            </w:r>
          </w:p>
          <w:p w:rsidR="00943EA6" w:rsidRDefault="00943EA6" w:rsidP="00943EA6">
            <w:pPr>
              <w:spacing w:line="240" w:lineRule="auto"/>
              <w:rPr>
                <w:rFonts w:asciiTheme="minorHAnsi" w:hAnsiTheme="minorHAnsi" w:cstheme="minorHAnsi"/>
                <w:b/>
                <w:color w:val="FF0000"/>
              </w:rPr>
            </w:pPr>
          </w:p>
          <w:p w:rsidR="002D1540"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943EA6"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szCs w:val="24"/>
                <w:lang w:val="en-US" w:eastAsia="en-US"/>
              </w:rPr>
              <w:t>- related to WT2-4</w:t>
            </w:r>
          </w:p>
          <w:p w:rsidR="002D1540"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szCs w:val="24"/>
                <w:lang w:val="en-US" w:eastAsia="en-US"/>
              </w:rPr>
              <w:t>- giving up privacy in terms of transparency?</w:t>
            </w:r>
          </w:p>
          <w:p w:rsidR="00724F73" w:rsidRPr="00943EA6" w:rsidRDefault="00724F73"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Pr>
                <w:rFonts w:asciiTheme="minorHAnsi" w:hAnsiTheme="minorHAnsi" w:cstheme="minorHAnsi"/>
                <w:szCs w:val="24"/>
                <w:lang w:val="en-US" w:eastAsia="en-US"/>
              </w:rPr>
              <w:t>We acknowledge we need to offer further guidance on how it should be done, but not at this time.</w:t>
            </w:r>
          </w:p>
          <w:p w:rsidR="002D1540" w:rsidRPr="00806E2A" w:rsidRDefault="002D1540" w:rsidP="009A7AE5">
            <w:pPr>
              <w:widowControl w:val="0"/>
              <w:suppressAutoHyphens w:val="0"/>
              <w:autoSpaceDE w:val="0"/>
              <w:autoSpaceDN w:val="0"/>
              <w:adjustRightInd w:val="0"/>
              <w:spacing w:line="240" w:lineRule="auto"/>
              <w:ind w:left="360"/>
              <w:rPr>
                <w:rFonts w:ascii="Helvetica" w:hAnsi="Helvetica" w:cs="Helvetica"/>
                <w:szCs w:val="24"/>
                <w:lang w:val="en-US" w:eastAsia="en-US"/>
              </w:rPr>
            </w:pPr>
          </w:p>
        </w:tc>
      </w:tr>
      <w:tr w:rsidR="002D1540" w:rsidRPr="00806E2A" w:rsidTr="002D1540">
        <w:tc>
          <w:tcPr>
            <w:tcW w:w="11160" w:type="dxa"/>
          </w:tcPr>
          <w:p w:rsidR="002D1540"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b/>
                <w:szCs w:val="24"/>
                <w:lang w:val="en-US" w:eastAsia="en-US"/>
              </w:rPr>
              <w:lastRenderedPageBreak/>
              <w:t>WT2-2.</w:t>
            </w:r>
            <w:r w:rsidRPr="00943EA6">
              <w:rPr>
                <w:rFonts w:asciiTheme="minorHAnsi" w:hAnsiTheme="minorHAnsi" w:cstheme="minorHAnsi"/>
                <w:szCs w:val="24"/>
                <w:lang w:val="en-US" w:eastAsia="en-US"/>
              </w:rPr>
              <w:t xml:space="preserve"> Reference to the Government Advisory Committee (GAC) communiqué in connection with this issue is also relevant, specifically that ICANN is urged, </w:t>
            </w:r>
            <w:proofErr w:type="gramStart"/>
            <w:r w:rsidRPr="00943EA6">
              <w:rPr>
                <w:rFonts w:asciiTheme="minorHAnsi" w:hAnsiTheme="minorHAnsi" w:cstheme="minorHAnsi"/>
                <w:szCs w:val="24"/>
                <w:lang w:val="en-US" w:eastAsia="en-US"/>
              </w:rPr>
              <w:t>“ to</w:t>
            </w:r>
            <w:proofErr w:type="gramEnd"/>
            <w:r w:rsidRPr="00943EA6">
              <w:rPr>
                <w:rFonts w:asciiTheme="minorHAnsi" w:hAnsiTheme="minorHAnsi" w:cstheme="minorHAnsi"/>
                <w:szCs w:val="24"/>
                <w:lang w:val="en-US" w:eastAsia="en-US"/>
              </w:rPr>
              <w:t xml:space="preserve"> set technical and other requirements, including cost considerations, at a reasonable and proportionate level in order not to exclude developing country stakeholders from participating in the new </w:t>
            </w:r>
            <w:proofErr w:type="spellStart"/>
            <w:r w:rsidRPr="00943EA6">
              <w:rPr>
                <w:rFonts w:asciiTheme="minorHAnsi" w:hAnsiTheme="minorHAnsi" w:cstheme="minorHAnsi"/>
                <w:szCs w:val="24"/>
                <w:lang w:val="en-US" w:eastAsia="en-US"/>
              </w:rPr>
              <w:t>gTLD</w:t>
            </w:r>
            <w:proofErr w:type="spellEnd"/>
            <w:r w:rsidRPr="00943EA6">
              <w:rPr>
                <w:rFonts w:asciiTheme="minorHAnsi" w:hAnsiTheme="minorHAnsi" w:cstheme="minorHAnsi"/>
                <w:szCs w:val="24"/>
                <w:lang w:val="en-US" w:eastAsia="en-US"/>
              </w:rPr>
              <w:t xml:space="preserve">-process. Key documents should be available in all UN languages. The GAC urges that the communications and outreach strategy for the new </w:t>
            </w:r>
            <w:proofErr w:type="spellStart"/>
            <w:r w:rsidRPr="00943EA6">
              <w:rPr>
                <w:rFonts w:asciiTheme="minorHAnsi" w:hAnsiTheme="minorHAnsi" w:cstheme="minorHAnsi"/>
                <w:szCs w:val="24"/>
                <w:lang w:val="en-US" w:eastAsia="en-US"/>
              </w:rPr>
              <w:t>gTLD</w:t>
            </w:r>
            <w:proofErr w:type="spellEnd"/>
            <w:r w:rsidRPr="00943EA6">
              <w:rPr>
                <w:rFonts w:asciiTheme="minorHAnsi" w:hAnsiTheme="minorHAnsi" w:cstheme="minorHAnsi"/>
                <w:szCs w:val="24"/>
                <w:lang w:val="en-US" w:eastAsia="en-US"/>
              </w:rPr>
              <w:t xml:space="preserve"> round be developed with this issue of inclusiveness as a key priority.”</w:t>
            </w:r>
          </w:p>
          <w:p w:rsidR="00480A0A" w:rsidRDefault="00480A0A"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Default="00480A0A" w:rsidP="00480A0A">
            <w:pPr>
              <w:widowControl w:val="0"/>
              <w:suppressAutoHyphens w:val="0"/>
              <w:autoSpaceDE w:val="0"/>
              <w:autoSpaceDN w:val="0"/>
              <w:adjustRightInd w:val="0"/>
              <w:spacing w:line="240" w:lineRule="auto"/>
              <w:rPr>
                <w:rFonts w:asciiTheme="minorHAnsi" w:hAnsiTheme="minorHAnsi" w:cstheme="minorHAnsi"/>
                <w:szCs w:val="24"/>
                <w:lang w:val="en-US" w:eastAsia="en-US"/>
              </w:rPr>
            </w:pPr>
            <w:r>
              <w:rPr>
                <w:rFonts w:asciiTheme="minorHAnsi" w:hAnsiTheme="minorHAnsi" w:cstheme="minorHAnsi"/>
                <w:szCs w:val="24"/>
                <w:lang w:val="en-US" w:eastAsia="en-US"/>
              </w:rPr>
              <w:t xml:space="preserve">It would be better if all program was multilingual, but it </w:t>
            </w:r>
            <w:proofErr w:type="spellStart"/>
            <w:r>
              <w:rPr>
                <w:rFonts w:asciiTheme="minorHAnsi" w:hAnsiTheme="minorHAnsi" w:cstheme="minorHAnsi"/>
                <w:szCs w:val="24"/>
                <w:lang w:val="en-US" w:eastAsia="en-US"/>
              </w:rPr>
              <w:t>it</w:t>
            </w:r>
            <w:proofErr w:type="spellEnd"/>
            <w:r>
              <w:rPr>
                <w:rFonts w:asciiTheme="minorHAnsi" w:hAnsiTheme="minorHAnsi" w:cstheme="minorHAnsi"/>
                <w:szCs w:val="24"/>
                <w:lang w:val="en-US" w:eastAsia="en-US"/>
              </w:rPr>
              <w:t xml:space="preserve"> difficult to implement in this round. It would require a major revamping of ICANN processes and operations to have a multilingual program. This will not happen in a short time and in the first round. ICANN needs to ensure informational materials are available in multiple languages. As part of support, we might help people with the English applications and English contracts.</w:t>
            </w:r>
          </w:p>
          <w:p w:rsidR="00480A0A" w:rsidRPr="00943EA6" w:rsidRDefault="00480A0A" w:rsidP="00480A0A">
            <w:pPr>
              <w:widowControl w:val="0"/>
              <w:suppressAutoHyphens w:val="0"/>
              <w:autoSpaceDE w:val="0"/>
              <w:autoSpaceDN w:val="0"/>
              <w:adjustRightInd w:val="0"/>
              <w:spacing w:line="240" w:lineRule="auto"/>
              <w:rPr>
                <w:rFonts w:asciiTheme="minorHAnsi" w:hAnsiTheme="minorHAnsi" w:cstheme="minorHAnsi"/>
                <w:szCs w:val="24"/>
                <w:lang w:val="en-US" w:eastAsia="en-US"/>
              </w:rPr>
            </w:pPr>
          </w:p>
        </w:tc>
      </w:tr>
      <w:tr w:rsidR="002D1540" w:rsidRPr="00806E2A" w:rsidTr="002D1540">
        <w:tc>
          <w:tcPr>
            <w:tcW w:w="11160" w:type="dxa"/>
          </w:tcPr>
          <w:p w:rsidR="002D1540"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b/>
                <w:szCs w:val="24"/>
                <w:lang w:val="en-US" w:eastAsia="en-US"/>
              </w:rPr>
              <w:t>WT2-3.</w:t>
            </w:r>
            <w:r w:rsidRPr="00943EA6">
              <w:rPr>
                <w:rFonts w:asciiTheme="minorHAnsi" w:hAnsiTheme="minorHAnsi" w:cstheme="minorHAnsi"/>
                <w:szCs w:val="24"/>
                <w:lang w:val="en-US" w:eastAsia="en-US"/>
              </w:rPr>
              <w:t xml:space="preserve"> There are two important points that need to be taken into account prior to the issuance of any final report. First the proposal to prohibit “any” support from applications in connection with governments is overly broad and inappropriate. Second, (WT1 Issue)</w:t>
            </w:r>
          </w:p>
          <w:p w:rsidR="00943EA6" w:rsidRDefault="00943EA6" w:rsidP="00943EA6">
            <w:pPr>
              <w:spacing w:line="240" w:lineRule="auto"/>
              <w:rPr>
                <w:rFonts w:asciiTheme="minorHAnsi" w:hAnsiTheme="minorHAnsi" w:cstheme="minorHAnsi"/>
                <w:b/>
                <w:color w:val="FF0000"/>
              </w:rPr>
            </w:pP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Default="00480A0A"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Pr>
                <w:rFonts w:asciiTheme="minorHAnsi" w:hAnsiTheme="minorHAnsi" w:cstheme="minorHAnsi"/>
                <w:szCs w:val="24"/>
                <w:lang w:val="en-US" w:eastAsia="en-US"/>
              </w:rPr>
              <w:t>It is not the intent of the WG to propose that governments do not qualify or cannot participate to receive support. The main point is that the support should not be used to subsidize a government initiative</w:t>
            </w:r>
            <w:proofErr w:type="gramStart"/>
            <w:r>
              <w:rPr>
                <w:rFonts w:asciiTheme="minorHAnsi" w:hAnsiTheme="minorHAnsi" w:cstheme="minorHAnsi"/>
                <w:szCs w:val="24"/>
                <w:lang w:val="en-US" w:eastAsia="en-US"/>
              </w:rPr>
              <w:t>,  a</w:t>
            </w:r>
            <w:proofErr w:type="gramEnd"/>
            <w:r>
              <w:rPr>
                <w:rFonts w:asciiTheme="minorHAnsi" w:hAnsiTheme="minorHAnsi" w:cstheme="minorHAnsi"/>
                <w:szCs w:val="24"/>
                <w:lang w:val="en-US" w:eastAsia="en-US"/>
              </w:rPr>
              <w:t xml:space="preserve"> largely and purely government initiative.</w:t>
            </w:r>
          </w:p>
          <w:p w:rsidR="00480A0A" w:rsidRDefault="00480A0A"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Pr>
                <w:rFonts w:asciiTheme="minorHAnsi" w:hAnsiTheme="minorHAnsi" w:cstheme="minorHAnsi"/>
                <w:szCs w:val="24"/>
                <w:lang w:val="en-US" w:eastAsia="en-US"/>
              </w:rPr>
              <w:t>The WG said that if the proposal is majority government funding or a majority government sponsor, it does not qualify.</w:t>
            </w:r>
          </w:p>
          <w:p w:rsidR="00480A0A" w:rsidRDefault="00480A0A"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Pr>
                <w:rFonts w:asciiTheme="minorHAnsi" w:hAnsiTheme="minorHAnsi" w:cstheme="minorHAnsi"/>
                <w:szCs w:val="24"/>
                <w:lang w:val="en-US" w:eastAsia="en-US"/>
              </w:rPr>
              <w:t xml:space="preserve">This is a complex issue, particularly for the first round. </w:t>
            </w:r>
          </w:p>
          <w:p w:rsidR="00480A0A" w:rsidRDefault="00480A0A"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proofErr w:type="gramStart"/>
            <w:r>
              <w:rPr>
                <w:rFonts w:asciiTheme="minorHAnsi" w:hAnsiTheme="minorHAnsi" w:cstheme="minorHAnsi"/>
                <w:szCs w:val="24"/>
                <w:lang w:val="en-US" w:eastAsia="en-US"/>
              </w:rPr>
              <w:t>Are governments part</w:t>
            </w:r>
            <w:proofErr w:type="gramEnd"/>
            <w:r>
              <w:rPr>
                <w:rFonts w:asciiTheme="minorHAnsi" w:hAnsiTheme="minorHAnsi" w:cstheme="minorHAnsi"/>
                <w:szCs w:val="24"/>
                <w:lang w:val="en-US" w:eastAsia="en-US"/>
              </w:rPr>
              <w:t xml:space="preserve"> of the needy group?</w:t>
            </w:r>
            <w:r w:rsidR="00DB53E1">
              <w:rPr>
                <w:rFonts w:asciiTheme="minorHAnsi" w:hAnsiTheme="minorHAnsi" w:cstheme="minorHAnsi"/>
                <w:szCs w:val="24"/>
                <w:lang w:val="en-US" w:eastAsia="en-US"/>
              </w:rPr>
              <w:t xml:space="preserve"> How to define a government lead initiative? Complex issue. </w:t>
            </w:r>
          </w:p>
          <w:p w:rsidR="00DB53E1" w:rsidRDefault="00DB53E1"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Pr>
                <w:rFonts w:asciiTheme="minorHAnsi" w:hAnsiTheme="minorHAnsi" w:cstheme="minorHAnsi"/>
                <w:szCs w:val="24"/>
                <w:lang w:val="en-US" w:eastAsia="en-US"/>
              </w:rPr>
              <w:t>We might need to further define projects in terms of persons; percentages….which could lead to a slippery slope.</w:t>
            </w:r>
          </w:p>
          <w:p w:rsidR="00DB53E1" w:rsidRDefault="00DB53E1"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Pr>
                <w:rFonts w:asciiTheme="minorHAnsi" w:hAnsiTheme="minorHAnsi" w:cstheme="minorHAnsi"/>
                <w:szCs w:val="24"/>
                <w:lang w:val="en-US" w:eastAsia="en-US"/>
              </w:rPr>
              <w:t xml:space="preserve">Group consensus: the working we have on the document regarding this issue is ok. Maybe we can add a clarification bullet saying that having government funding does not disqualify an </w:t>
            </w:r>
            <w:proofErr w:type="gramStart"/>
            <w:r>
              <w:rPr>
                <w:rFonts w:asciiTheme="minorHAnsi" w:hAnsiTheme="minorHAnsi" w:cstheme="minorHAnsi"/>
                <w:szCs w:val="24"/>
                <w:lang w:val="en-US" w:eastAsia="en-US"/>
              </w:rPr>
              <w:t>applicant,</w:t>
            </w:r>
            <w:proofErr w:type="gramEnd"/>
            <w:r>
              <w:rPr>
                <w:rFonts w:asciiTheme="minorHAnsi" w:hAnsiTheme="minorHAnsi" w:cstheme="minorHAnsi"/>
                <w:szCs w:val="24"/>
                <w:lang w:val="en-US" w:eastAsia="en-US"/>
              </w:rPr>
              <w:t xml:space="preserve"> however this is not intended for applications that are primarily government finances and supported. </w:t>
            </w:r>
          </w:p>
          <w:p w:rsidR="00943EA6" w:rsidRPr="00943EA6" w:rsidRDefault="00943EA6"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p>
        </w:tc>
      </w:tr>
      <w:tr w:rsidR="002D1540" w:rsidRPr="00806E2A" w:rsidTr="002D1540">
        <w:tc>
          <w:tcPr>
            <w:tcW w:w="11160" w:type="dxa"/>
          </w:tcPr>
          <w:p w:rsidR="002D1540" w:rsidRPr="00943EA6"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b/>
                <w:szCs w:val="24"/>
                <w:lang w:val="en-US" w:eastAsia="en-US"/>
              </w:rPr>
              <w:t>WT2-4.</w:t>
            </w:r>
            <w:r w:rsidRPr="00943EA6">
              <w:rPr>
                <w:rFonts w:asciiTheme="minorHAnsi" w:hAnsiTheme="minorHAnsi" w:cstheme="minorHAnsi"/>
                <w:szCs w:val="24"/>
                <w:lang w:val="en-US" w:eastAsia="en-US"/>
              </w:rPr>
              <w:t xml:space="preserve"> Support to pilot phase, targeting ethnic/linguistic communities, but WT2 should consider also non-for-profit organizations under specific circumstances</w:t>
            </w: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943EA6"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szCs w:val="24"/>
                <w:lang w:val="en-US" w:eastAsia="en-US"/>
              </w:rPr>
              <w:t xml:space="preserve">- </w:t>
            </w:r>
            <w:proofErr w:type="gramStart"/>
            <w:r w:rsidRPr="00943EA6">
              <w:rPr>
                <w:rFonts w:asciiTheme="minorHAnsi" w:hAnsiTheme="minorHAnsi" w:cstheme="minorHAnsi"/>
                <w:szCs w:val="24"/>
                <w:lang w:val="en-US" w:eastAsia="en-US"/>
              </w:rPr>
              <w:t>the</w:t>
            </w:r>
            <w:proofErr w:type="gramEnd"/>
            <w:r w:rsidRPr="00943EA6">
              <w:rPr>
                <w:rFonts w:asciiTheme="minorHAnsi" w:hAnsiTheme="minorHAnsi" w:cstheme="minorHAnsi"/>
                <w:szCs w:val="24"/>
                <w:lang w:val="en-US" w:eastAsia="en-US"/>
              </w:rPr>
              <w:t xml:space="preserve"> fact of being a non-profit does not mean they can't cover the fees.</w:t>
            </w:r>
          </w:p>
          <w:p w:rsidR="002D1540" w:rsidRPr="00943EA6"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szCs w:val="24"/>
                <w:lang w:val="en-US" w:eastAsia="en-US"/>
              </w:rPr>
              <w:lastRenderedPageBreak/>
              <w:t>- the Red Cross notion of non-profit refers to charitable and service organization who attempt to keep the overhead as low as possible so that most of their funding can go to the victims they are meant to help.</w:t>
            </w:r>
          </w:p>
          <w:p w:rsidR="00943EA6"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szCs w:val="24"/>
                <w:lang w:val="en-US" w:eastAsia="en-US"/>
              </w:rPr>
              <w:t>- can include charitable/service organizations</w:t>
            </w:r>
          </w:p>
          <w:p w:rsidR="00494D77" w:rsidRDefault="00992E34"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Pr>
                <w:rFonts w:asciiTheme="minorHAnsi" w:hAnsiTheme="minorHAnsi" w:cstheme="minorHAnsi"/>
                <w:szCs w:val="24"/>
                <w:lang w:val="en-US" w:eastAsia="en-US"/>
              </w:rPr>
              <w:t>The most i</w:t>
            </w:r>
            <w:r w:rsidR="00494D77">
              <w:rPr>
                <w:rFonts w:asciiTheme="minorHAnsi" w:hAnsiTheme="minorHAnsi" w:cstheme="minorHAnsi"/>
                <w:szCs w:val="24"/>
                <w:lang w:val="en-US" w:eastAsia="en-US"/>
              </w:rPr>
              <w:t xml:space="preserve">mportant criteria </w:t>
            </w:r>
            <w:proofErr w:type="gramStart"/>
            <w:r w:rsidR="00494D77">
              <w:rPr>
                <w:rFonts w:asciiTheme="minorHAnsi" w:hAnsiTheme="minorHAnsi" w:cstheme="minorHAnsi"/>
                <w:szCs w:val="24"/>
                <w:lang w:val="en-US" w:eastAsia="en-US"/>
              </w:rPr>
              <w:t>is</w:t>
            </w:r>
            <w:proofErr w:type="gramEnd"/>
            <w:r w:rsidR="00494D77">
              <w:rPr>
                <w:rFonts w:asciiTheme="minorHAnsi" w:hAnsiTheme="minorHAnsi" w:cstheme="minorHAnsi"/>
                <w:szCs w:val="24"/>
                <w:lang w:val="en-US" w:eastAsia="en-US"/>
              </w:rPr>
              <w:t xml:space="preserve"> the need</w:t>
            </w:r>
            <w:r>
              <w:rPr>
                <w:rFonts w:asciiTheme="minorHAnsi" w:hAnsiTheme="minorHAnsi" w:cstheme="minorHAnsi"/>
                <w:szCs w:val="24"/>
                <w:lang w:val="en-US" w:eastAsia="en-US"/>
              </w:rPr>
              <w:t>, than the intention of the string.</w:t>
            </w:r>
            <w:r w:rsidR="00494D77">
              <w:rPr>
                <w:rFonts w:asciiTheme="minorHAnsi" w:hAnsiTheme="minorHAnsi" w:cstheme="minorHAnsi"/>
                <w:szCs w:val="24"/>
                <w:lang w:val="en-US" w:eastAsia="en-US"/>
              </w:rPr>
              <w:t xml:space="preserve"> The form</w:t>
            </w:r>
            <w:r>
              <w:rPr>
                <w:rFonts w:asciiTheme="minorHAnsi" w:hAnsiTheme="minorHAnsi" w:cstheme="minorHAnsi"/>
                <w:szCs w:val="24"/>
                <w:lang w:val="en-US" w:eastAsia="en-US"/>
              </w:rPr>
              <w:t>/structure</w:t>
            </w:r>
            <w:r w:rsidR="00494D77">
              <w:rPr>
                <w:rFonts w:asciiTheme="minorHAnsi" w:hAnsiTheme="minorHAnsi" w:cstheme="minorHAnsi"/>
                <w:szCs w:val="24"/>
                <w:lang w:val="en-US" w:eastAsia="en-US"/>
              </w:rPr>
              <w:t xml:space="preserve"> of the applicant should not be as important. The intent of starting with ethnic/linguistic communities was to narrow the scope and gather political and other support for the initial round.</w:t>
            </w:r>
            <w:r>
              <w:rPr>
                <w:rFonts w:asciiTheme="minorHAnsi" w:hAnsiTheme="minorHAnsi" w:cstheme="minorHAnsi"/>
                <w:szCs w:val="24"/>
                <w:lang w:val="en-US" w:eastAsia="en-US"/>
              </w:rPr>
              <w:t xml:space="preserve"> It is reasonable to have prioritization criteria among the qualifying applicants.</w:t>
            </w:r>
          </w:p>
          <w:p w:rsidR="002D1540" w:rsidRPr="00806E2A" w:rsidRDefault="002D1540" w:rsidP="00494D77">
            <w:pPr>
              <w:widowControl w:val="0"/>
              <w:suppressAutoHyphens w:val="0"/>
              <w:autoSpaceDE w:val="0"/>
              <w:autoSpaceDN w:val="0"/>
              <w:adjustRightInd w:val="0"/>
              <w:spacing w:line="240" w:lineRule="auto"/>
              <w:rPr>
                <w:rFonts w:ascii="Helvetica" w:hAnsi="Helvetica" w:cs="Helvetica"/>
                <w:szCs w:val="24"/>
                <w:lang w:val="en-US" w:eastAsia="en-US"/>
              </w:rPr>
            </w:pPr>
          </w:p>
        </w:tc>
      </w:tr>
      <w:tr w:rsidR="002D1540" w:rsidRPr="00806E2A" w:rsidTr="002D1540">
        <w:tc>
          <w:tcPr>
            <w:tcW w:w="11160" w:type="dxa"/>
          </w:tcPr>
          <w:p w:rsidR="002D1540" w:rsidRDefault="002D1540"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r w:rsidRPr="00943EA6">
              <w:rPr>
                <w:rFonts w:asciiTheme="minorHAnsi" w:hAnsiTheme="minorHAnsi" w:cstheme="minorHAnsi"/>
                <w:b/>
                <w:szCs w:val="24"/>
                <w:lang w:val="en-US" w:eastAsia="en-US"/>
              </w:rPr>
              <w:lastRenderedPageBreak/>
              <w:t>WT2-5.</w:t>
            </w:r>
            <w:r w:rsidRPr="00943EA6">
              <w:rPr>
                <w:rFonts w:asciiTheme="minorHAnsi" w:hAnsiTheme="minorHAnsi" w:cstheme="minorHAnsi"/>
                <w:szCs w:val="24"/>
                <w:lang w:val="en-US" w:eastAsia="en-US"/>
              </w:rPr>
              <w:t xml:space="preserve"> Issue about information being globally available, </w:t>
            </w:r>
            <w:r w:rsidR="00943EA6" w:rsidRPr="00943EA6">
              <w:rPr>
                <w:rFonts w:asciiTheme="minorHAnsi" w:hAnsiTheme="minorHAnsi" w:cstheme="minorHAnsi"/>
                <w:szCs w:val="24"/>
                <w:lang w:val="en-US" w:eastAsia="en-US"/>
              </w:rPr>
              <w:t>especially</w:t>
            </w:r>
            <w:r w:rsidRPr="00943EA6">
              <w:rPr>
                <w:rFonts w:asciiTheme="minorHAnsi" w:hAnsiTheme="minorHAnsi" w:cstheme="minorHAnsi"/>
                <w:szCs w:val="24"/>
                <w:lang w:val="en-US" w:eastAsia="en-US"/>
              </w:rPr>
              <w:t xml:space="preserve"> to those that are not aware of ICANN; more education and comprehensive communication; live in-person seminars.</w:t>
            </w:r>
          </w:p>
          <w:p w:rsidR="00943EA6" w:rsidRDefault="00943EA6" w:rsidP="00943EA6">
            <w:pPr>
              <w:spacing w:line="240" w:lineRule="auto"/>
              <w:rPr>
                <w:rFonts w:asciiTheme="minorHAnsi" w:hAnsiTheme="minorHAnsi" w:cstheme="minorHAnsi"/>
                <w:b/>
                <w:color w:val="FF0000"/>
              </w:rPr>
            </w:pP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Pr="00943EA6" w:rsidRDefault="00943EA6" w:rsidP="00943EA6">
            <w:pPr>
              <w:widowControl w:val="0"/>
              <w:suppressAutoHyphens w:val="0"/>
              <w:autoSpaceDE w:val="0"/>
              <w:autoSpaceDN w:val="0"/>
              <w:adjustRightInd w:val="0"/>
              <w:spacing w:line="240" w:lineRule="auto"/>
              <w:rPr>
                <w:rFonts w:asciiTheme="minorHAnsi" w:hAnsiTheme="minorHAnsi" w:cstheme="minorHAnsi"/>
                <w:szCs w:val="24"/>
                <w:lang w:val="en-US" w:eastAsia="en-US"/>
              </w:rPr>
            </w:pPr>
          </w:p>
        </w:tc>
      </w:tr>
      <w:tr w:rsidR="002D1540" w:rsidRPr="00186AF4" w:rsidTr="002D1540">
        <w:tc>
          <w:tcPr>
            <w:tcW w:w="11160" w:type="dxa"/>
          </w:tcPr>
          <w:p w:rsidR="002D1540" w:rsidRDefault="002D1540" w:rsidP="00943EA6">
            <w:pPr>
              <w:spacing w:line="240" w:lineRule="auto"/>
              <w:rPr>
                <w:rFonts w:asciiTheme="minorHAnsi" w:hAnsiTheme="minorHAnsi" w:cstheme="minorHAnsi"/>
                <w:lang w:val="en-US" w:eastAsia="en-US"/>
              </w:rPr>
            </w:pPr>
            <w:r w:rsidRPr="00943EA6">
              <w:rPr>
                <w:rFonts w:asciiTheme="minorHAnsi" w:hAnsiTheme="minorHAnsi" w:cstheme="minorHAnsi"/>
                <w:b/>
                <w:szCs w:val="24"/>
                <w:lang w:val="en-US" w:eastAsia="en-US"/>
              </w:rPr>
              <w:t>WT2-6.</w:t>
            </w:r>
            <w:r w:rsidRPr="00943EA6">
              <w:rPr>
                <w:rFonts w:asciiTheme="minorHAnsi" w:hAnsiTheme="minorHAnsi" w:cstheme="minorHAnsi"/>
                <w:szCs w:val="24"/>
                <w:lang w:val="en-US" w:eastAsia="en-US"/>
              </w:rPr>
              <w:t xml:space="preserve"> </w:t>
            </w:r>
            <w:r w:rsidRPr="00943EA6">
              <w:rPr>
                <w:rFonts w:asciiTheme="minorHAnsi" w:hAnsiTheme="minorHAnsi" w:cstheme="minorHAnsi"/>
                <w:lang w:val="en-US" w:eastAsia="en-US"/>
              </w:rPr>
              <w:t>Comprehensive statement from African/</w:t>
            </w:r>
            <w:proofErr w:type="spellStart"/>
            <w:r w:rsidRPr="00943EA6">
              <w:rPr>
                <w:rFonts w:asciiTheme="minorHAnsi" w:hAnsiTheme="minorHAnsi" w:cstheme="minorHAnsi"/>
                <w:lang w:val="en-US" w:eastAsia="en-US"/>
              </w:rPr>
              <w:t>Afralo</w:t>
            </w:r>
            <w:proofErr w:type="spellEnd"/>
            <w:r w:rsidRPr="00943EA6">
              <w:rPr>
                <w:rFonts w:asciiTheme="minorHAnsi" w:hAnsiTheme="minorHAnsi" w:cstheme="minorHAnsi"/>
                <w:lang w:val="en-US" w:eastAsia="en-US"/>
              </w:rPr>
              <w:t xml:space="preserve"> about the extent of the support (financial, technical, linguistic, legal…); support is of utmost importance for geographic, cultural linguistic, and more generally community based applications; Since Africa is disadvantaged and lagging behind due to the digital divide, we strongly suggest that ICANN provides supplementary support and additional cost reduction for </w:t>
            </w:r>
            <w:proofErr w:type="spellStart"/>
            <w:r w:rsidRPr="00943EA6">
              <w:rPr>
                <w:rFonts w:asciiTheme="minorHAnsi" w:hAnsiTheme="minorHAnsi" w:cstheme="minorHAnsi"/>
                <w:lang w:val="en-US" w:eastAsia="en-US"/>
              </w:rPr>
              <w:t>gTLDs</w:t>
            </w:r>
            <w:proofErr w:type="spellEnd"/>
            <w:r w:rsidRPr="00943EA6">
              <w:rPr>
                <w:rFonts w:asciiTheme="minorHAnsi" w:hAnsiTheme="minorHAnsi" w:cstheme="minorHAnsi"/>
                <w:lang w:val="en-US" w:eastAsia="en-US"/>
              </w:rPr>
              <w:t xml:space="preserve"> applications from African countries</w:t>
            </w:r>
          </w:p>
          <w:p w:rsidR="00943EA6" w:rsidRDefault="00943EA6" w:rsidP="00943EA6">
            <w:pPr>
              <w:spacing w:line="240" w:lineRule="auto"/>
              <w:rPr>
                <w:rFonts w:asciiTheme="minorHAnsi" w:hAnsiTheme="minorHAnsi" w:cstheme="minorHAnsi"/>
                <w:lang w:val="en-US" w:eastAsia="en-US"/>
              </w:rPr>
            </w:pP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Pr="00943EA6" w:rsidRDefault="00943EA6" w:rsidP="00943EA6">
            <w:pPr>
              <w:spacing w:line="240" w:lineRule="auto"/>
              <w:rPr>
                <w:rFonts w:asciiTheme="minorHAnsi" w:hAnsiTheme="minorHAnsi" w:cstheme="minorHAnsi"/>
              </w:rPr>
            </w:pPr>
          </w:p>
        </w:tc>
      </w:tr>
    </w:tbl>
    <w:p w:rsidR="002D1540" w:rsidRDefault="002D1540"/>
    <w:tbl>
      <w:tblPr>
        <w:tblW w:w="111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160"/>
      </w:tblGrid>
      <w:tr w:rsidR="002D1540" w:rsidRPr="00806E2A" w:rsidTr="00943EA6">
        <w:tc>
          <w:tcPr>
            <w:tcW w:w="11160" w:type="dxa"/>
            <w:shd w:val="clear" w:color="auto" w:fill="B8CCE4" w:themeFill="accent1" w:themeFillTint="66"/>
          </w:tcPr>
          <w:p w:rsidR="002D1540" w:rsidRDefault="002D1540" w:rsidP="002D1540">
            <w:pPr>
              <w:spacing w:line="240" w:lineRule="auto"/>
              <w:rPr>
                <w:rFonts w:asciiTheme="minorHAnsi" w:hAnsiTheme="minorHAnsi" w:cstheme="minorHAnsi"/>
                <w:b/>
                <w:i/>
                <w:sz w:val="28"/>
                <w:szCs w:val="28"/>
              </w:rPr>
            </w:pPr>
            <w:r w:rsidRPr="002D1540">
              <w:rPr>
                <w:rFonts w:asciiTheme="minorHAnsi" w:hAnsiTheme="minorHAnsi" w:cstheme="minorHAnsi"/>
                <w:b/>
                <w:i/>
                <w:sz w:val="28"/>
                <w:szCs w:val="28"/>
              </w:rPr>
              <w:t xml:space="preserve">General </w:t>
            </w:r>
            <w:r w:rsidRPr="002D1540">
              <w:rPr>
                <w:rFonts w:asciiTheme="minorHAnsi" w:hAnsiTheme="minorHAnsi" w:cstheme="minorHAnsi"/>
                <w:b/>
                <w:i/>
                <w:sz w:val="28"/>
                <w:szCs w:val="28"/>
              </w:rPr>
              <w:t xml:space="preserve">Comment Received </w:t>
            </w:r>
            <w:r w:rsidRPr="002D1540">
              <w:rPr>
                <w:rFonts w:asciiTheme="minorHAnsi" w:hAnsiTheme="minorHAnsi" w:cstheme="minorHAnsi"/>
                <w:b/>
                <w:i/>
                <w:sz w:val="28"/>
                <w:szCs w:val="28"/>
              </w:rPr>
              <w:t>(non WT1 and  non WT2)</w:t>
            </w:r>
          </w:p>
          <w:p w:rsidR="002D1540" w:rsidRPr="002D1540" w:rsidRDefault="002D1540" w:rsidP="002D1540">
            <w:pPr>
              <w:spacing w:line="240" w:lineRule="auto"/>
              <w:rPr>
                <w:rFonts w:asciiTheme="minorHAnsi" w:hAnsiTheme="minorHAnsi" w:cstheme="minorHAnsi"/>
                <w:szCs w:val="24"/>
              </w:rPr>
            </w:pPr>
            <w:r w:rsidRPr="002D1540">
              <w:rPr>
                <w:rFonts w:asciiTheme="minorHAnsi" w:hAnsiTheme="minorHAnsi" w:cstheme="minorHAnsi"/>
                <w:b/>
                <w:i/>
                <w:szCs w:val="24"/>
              </w:rPr>
              <w:t xml:space="preserve">This is a summary of points raised for discussion and </w:t>
            </w:r>
            <w:r w:rsidRPr="002D1540">
              <w:rPr>
                <w:rFonts w:asciiTheme="minorHAnsi" w:hAnsiTheme="minorHAnsi" w:cstheme="minorHAnsi"/>
                <w:b/>
                <w:i/>
                <w:szCs w:val="24"/>
              </w:rPr>
              <w:t>reference only</w:t>
            </w:r>
            <w:r>
              <w:rPr>
                <w:rFonts w:asciiTheme="minorHAnsi" w:hAnsiTheme="minorHAnsi" w:cstheme="minorHAnsi"/>
                <w:b/>
                <w:i/>
                <w:szCs w:val="24"/>
              </w:rPr>
              <w:t>; not part of Final Proposal</w:t>
            </w:r>
          </w:p>
        </w:tc>
      </w:tr>
      <w:tr w:rsidR="002D1540" w:rsidRPr="00806E2A" w:rsidTr="00943EA6">
        <w:tc>
          <w:tcPr>
            <w:tcW w:w="11160" w:type="dxa"/>
          </w:tcPr>
          <w:p w:rsidR="002D1540" w:rsidRPr="002D1540" w:rsidRDefault="002D1540" w:rsidP="009A7AE5">
            <w:pPr>
              <w:spacing w:line="240" w:lineRule="auto"/>
              <w:rPr>
                <w:rFonts w:asciiTheme="minorHAnsi" w:hAnsiTheme="minorHAnsi" w:cstheme="minorHAnsi"/>
              </w:rPr>
            </w:pPr>
            <w:r w:rsidRPr="002D1540">
              <w:rPr>
                <w:rFonts w:asciiTheme="minorHAnsi" w:hAnsiTheme="minorHAnsi" w:cstheme="minorHAnsi"/>
                <w:b/>
              </w:rPr>
              <w:t>Other - 1.</w:t>
            </w:r>
            <w:r w:rsidRPr="002D1540">
              <w:rPr>
                <w:rFonts w:asciiTheme="minorHAnsi" w:hAnsiTheme="minorHAnsi" w:cstheme="minorHAnsi"/>
              </w:rPr>
              <w:t xml:space="preserve"> Criticism to the comp</w:t>
            </w:r>
            <w:r w:rsidRPr="002D1540">
              <w:rPr>
                <w:rFonts w:asciiTheme="minorHAnsi" w:hAnsiTheme="minorHAnsi" w:cstheme="minorHAnsi"/>
              </w:rPr>
              <w:t xml:space="preserve">lexity of the New </w:t>
            </w:r>
            <w:proofErr w:type="spellStart"/>
            <w:r w:rsidRPr="002D1540">
              <w:rPr>
                <w:rFonts w:asciiTheme="minorHAnsi" w:hAnsiTheme="minorHAnsi" w:cstheme="minorHAnsi"/>
              </w:rPr>
              <w:t>gTLD</w:t>
            </w:r>
            <w:proofErr w:type="spellEnd"/>
            <w:r w:rsidRPr="002D1540">
              <w:rPr>
                <w:rFonts w:asciiTheme="minorHAnsi" w:hAnsiTheme="minorHAnsi" w:cstheme="minorHAnsi"/>
              </w:rPr>
              <w:t xml:space="preserve"> process </w:t>
            </w:r>
            <w:r w:rsidRPr="002D1540">
              <w:rPr>
                <w:rFonts w:asciiTheme="minorHAnsi" w:hAnsiTheme="minorHAnsi" w:cstheme="minorHAnsi"/>
              </w:rPr>
              <w:t>as compared to early times – Postel, IANA...</w:t>
            </w:r>
          </w:p>
          <w:p w:rsidR="002D1540" w:rsidRPr="002D1540" w:rsidRDefault="002D1540" w:rsidP="009A7AE5">
            <w:pPr>
              <w:spacing w:line="240" w:lineRule="auto"/>
              <w:rPr>
                <w:rFonts w:asciiTheme="minorHAnsi" w:hAnsiTheme="minorHAnsi" w:cstheme="minorHAnsi"/>
              </w:rPr>
            </w:pP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2D1540" w:rsidRPr="00943EA6" w:rsidRDefault="002D1540" w:rsidP="002D1540">
            <w:pPr>
              <w:spacing w:line="240" w:lineRule="auto"/>
              <w:rPr>
                <w:rFonts w:asciiTheme="minorHAnsi" w:hAnsiTheme="minorHAnsi" w:cstheme="minorHAnsi"/>
                <w:i/>
              </w:rPr>
            </w:pPr>
            <w:r w:rsidRPr="00943EA6">
              <w:rPr>
                <w:rFonts w:asciiTheme="minorHAnsi" w:hAnsiTheme="minorHAnsi" w:cstheme="minorHAnsi"/>
                <w:i/>
                <w:highlight w:val="yellow"/>
              </w:rPr>
              <w:t xml:space="preserve">This comment is not directly related to this WG proposal. The current New </w:t>
            </w:r>
            <w:proofErr w:type="spellStart"/>
            <w:r w:rsidRPr="00943EA6">
              <w:rPr>
                <w:rFonts w:asciiTheme="minorHAnsi" w:hAnsiTheme="minorHAnsi" w:cstheme="minorHAnsi"/>
                <w:i/>
                <w:highlight w:val="yellow"/>
              </w:rPr>
              <w:t>gTLD</w:t>
            </w:r>
            <w:proofErr w:type="spellEnd"/>
            <w:r w:rsidRPr="00943EA6">
              <w:rPr>
                <w:rFonts w:asciiTheme="minorHAnsi" w:hAnsiTheme="minorHAnsi" w:cstheme="minorHAnsi"/>
                <w:i/>
                <w:highlight w:val="yellow"/>
              </w:rPr>
              <w:t xml:space="preserve"> Program is based on a Policy developed by the GNSO, approved by the Board in June 2008. This program is different than the previous rounds. Also, the IANA criteria process for assigning </w:t>
            </w:r>
            <w:proofErr w:type="spellStart"/>
            <w:r w:rsidRPr="00943EA6">
              <w:rPr>
                <w:rFonts w:asciiTheme="minorHAnsi" w:hAnsiTheme="minorHAnsi" w:cstheme="minorHAnsi"/>
                <w:i/>
                <w:highlight w:val="yellow"/>
              </w:rPr>
              <w:t>ccTLD</w:t>
            </w:r>
            <w:proofErr w:type="spellEnd"/>
            <w:r w:rsidRPr="00943EA6">
              <w:rPr>
                <w:rFonts w:asciiTheme="minorHAnsi" w:hAnsiTheme="minorHAnsi" w:cstheme="minorHAnsi"/>
                <w:i/>
                <w:highlight w:val="yellow"/>
              </w:rPr>
              <w:t xml:space="preserve"> delegation (during Postel time and beyond) is completely different.</w:t>
            </w:r>
            <w:r w:rsidRPr="00943EA6">
              <w:rPr>
                <w:rFonts w:asciiTheme="minorHAnsi" w:hAnsiTheme="minorHAnsi" w:cstheme="minorHAnsi"/>
                <w:i/>
              </w:rPr>
              <w:t xml:space="preserve"> </w:t>
            </w:r>
          </w:p>
        </w:tc>
      </w:tr>
      <w:tr w:rsidR="002D1540" w:rsidRPr="00806E2A" w:rsidTr="00943EA6">
        <w:tc>
          <w:tcPr>
            <w:tcW w:w="11160" w:type="dxa"/>
          </w:tcPr>
          <w:p w:rsidR="002D1540" w:rsidRDefault="002D1540" w:rsidP="009A7AE5">
            <w:pPr>
              <w:spacing w:line="240" w:lineRule="auto"/>
              <w:rPr>
                <w:rFonts w:asciiTheme="minorHAnsi" w:hAnsiTheme="minorHAnsi" w:cstheme="minorHAnsi"/>
              </w:rPr>
            </w:pPr>
            <w:r w:rsidRPr="00943EA6">
              <w:rPr>
                <w:rFonts w:asciiTheme="minorHAnsi" w:hAnsiTheme="minorHAnsi" w:cstheme="minorHAnsi"/>
                <w:b/>
              </w:rPr>
              <w:t>Other - 2.</w:t>
            </w:r>
            <w:r w:rsidRPr="002D1540">
              <w:rPr>
                <w:rFonts w:asciiTheme="minorHAnsi" w:hAnsiTheme="minorHAnsi" w:cstheme="minorHAnsi"/>
              </w:rPr>
              <w:t xml:space="preserve"> Criticism to ICANN’s public comment process</w:t>
            </w: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Pr="002D1540" w:rsidRDefault="00943EA6" w:rsidP="00943EA6">
            <w:pPr>
              <w:spacing w:line="240" w:lineRule="auto"/>
              <w:rPr>
                <w:rFonts w:asciiTheme="minorHAnsi" w:hAnsiTheme="minorHAnsi" w:cstheme="minorHAnsi"/>
              </w:rPr>
            </w:pPr>
            <w:r w:rsidRPr="00943EA6">
              <w:rPr>
                <w:rFonts w:asciiTheme="minorHAnsi" w:hAnsiTheme="minorHAnsi" w:cstheme="minorHAnsi"/>
                <w:i/>
                <w:highlight w:val="yellow"/>
              </w:rPr>
              <w:t>This comment is not directly related to this WG proposal.</w:t>
            </w:r>
          </w:p>
        </w:tc>
      </w:tr>
      <w:tr w:rsidR="002D1540" w:rsidRPr="00806E2A" w:rsidTr="00943EA6">
        <w:tc>
          <w:tcPr>
            <w:tcW w:w="11160" w:type="dxa"/>
          </w:tcPr>
          <w:p w:rsidR="002D1540" w:rsidRDefault="002D1540" w:rsidP="009A7AE5">
            <w:pPr>
              <w:spacing w:line="240" w:lineRule="auto"/>
              <w:rPr>
                <w:rFonts w:asciiTheme="minorHAnsi" w:hAnsiTheme="minorHAnsi" w:cstheme="minorHAnsi"/>
              </w:rPr>
            </w:pPr>
            <w:r w:rsidRPr="00943EA6">
              <w:rPr>
                <w:rFonts w:asciiTheme="minorHAnsi" w:hAnsiTheme="minorHAnsi" w:cstheme="minorHAnsi"/>
                <w:b/>
              </w:rPr>
              <w:t>Other - 3.</w:t>
            </w:r>
            <w:r w:rsidRPr="002D1540">
              <w:rPr>
                <w:rFonts w:asciiTheme="minorHAnsi" w:hAnsiTheme="minorHAnsi" w:cstheme="minorHAnsi"/>
              </w:rPr>
              <w:t xml:space="preserve"> AGB, v4 not aligned with Failover Plan</w:t>
            </w: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Pr="002D1540" w:rsidRDefault="00943EA6" w:rsidP="00943EA6">
            <w:pPr>
              <w:spacing w:line="240" w:lineRule="auto"/>
              <w:rPr>
                <w:rFonts w:asciiTheme="minorHAnsi" w:hAnsiTheme="minorHAnsi" w:cstheme="minorHAnsi"/>
              </w:rPr>
            </w:pPr>
          </w:p>
        </w:tc>
      </w:tr>
      <w:tr w:rsidR="002D1540" w:rsidRPr="00806E2A" w:rsidTr="00943EA6">
        <w:tc>
          <w:tcPr>
            <w:tcW w:w="11160" w:type="dxa"/>
          </w:tcPr>
          <w:p w:rsidR="002D1540" w:rsidRDefault="002D1540" w:rsidP="009A7AE5">
            <w:pPr>
              <w:spacing w:line="240" w:lineRule="auto"/>
              <w:rPr>
                <w:rFonts w:asciiTheme="minorHAnsi" w:hAnsiTheme="minorHAnsi" w:cstheme="minorHAnsi"/>
              </w:rPr>
            </w:pPr>
            <w:r w:rsidRPr="00943EA6">
              <w:rPr>
                <w:rFonts w:asciiTheme="minorHAnsi" w:hAnsiTheme="minorHAnsi" w:cstheme="minorHAnsi"/>
                <w:b/>
              </w:rPr>
              <w:t>Other - 4.</w:t>
            </w:r>
            <w:r w:rsidRPr="002D1540">
              <w:rPr>
                <w:rFonts w:asciiTheme="minorHAnsi" w:hAnsiTheme="minorHAnsi" w:cstheme="minorHAnsi"/>
              </w:rPr>
              <w:t xml:space="preserve">  Not every new TLD needs to be regarded as a </w:t>
            </w:r>
            <w:proofErr w:type="spellStart"/>
            <w:r w:rsidRPr="002D1540">
              <w:rPr>
                <w:rFonts w:asciiTheme="minorHAnsi" w:hAnsiTheme="minorHAnsi" w:cstheme="minorHAnsi"/>
              </w:rPr>
              <w:t>gTLD</w:t>
            </w:r>
            <w:proofErr w:type="spellEnd"/>
            <w:r w:rsidRPr="002D1540">
              <w:rPr>
                <w:rFonts w:asciiTheme="minorHAnsi" w:hAnsiTheme="minorHAnsi" w:cstheme="minorHAnsi"/>
              </w:rPr>
              <w:t xml:space="preserve">.  Cultural and Linguistic TLDs could well deserve their own unique class designation as </w:t>
            </w:r>
            <w:proofErr w:type="spellStart"/>
            <w:r w:rsidRPr="002D1540">
              <w:rPr>
                <w:rFonts w:asciiTheme="minorHAnsi" w:hAnsiTheme="minorHAnsi" w:cstheme="minorHAnsi"/>
              </w:rPr>
              <w:t>clTLDs</w:t>
            </w:r>
            <w:proofErr w:type="spellEnd"/>
            <w:r w:rsidRPr="002D1540">
              <w:rPr>
                <w:rFonts w:asciiTheme="minorHAnsi" w:hAnsiTheme="minorHAnsi" w:cstheme="minorHAnsi"/>
              </w:rPr>
              <w:t>.  A new class… a new approach… a new fast-track.</w:t>
            </w: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p w:rsidR="00943EA6" w:rsidRPr="002D1540" w:rsidRDefault="00943EA6" w:rsidP="00943EA6">
            <w:pPr>
              <w:spacing w:line="240" w:lineRule="auto"/>
              <w:rPr>
                <w:rFonts w:asciiTheme="minorHAnsi" w:hAnsiTheme="minorHAnsi" w:cstheme="minorHAnsi"/>
              </w:rPr>
            </w:pPr>
          </w:p>
        </w:tc>
      </w:tr>
      <w:tr w:rsidR="002D1540" w:rsidRPr="00806E2A" w:rsidTr="00943EA6">
        <w:tc>
          <w:tcPr>
            <w:tcW w:w="11160" w:type="dxa"/>
          </w:tcPr>
          <w:p w:rsidR="002D1540" w:rsidRDefault="002D1540" w:rsidP="009A7AE5">
            <w:pPr>
              <w:spacing w:line="240" w:lineRule="auto"/>
              <w:rPr>
                <w:rFonts w:asciiTheme="minorHAnsi" w:hAnsiTheme="minorHAnsi" w:cstheme="minorHAnsi"/>
              </w:rPr>
            </w:pPr>
            <w:r w:rsidRPr="00943EA6">
              <w:rPr>
                <w:rFonts w:asciiTheme="minorHAnsi" w:hAnsiTheme="minorHAnsi" w:cstheme="minorHAnsi"/>
                <w:b/>
              </w:rPr>
              <w:t>Other - 5.</w:t>
            </w:r>
            <w:r w:rsidRPr="002D1540">
              <w:rPr>
                <w:rFonts w:asciiTheme="minorHAnsi" w:hAnsiTheme="minorHAnsi" w:cstheme="minorHAnsi"/>
              </w:rPr>
              <w:t xml:space="preserve"> It would </w:t>
            </w:r>
            <w:proofErr w:type="spellStart"/>
            <w:r w:rsidRPr="002D1540">
              <w:rPr>
                <w:rFonts w:asciiTheme="minorHAnsi" w:hAnsiTheme="minorHAnsi" w:cstheme="minorHAnsi"/>
              </w:rPr>
              <w:t>behoove</w:t>
            </w:r>
            <w:proofErr w:type="spellEnd"/>
            <w:r w:rsidRPr="002D1540">
              <w:rPr>
                <w:rFonts w:asciiTheme="minorHAnsi" w:hAnsiTheme="minorHAnsi" w:cstheme="minorHAnsi"/>
              </w:rPr>
              <w:t xml:space="preserve"> the Applicant Support WG to interact with the Vertical Integration WG on the above to better define the exceptions category so that a combined recommendation might be offered to the </w:t>
            </w:r>
            <w:r w:rsidRPr="002D1540">
              <w:rPr>
                <w:rFonts w:asciiTheme="minorHAnsi" w:hAnsiTheme="minorHAnsi" w:cstheme="minorHAnsi"/>
              </w:rPr>
              <w:lastRenderedPageBreak/>
              <w:t>ICANN Board.  The WG will also need to evaluate whether an exception for the registry operator is to be preferred over a subsidization effort to support a new local registrar.</w:t>
            </w:r>
          </w:p>
          <w:p w:rsidR="00943EA6" w:rsidRPr="00943EA6" w:rsidRDefault="00943EA6" w:rsidP="00943EA6">
            <w:pPr>
              <w:spacing w:line="240" w:lineRule="auto"/>
              <w:rPr>
                <w:rFonts w:asciiTheme="minorHAnsi" w:hAnsiTheme="minorHAnsi" w:cstheme="minorHAnsi"/>
                <w:b/>
                <w:color w:val="FF0000"/>
              </w:rPr>
            </w:pPr>
            <w:r w:rsidRPr="002D1540">
              <w:rPr>
                <w:rFonts w:asciiTheme="minorHAnsi" w:hAnsiTheme="minorHAnsi" w:cstheme="minorHAnsi"/>
                <w:b/>
                <w:color w:val="FF0000"/>
              </w:rPr>
              <w:t>Discussion:</w:t>
            </w:r>
          </w:p>
        </w:tc>
      </w:tr>
    </w:tbl>
    <w:p w:rsidR="002D1540" w:rsidRDefault="002D1540"/>
    <w:sectPr w:rsidR="002D1540" w:rsidSect="009A1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AB9"/>
    <w:multiLevelType w:val="hybridMultilevel"/>
    <w:tmpl w:val="5D88A8BE"/>
    <w:lvl w:ilvl="0" w:tplc="04090001">
      <w:start w:val="1"/>
      <w:numFmt w:val="bullet"/>
      <w:lvlText w:val=""/>
      <w:lvlJc w:val="left"/>
      <w:pPr>
        <w:ind w:left="720" w:hanging="360"/>
      </w:pPr>
      <w:rPr>
        <w:rFonts w:ascii="Symbol" w:hAnsi="Symbol" w:hint="default"/>
      </w:rPr>
    </w:lvl>
    <w:lvl w:ilvl="1" w:tplc="16D42B8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F336A"/>
    <w:multiLevelType w:val="hybridMultilevel"/>
    <w:tmpl w:val="4D64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732"/>
    <w:rsid w:val="00005732"/>
    <w:rsid w:val="00015453"/>
    <w:rsid w:val="00200403"/>
    <w:rsid w:val="002D1540"/>
    <w:rsid w:val="003742E8"/>
    <w:rsid w:val="00480A0A"/>
    <w:rsid w:val="00494D77"/>
    <w:rsid w:val="00563496"/>
    <w:rsid w:val="00680E1C"/>
    <w:rsid w:val="006C6D9F"/>
    <w:rsid w:val="00706BBA"/>
    <w:rsid w:val="00724F73"/>
    <w:rsid w:val="007707E8"/>
    <w:rsid w:val="008C3B2A"/>
    <w:rsid w:val="009051FB"/>
    <w:rsid w:val="00943EA6"/>
    <w:rsid w:val="00992E34"/>
    <w:rsid w:val="009A1ED6"/>
    <w:rsid w:val="009A312A"/>
    <w:rsid w:val="00AA68A5"/>
    <w:rsid w:val="00DB53E1"/>
    <w:rsid w:val="00DE630B"/>
    <w:rsid w:val="00ED1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32"/>
    <w:pPr>
      <w:suppressAutoHyphens/>
      <w:spacing w:after="0" w:line="360" w:lineRule="auto"/>
    </w:pPr>
    <w:rPr>
      <w:rFonts w:ascii="Garamond" w:eastAsia="Times New Roman" w:hAnsi="Garamond"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73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05732"/>
    <w:pPr>
      <w:ind w:left="720"/>
      <w:contextualSpacing/>
    </w:pPr>
  </w:style>
  <w:style w:type="paragraph" w:styleId="NoSpacing">
    <w:name w:val="No Spacing"/>
    <w:uiPriority w:val="1"/>
    <w:qFormat/>
    <w:rsid w:val="00563496"/>
    <w:pPr>
      <w:suppressAutoHyphens/>
      <w:spacing w:after="0" w:line="240" w:lineRule="auto"/>
    </w:pPr>
    <w:rPr>
      <w:rFonts w:ascii="Garamond" w:eastAsia="Times New Roman" w:hAnsi="Garamond" w:cs="Times New Roman"/>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5C0C-A132-45F4-8731-5B3C9EC0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2010-08-17T02:00:00Z</cp:lastPrinted>
  <dcterms:created xsi:type="dcterms:W3CDTF">2010-08-16T22:45:00Z</dcterms:created>
  <dcterms:modified xsi:type="dcterms:W3CDTF">2010-08-17T08:25:00Z</dcterms:modified>
</cp:coreProperties>
</file>