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825" w:rsidRPr="00AF2117" w:rsidRDefault="00FE4825">
      <w:pPr>
        <w:rPr>
          <w:rFonts w:ascii="Cambria" w:hAnsi="Cambria"/>
          <w:b/>
          <w:bCs/>
          <w:color w:val="365F91"/>
        </w:rPr>
      </w:pPr>
      <w:r w:rsidRPr="00A529A8">
        <w:rPr>
          <w:rFonts w:ascii="Cambria" w:hAnsi="Cambria"/>
          <w:b/>
          <w:bCs/>
          <w:color w:val="365F91"/>
        </w:rPr>
        <w:t xml:space="preserve">Topic:  </w:t>
      </w:r>
      <w:r w:rsidR="00541998">
        <w:rPr>
          <w:rFonts w:ascii="Cambria" w:hAnsi="Cambria"/>
          <w:b/>
          <w:bCs/>
          <w:color w:val="365F91"/>
        </w:rPr>
        <w:t>New gTLD Applicant Support</w:t>
      </w:r>
    </w:p>
    <w:p w:rsidR="00FE4825" w:rsidRDefault="00FE4825" w:rsidP="00A529A8">
      <w:pPr>
        <w:pStyle w:val="Heading1"/>
      </w:pPr>
      <w:r w:rsidRPr="00A529A8">
        <w:rPr>
          <w:sz w:val="24"/>
          <w:szCs w:val="24"/>
        </w:rPr>
        <w:t>Current environment:</w:t>
      </w:r>
    </w:p>
    <w:p w:rsidR="00FE4825" w:rsidRDefault="00FE4825"/>
    <w:p w:rsidR="0056197E" w:rsidRDefault="00C25B60" w:rsidP="00335965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The summary below is based on the snapshot posted for comments prior to the Brussels meeting. </w:t>
      </w:r>
      <w:r w:rsidR="0017713C">
        <w:rPr>
          <w:rFonts w:ascii="Calibri" w:hAnsi="Calibri"/>
        </w:rPr>
        <w:t xml:space="preserve">The JAS WG </w:t>
      </w:r>
      <w:r>
        <w:rPr>
          <w:rFonts w:ascii="Calibri" w:hAnsi="Calibri"/>
        </w:rPr>
        <w:t>is still working on</w:t>
      </w:r>
      <w:r w:rsidR="0017713C">
        <w:rPr>
          <w:rFonts w:ascii="Calibri" w:hAnsi="Calibri"/>
        </w:rPr>
        <w:t xml:space="preserve"> a</w:t>
      </w:r>
      <w:r w:rsidR="00FC0A2A">
        <w:rPr>
          <w:rFonts w:ascii="Calibri" w:hAnsi="Calibri"/>
        </w:rPr>
        <w:t xml:space="preserve"> </w:t>
      </w:r>
      <w:r w:rsidR="00FC0A2A" w:rsidRPr="00D62A3B">
        <w:rPr>
          <w:rFonts w:ascii="Calibri" w:hAnsi="Calibri"/>
          <w:u w:val="single"/>
        </w:rPr>
        <w:t>Final Report</w:t>
      </w:r>
      <w:r w:rsidR="0056197E">
        <w:rPr>
          <w:rFonts w:ascii="Calibri" w:hAnsi="Calibri"/>
        </w:rPr>
        <w:t xml:space="preserve"> incorporating C</w:t>
      </w:r>
      <w:r w:rsidR="00FC0A2A">
        <w:rPr>
          <w:rFonts w:ascii="Calibri" w:hAnsi="Calibri"/>
        </w:rPr>
        <w:t xml:space="preserve">ommunity feedback during </w:t>
      </w:r>
      <w:r w:rsidR="0056197E">
        <w:rPr>
          <w:rFonts w:ascii="Calibri" w:hAnsi="Calibri"/>
        </w:rPr>
        <w:t>the Brussels ICANN Meeting and from a</w:t>
      </w:r>
      <w:r w:rsidR="00FC0A2A">
        <w:rPr>
          <w:rFonts w:ascii="Calibri" w:hAnsi="Calibri"/>
        </w:rPr>
        <w:t xml:space="preserve"> dedicated Public Comment period in 6 languages that ended on August 23. </w:t>
      </w:r>
    </w:p>
    <w:p w:rsidR="00C25B60" w:rsidRDefault="00FC0A2A" w:rsidP="00C25B60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The Final Report is </w:t>
      </w:r>
      <w:r w:rsidR="00C25B60">
        <w:rPr>
          <w:rFonts w:ascii="Calibri" w:hAnsi="Calibri"/>
        </w:rPr>
        <w:t>expected to be published at the end of September.</w:t>
      </w:r>
      <w:r>
        <w:rPr>
          <w:rFonts w:ascii="Calibri" w:hAnsi="Calibri"/>
        </w:rPr>
        <w:t xml:space="preserve"> </w:t>
      </w:r>
      <w:r w:rsidR="00C25B60">
        <w:rPr>
          <w:rFonts w:ascii="Calibri" w:hAnsi="Calibri"/>
        </w:rPr>
        <w:t xml:space="preserve">Although no major changes are expected from the summary below, the WG continues to refine the language. Furthermore, the WG recognizes considerable implementation work will be </w:t>
      </w:r>
      <w:r>
        <w:rPr>
          <w:rFonts w:ascii="Calibri" w:hAnsi="Calibri"/>
        </w:rPr>
        <w:t>needed</w:t>
      </w:r>
      <w:r w:rsidR="00C25B6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and a list of next steps </w:t>
      </w:r>
      <w:r w:rsidR="00C25B60">
        <w:rPr>
          <w:rFonts w:ascii="Calibri" w:hAnsi="Calibri"/>
        </w:rPr>
        <w:t xml:space="preserve">will be </w:t>
      </w:r>
      <w:r>
        <w:rPr>
          <w:rFonts w:ascii="Calibri" w:hAnsi="Calibri"/>
        </w:rPr>
        <w:t xml:space="preserve">identified in the Final </w:t>
      </w:r>
      <w:r w:rsidR="00C25B60">
        <w:rPr>
          <w:rFonts w:ascii="Calibri" w:hAnsi="Calibri"/>
        </w:rPr>
        <w:t>R</w:t>
      </w:r>
      <w:r>
        <w:rPr>
          <w:rFonts w:ascii="Calibri" w:hAnsi="Calibri"/>
        </w:rPr>
        <w:t xml:space="preserve">eport. </w:t>
      </w:r>
    </w:p>
    <w:p w:rsidR="00FE4825" w:rsidRPr="00C25B60" w:rsidRDefault="00C25B60" w:rsidP="00C25B60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17713C">
        <w:rPr>
          <w:rFonts w:ascii="Calibri" w:hAnsi="Calibri"/>
        </w:rPr>
        <w:t>Join SO/AC Working Group</w:t>
      </w:r>
      <w:r>
        <w:rPr>
          <w:rFonts w:ascii="Calibri" w:hAnsi="Calibri"/>
        </w:rPr>
        <w:t xml:space="preserve"> (JAS WG) was formed </w:t>
      </w:r>
      <w:r w:rsidRPr="0017713C">
        <w:rPr>
          <w:rFonts w:ascii="Calibri" w:hAnsi="Calibri"/>
        </w:rPr>
        <w:t xml:space="preserve">in response to an ICANN Board Resolution in Nairobi, inviting the community </w:t>
      </w:r>
      <w:r w:rsidRPr="0017713C">
        <w:rPr>
          <w:rFonts w:ascii="Calibri" w:hAnsi="Calibri"/>
          <w:i/>
        </w:rPr>
        <w:t xml:space="preserve">"to develop a sustainable approach to providing support to applicants requiring assistance in applying for and operating new gTLDs." </w:t>
      </w:r>
    </w:p>
    <w:p w:rsidR="00FE4825" w:rsidRDefault="00FE4825" w:rsidP="00A529A8">
      <w:pPr>
        <w:pStyle w:val="Heading1"/>
        <w:rPr>
          <w:sz w:val="24"/>
          <w:szCs w:val="24"/>
        </w:rPr>
      </w:pPr>
      <w:r w:rsidRPr="00A529A8">
        <w:rPr>
          <w:sz w:val="24"/>
          <w:szCs w:val="24"/>
        </w:rPr>
        <w:t>Recent developments:</w:t>
      </w:r>
    </w:p>
    <w:p w:rsidR="00335965" w:rsidRDefault="00335965" w:rsidP="00335965"/>
    <w:p w:rsidR="00D62A3B" w:rsidRDefault="00D62A3B" w:rsidP="00ED7EF3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Consultations:</w:t>
      </w:r>
    </w:p>
    <w:p w:rsidR="00D62A3B" w:rsidRDefault="00FC0A2A" w:rsidP="00D62A3B">
      <w:pPr>
        <w:pStyle w:val="ListParagraph"/>
        <w:numPr>
          <w:ilvl w:val="1"/>
          <w:numId w:val="4"/>
        </w:numPr>
        <w:rPr>
          <w:rFonts w:ascii="Calibri" w:hAnsi="Calibri"/>
        </w:rPr>
      </w:pPr>
      <w:r>
        <w:rPr>
          <w:rFonts w:ascii="Calibri" w:hAnsi="Calibri"/>
        </w:rPr>
        <w:t xml:space="preserve">ICANN Brussels live event </w:t>
      </w:r>
      <w:r w:rsidR="00D62A3B">
        <w:rPr>
          <w:rFonts w:ascii="Calibri" w:hAnsi="Calibri"/>
        </w:rPr>
        <w:t>– June 23</w:t>
      </w:r>
    </w:p>
    <w:p w:rsidR="00FC0A2A" w:rsidRPr="00D62A3B" w:rsidRDefault="00FC0A2A" w:rsidP="00D62A3B">
      <w:pPr>
        <w:pStyle w:val="ListParagraph"/>
        <w:numPr>
          <w:ilvl w:val="1"/>
          <w:numId w:val="4"/>
        </w:numPr>
        <w:rPr>
          <w:rFonts w:ascii="Calibri" w:hAnsi="Calibri"/>
        </w:rPr>
      </w:pPr>
      <w:r w:rsidRPr="00D62A3B">
        <w:rPr>
          <w:rFonts w:ascii="Calibri" w:hAnsi="Calibri"/>
        </w:rPr>
        <w:t>Public Comment period</w:t>
      </w:r>
      <w:r w:rsidR="00D62A3B">
        <w:rPr>
          <w:rFonts w:ascii="Calibri" w:hAnsi="Calibri"/>
        </w:rPr>
        <w:t xml:space="preserve"> – June 16 to August 23</w:t>
      </w:r>
    </w:p>
    <w:p w:rsidR="00D62A3B" w:rsidRPr="00563546" w:rsidRDefault="00D62A3B" w:rsidP="00D62A3B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 xml:space="preserve">Drafting of Public Comment Summary and Analysis </w:t>
      </w:r>
    </w:p>
    <w:p w:rsidR="00FC0A2A" w:rsidRDefault="00FC0A2A" w:rsidP="00ED7EF3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Drafting of Final Report</w:t>
      </w:r>
    </w:p>
    <w:p w:rsidR="00FE4825" w:rsidRPr="00A529A8" w:rsidRDefault="00FE4825" w:rsidP="00A529A8">
      <w:pPr>
        <w:pStyle w:val="Heading1"/>
        <w:rPr>
          <w:sz w:val="24"/>
          <w:szCs w:val="24"/>
        </w:rPr>
      </w:pPr>
      <w:r w:rsidRPr="00A529A8">
        <w:rPr>
          <w:sz w:val="24"/>
          <w:szCs w:val="24"/>
        </w:rPr>
        <w:t>Recommendation</w:t>
      </w:r>
      <w:r w:rsidR="00D62A3B">
        <w:rPr>
          <w:sz w:val="24"/>
          <w:szCs w:val="24"/>
        </w:rPr>
        <w:t xml:space="preserve"> Summary</w:t>
      </w:r>
      <w:r w:rsidRPr="00A529A8">
        <w:rPr>
          <w:sz w:val="24"/>
          <w:szCs w:val="24"/>
        </w:rPr>
        <w:t>:</w:t>
      </w:r>
    </w:p>
    <w:p w:rsidR="00FE4825" w:rsidRDefault="00FE4825"/>
    <w:p w:rsidR="00D62A3B" w:rsidRDefault="00D62A3B" w:rsidP="00FE4825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The WG decided </w:t>
      </w:r>
      <w:r w:rsidRPr="00A96644">
        <w:rPr>
          <w:rFonts w:asciiTheme="minorHAnsi" w:hAnsiTheme="minorHAnsi" w:cstheme="minorHAnsi"/>
        </w:rPr>
        <w:t>that the initial focus should be on finding a relatively limited</w:t>
      </w:r>
      <w:r w:rsidR="0056197E">
        <w:rPr>
          <w:rFonts w:asciiTheme="minorHAnsi" w:hAnsiTheme="minorHAnsi" w:cstheme="minorHAnsi"/>
        </w:rPr>
        <w:t xml:space="preserve"> and</w:t>
      </w:r>
      <w:r w:rsidRPr="00A96644">
        <w:rPr>
          <w:rFonts w:asciiTheme="minorHAnsi" w:hAnsiTheme="minorHAnsi" w:cstheme="minorHAnsi"/>
        </w:rPr>
        <w:t xml:space="preserve"> identifiable set of potential applicants that would be not controversial to support</w:t>
      </w:r>
      <w:r>
        <w:rPr>
          <w:rFonts w:ascii="Calibri" w:hAnsi="Calibri"/>
        </w:rPr>
        <w:t>.</w:t>
      </w:r>
      <w:r w:rsidRPr="007C21BD">
        <w:rPr>
          <w:rFonts w:ascii="Calibri" w:hAnsi="Calibri"/>
        </w:rPr>
        <w:t xml:space="preserve"> </w:t>
      </w:r>
    </w:p>
    <w:p w:rsidR="000024EC" w:rsidRPr="00D62A3B" w:rsidRDefault="00FC0A2A" w:rsidP="00D62A3B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The JAS WG recommendations summarized below </w:t>
      </w:r>
      <w:r w:rsidR="00D62A3B">
        <w:rPr>
          <w:rFonts w:ascii="Calibri" w:hAnsi="Calibri"/>
        </w:rPr>
        <w:t xml:space="preserve">can be </w:t>
      </w:r>
      <w:r>
        <w:rPr>
          <w:rFonts w:ascii="Calibri" w:hAnsi="Calibri"/>
        </w:rPr>
        <w:t>divided in t</w:t>
      </w:r>
      <w:r w:rsidR="00D052BA">
        <w:rPr>
          <w:rFonts w:ascii="Calibri" w:hAnsi="Calibri"/>
        </w:rPr>
        <w:t xml:space="preserve">hree </w:t>
      </w:r>
      <w:r>
        <w:rPr>
          <w:rFonts w:ascii="Calibri" w:hAnsi="Calibri"/>
        </w:rPr>
        <w:t>parts: (</w:t>
      </w:r>
      <w:r w:rsidR="00FA17C5">
        <w:rPr>
          <w:rFonts w:ascii="Calibri" w:hAnsi="Calibri"/>
        </w:rPr>
        <w:t>A</w:t>
      </w:r>
      <w:r>
        <w:rPr>
          <w:rFonts w:ascii="Calibri" w:hAnsi="Calibri"/>
        </w:rPr>
        <w:t xml:space="preserve">) </w:t>
      </w:r>
      <w:r w:rsidR="00D052BA">
        <w:rPr>
          <w:rFonts w:ascii="Calibri" w:hAnsi="Calibri"/>
        </w:rPr>
        <w:t>a</w:t>
      </w:r>
      <w:r w:rsidR="00FA17C5">
        <w:rPr>
          <w:rFonts w:ascii="Calibri" w:hAnsi="Calibri"/>
        </w:rPr>
        <w:t xml:space="preserve">pplication fee aspects; </w:t>
      </w:r>
      <w:r>
        <w:rPr>
          <w:rFonts w:ascii="Calibri" w:hAnsi="Calibri"/>
        </w:rPr>
        <w:t>(</w:t>
      </w:r>
      <w:r w:rsidR="00FA17C5">
        <w:rPr>
          <w:rFonts w:ascii="Calibri" w:hAnsi="Calibri"/>
        </w:rPr>
        <w:t>B</w:t>
      </w:r>
      <w:r>
        <w:rPr>
          <w:rFonts w:ascii="Calibri" w:hAnsi="Calibri"/>
        </w:rPr>
        <w:t xml:space="preserve">) </w:t>
      </w:r>
      <w:r w:rsidR="00FA17C5" w:rsidRPr="00E16D80">
        <w:rPr>
          <w:rFonts w:asciiTheme="minorHAnsi" w:hAnsiTheme="minorHAnsi" w:cstheme="minorHAnsi"/>
          <w:szCs w:val="24"/>
        </w:rPr>
        <w:t>which applicants would be entitled to special support</w:t>
      </w:r>
      <w:r w:rsidR="00D052BA">
        <w:rPr>
          <w:rFonts w:asciiTheme="minorHAnsi" w:hAnsiTheme="minorHAnsi" w:cstheme="minorHAnsi"/>
          <w:szCs w:val="24"/>
        </w:rPr>
        <w:t>; (C) w</w:t>
      </w:r>
      <w:r w:rsidR="00FA17C5" w:rsidRPr="00E16D80">
        <w:rPr>
          <w:rFonts w:asciiTheme="minorHAnsi" w:hAnsiTheme="minorHAnsi" w:cstheme="minorHAnsi"/>
          <w:szCs w:val="24"/>
        </w:rPr>
        <w:t>hat nature the support could be</w:t>
      </w:r>
      <w:r>
        <w:rPr>
          <w:rFonts w:ascii="Calibri" w:hAnsi="Calibri"/>
        </w:rPr>
        <w:t xml:space="preserve">. </w:t>
      </w:r>
    </w:p>
    <w:p w:rsidR="00D052BA" w:rsidRDefault="00D052BA" w:rsidP="00D052BA">
      <w:pPr>
        <w:pStyle w:val="ListParagraph"/>
        <w:rPr>
          <w:rFonts w:ascii="Calibri" w:hAnsi="Calibri"/>
        </w:rPr>
      </w:pPr>
    </w:p>
    <w:p w:rsidR="00FA17C5" w:rsidRPr="00FA17C5" w:rsidRDefault="00FA17C5" w:rsidP="00FA17C5">
      <w:pPr>
        <w:pStyle w:val="ListParagraph"/>
        <w:numPr>
          <w:ilvl w:val="1"/>
          <w:numId w:val="2"/>
        </w:numPr>
        <w:rPr>
          <w:rFonts w:ascii="Calibri" w:hAnsi="Calibri"/>
          <w:b/>
        </w:rPr>
      </w:pPr>
      <w:r w:rsidRPr="00FA17C5">
        <w:rPr>
          <w:rFonts w:ascii="Calibri" w:hAnsi="Calibri"/>
          <w:b/>
        </w:rPr>
        <w:t>Application fee aspects</w:t>
      </w:r>
    </w:p>
    <w:p w:rsidR="00FA17C5" w:rsidRDefault="00FA17C5" w:rsidP="00D62A3B">
      <w:pPr>
        <w:pStyle w:val="BodyText"/>
        <w:numPr>
          <w:ilvl w:val="2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FA17C5">
        <w:rPr>
          <w:rFonts w:asciiTheme="minorHAnsi" w:hAnsiTheme="minorHAnsi" w:cstheme="minorHAnsi"/>
        </w:rPr>
        <w:t>Waive the cost of Program Development (US$26,000) for selected entities qualifying for financial assistance</w:t>
      </w:r>
      <w:r w:rsidR="0056197E">
        <w:rPr>
          <w:rFonts w:asciiTheme="minorHAnsi" w:hAnsiTheme="minorHAnsi" w:cstheme="minorHAnsi"/>
        </w:rPr>
        <w:t>;</w:t>
      </w:r>
    </w:p>
    <w:p w:rsidR="00FA17C5" w:rsidRDefault="00FA17C5" w:rsidP="00D62A3B">
      <w:pPr>
        <w:pStyle w:val="BodyText"/>
        <w:numPr>
          <w:ilvl w:val="2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FA17C5">
        <w:rPr>
          <w:rFonts w:asciiTheme="minorHAnsi" w:hAnsiTheme="minorHAnsi" w:cstheme="minorHAnsi"/>
        </w:rPr>
        <w:t>Staggered Fees.</w:t>
      </w:r>
      <w:r w:rsidR="0056197E">
        <w:rPr>
          <w:rFonts w:asciiTheme="minorHAnsi" w:hAnsiTheme="minorHAnsi" w:cstheme="minorHAnsi"/>
        </w:rPr>
        <w:t xml:space="preserve"> </w:t>
      </w:r>
      <w:r w:rsidRPr="00FA17C5">
        <w:rPr>
          <w:rFonts w:asciiTheme="minorHAnsi" w:hAnsiTheme="minorHAnsi" w:cstheme="minorHAnsi"/>
        </w:rPr>
        <w:t xml:space="preserve">Instead of paying the entire fee upon acceptance of the applications, applicants meeting the criteria established for support could pay the fees incrementally (perhaps following </w:t>
      </w:r>
      <w:r w:rsidR="0056197E">
        <w:rPr>
          <w:rFonts w:asciiTheme="minorHAnsi" w:hAnsiTheme="minorHAnsi" w:cstheme="minorHAnsi"/>
        </w:rPr>
        <w:t>the refund schedule in reverse);</w:t>
      </w:r>
      <w:r w:rsidRPr="00FA17C5">
        <w:rPr>
          <w:rFonts w:asciiTheme="minorHAnsi" w:hAnsiTheme="minorHAnsi" w:cstheme="minorHAnsi"/>
        </w:rPr>
        <w:t xml:space="preserve"> </w:t>
      </w:r>
    </w:p>
    <w:p w:rsidR="00FA17C5" w:rsidRDefault="00FA17C5" w:rsidP="00D62A3B">
      <w:pPr>
        <w:pStyle w:val="BodyText"/>
        <w:numPr>
          <w:ilvl w:val="2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FA17C5">
        <w:rPr>
          <w:rFonts w:asciiTheme="minorHAnsi" w:hAnsiTheme="minorHAnsi" w:cstheme="minorHAnsi"/>
        </w:rPr>
        <w:lastRenderedPageBreak/>
        <w:t>Auction Proceeds.</w:t>
      </w:r>
      <w:r w:rsidR="0056197E">
        <w:rPr>
          <w:rFonts w:asciiTheme="minorHAnsi" w:hAnsiTheme="minorHAnsi" w:cstheme="minorHAnsi"/>
        </w:rPr>
        <w:t xml:space="preserve"> </w:t>
      </w:r>
      <w:r w:rsidRPr="00FA17C5">
        <w:rPr>
          <w:rFonts w:asciiTheme="minorHAnsi" w:hAnsiTheme="minorHAnsi" w:cstheme="minorHAnsi"/>
        </w:rPr>
        <w:t>Qualified applicants receive a partial refund from any auction proceeds</w:t>
      </w:r>
      <w:r>
        <w:rPr>
          <w:rFonts w:asciiTheme="minorHAnsi" w:hAnsiTheme="minorHAnsi" w:cstheme="minorHAnsi"/>
        </w:rPr>
        <w:t xml:space="preserve">, </w:t>
      </w:r>
      <w:r w:rsidRPr="00FA17C5">
        <w:rPr>
          <w:rFonts w:asciiTheme="minorHAnsi" w:hAnsiTheme="minorHAnsi" w:cstheme="minorHAnsi"/>
        </w:rPr>
        <w:t xml:space="preserve">for which they can repay any loans or invest into their registry, or the auction proceeds could be used to refill the disadvantaged </w:t>
      </w:r>
      <w:r>
        <w:rPr>
          <w:rFonts w:asciiTheme="minorHAnsi" w:hAnsiTheme="minorHAnsi" w:cstheme="minorHAnsi"/>
        </w:rPr>
        <w:t xml:space="preserve">applicant’s foundation fund for </w:t>
      </w:r>
      <w:r w:rsidR="0056197E">
        <w:rPr>
          <w:rFonts w:asciiTheme="minorHAnsi" w:hAnsiTheme="minorHAnsi" w:cstheme="minorHAnsi"/>
        </w:rPr>
        <w:t>subsequent rounds;</w:t>
      </w:r>
    </w:p>
    <w:p w:rsidR="00FA17C5" w:rsidRDefault="00FA17C5" w:rsidP="00D62A3B">
      <w:pPr>
        <w:pStyle w:val="BodyText"/>
        <w:numPr>
          <w:ilvl w:val="2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FA17C5">
        <w:rPr>
          <w:rFonts w:asciiTheme="minorHAnsi" w:hAnsiTheme="minorHAnsi" w:cstheme="minorHAnsi"/>
        </w:rPr>
        <w:t>Lower the Registry fixed fees due to ICANN. In lieu of the Registry-Level fixed fee of US$25,000 per calendar year</w:t>
      </w:r>
      <w:r>
        <w:rPr>
          <w:rFonts w:asciiTheme="minorHAnsi" w:hAnsiTheme="minorHAnsi" w:cstheme="minorHAnsi"/>
        </w:rPr>
        <w:t>,</w:t>
      </w:r>
      <w:r w:rsidRPr="00FA17C5">
        <w:rPr>
          <w:rFonts w:asciiTheme="minorHAnsi" w:hAnsiTheme="minorHAnsi" w:cstheme="minorHAnsi"/>
        </w:rPr>
        <w:t xml:space="preserve"> instead only charge the Registry-Level Transaction Fee per initial or renewal domain name registration to a fee comparable to a minimum used for other gTLDs. If a minimum is absolutely required, then lower this fee to 3</w:t>
      </w:r>
      <w:r w:rsidR="0056197E">
        <w:rPr>
          <w:rFonts w:asciiTheme="minorHAnsi" w:hAnsiTheme="minorHAnsi" w:cstheme="minorHAnsi"/>
        </w:rPr>
        <w:t>0% for qualified applicants;</w:t>
      </w:r>
    </w:p>
    <w:p w:rsidR="00D052BA" w:rsidRDefault="00FA17C5" w:rsidP="00D62A3B">
      <w:pPr>
        <w:pStyle w:val="BodyText"/>
        <w:numPr>
          <w:ilvl w:val="2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D052BA">
        <w:rPr>
          <w:rFonts w:asciiTheme="minorHAnsi" w:hAnsiTheme="minorHAnsi" w:cstheme="minorHAnsi"/>
        </w:rPr>
        <w:t>Reconsider the Risk/Contingency cost per applicant (US$60,000).</w:t>
      </w:r>
      <w:r w:rsidRPr="00FA17C5">
        <w:rPr>
          <w:rFonts w:asciiTheme="minorHAnsi" w:hAnsiTheme="minorHAnsi" w:cstheme="minorHAnsi"/>
        </w:rPr>
        <w:t xml:space="preserve">  This fee should be eliminated for applicants that meet the criteria established by the WG. If elimination is not possible, then it should be drastically reduced.</w:t>
      </w:r>
    </w:p>
    <w:p w:rsidR="00D052BA" w:rsidRDefault="00FA17C5" w:rsidP="00D62A3B">
      <w:pPr>
        <w:pStyle w:val="BodyText"/>
        <w:numPr>
          <w:ilvl w:val="2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D052BA">
        <w:rPr>
          <w:rFonts w:asciiTheme="minorHAnsi" w:hAnsiTheme="minorHAnsi" w:cstheme="minorHAnsi"/>
        </w:rPr>
        <w:t>The Fixed/Variable cost of US$100,000 is based on a total cost of a previous round of applications and might not be relevant to the ne</w:t>
      </w:r>
      <w:r w:rsidR="00D62A3B">
        <w:rPr>
          <w:rFonts w:asciiTheme="minorHAnsi" w:hAnsiTheme="minorHAnsi" w:cstheme="minorHAnsi"/>
        </w:rPr>
        <w:t xml:space="preserve">w gtld applicants and this cost </w:t>
      </w:r>
      <w:r w:rsidRPr="00D052BA">
        <w:rPr>
          <w:rFonts w:asciiTheme="minorHAnsi" w:hAnsiTheme="minorHAnsi" w:cstheme="minorHAnsi"/>
        </w:rPr>
        <w:t>should be reduced for applicants that meet the criteria established by the WG.</w:t>
      </w:r>
    </w:p>
    <w:p w:rsidR="00D052BA" w:rsidRDefault="00D052BA" w:rsidP="00D052BA">
      <w:pPr>
        <w:pStyle w:val="BodyText"/>
        <w:spacing w:after="0" w:line="240" w:lineRule="auto"/>
        <w:ind w:left="2160"/>
        <w:rPr>
          <w:rFonts w:asciiTheme="minorHAnsi" w:hAnsiTheme="minorHAnsi" w:cstheme="minorHAnsi"/>
        </w:rPr>
      </w:pPr>
    </w:p>
    <w:p w:rsidR="00D052BA" w:rsidRDefault="00D052BA" w:rsidP="00D052BA">
      <w:pPr>
        <w:pStyle w:val="BodyText"/>
        <w:spacing w:after="0" w:line="240" w:lineRule="auto"/>
        <w:ind w:left="1800"/>
        <w:rPr>
          <w:rFonts w:asciiTheme="minorHAnsi" w:hAnsiTheme="minorHAnsi" w:cstheme="minorHAnsi"/>
        </w:rPr>
      </w:pPr>
      <w:r w:rsidRPr="00D052BA">
        <w:rPr>
          <w:rFonts w:asciiTheme="minorHAnsi" w:hAnsiTheme="minorHAnsi" w:cstheme="minorHAnsi"/>
        </w:rPr>
        <w:t xml:space="preserve">The WG </w:t>
      </w:r>
      <w:r>
        <w:rPr>
          <w:rFonts w:asciiTheme="minorHAnsi" w:hAnsiTheme="minorHAnsi" w:cstheme="minorHAnsi"/>
        </w:rPr>
        <w:t xml:space="preserve">further </w:t>
      </w:r>
      <w:r w:rsidRPr="00D052BA">
        <w:rPr>
          <w:rFonts w:asciiTheme="minorHAnsi" w:hAnsiTheme="minorHAnsi" w:cstheme="minorHAnsi"/>
        </w:rPr>
        <w:t>suggests that an independent foundation be established, outside of ICANN structures, to assist applicants with funding.</w:t>
      </w:r>
    </w:p>
    <w:p w:rsidR="00D052BA" w:rsidRPr="00D052BA" w:rsidRDefault="00D052BA" w:rsidP="00D052BA">
      <w:pPr>
        <w:pStyle w:val="BodyText"/>
        <w:spacing w:after="0" w:line="240" w:lineRule="auto"/>
        <w:ind w:left="2160"/>
        <w:rPr>
          <w:rFonts w:asciiTheme="minorHAnsi" w:hAnsiTheme="minorHAnsi" w:cstheme="minorHAnsi"/>
        </w:rPr>
      </w:pPr>
    </w:p>
    <w:p w:rsidR="0017713C" w:rsidRPr="00D052BA" w:rsidRDefault="00D052BA" w:rsidP="00D052BA">
      <w:pPr>
        <w:pStyle w:val="ListParagraph"/>
        <w:numPr>
          <w:ilvl w:val="1"/>
          <w:numId w:val="2"/>
        </w:numPr>
        <w:rPr>
          <w:rFonts w:ascii="Calibri" w:hAnsi="Calibri"/>
        </w:rPr>
      </w:pPr>
      <w:r w:rsidRPr="00D052BA">
        <w:rPr>
          <w:rFonts w:asciiTheme="minorHAnsi" w:hAnsiTheme="minorHAnsi" w:cstheme="minorHAnsi"/>
          <w:b/>
          <w:szCs w:val="24"/>
        </w:rPr>
        <w:t>Which applicants would be entitled to special support</w:t>
      </w:r>
    </w:p>
    <w:p w:rsidR="00D052BA" w:rsidRPr="0056197E" w:rsidRDefault="00D052BA" w:rsidP="0056197E">
      <w:pPr>
        <w:ind w:left="720" w:firstLine="720"/>
        <w:rPr>
          <w:rFonts w:ascii="Calibri" w:hAnsi="Calibri"/>
        </w:rPr>
      </w:pPr>
      <w:r w:rsidRPr="0056197E">
        <w:rPr>
          <w:rFonts w:asciiTheme="minorHAnsi" w:hAnsiTheme="minorHAnsi" w:cstheme="minorHAnsi"/>
        </w:rPr>
        <w:t xml:space="preserve">The main criterion for eligibility should be </w:t>
      </w:r>
      <w:r w:rsidRPr="0056197E">
        <w:rPr>
          <w:rFonts w:asciiTheme="minorHAnsi" w:hAnsiTheme="minorHAnsi" w:cstheme="minorHAnsi"/>
          <w:u w:val="single"/>
        </w:rPr>
        <w:t>need</w:t>
      </w:r>
      <w:r w:rsidRPr="0056197E">
        <w:rPr>
          <w:rFonts w:asciiTheme="minorHAnsi" w:hAnsiTheme="minorHAnsi" w:cstheme="minorHAnsi"/>
        </w:rPr>
        <w:t>.</w:t>
      </w:r>
    </w:p>
    <w:p w:rsidR="00D052BA" w:rsidRPr="00D052BA" w:rsidRDefault="00D052BA" w:rsidP="00D052BA">
      <w:pPr>
        <w:pStyle w:val="ListParagraph"/>
        <w:numPr>
          <w:ilvl w:val="2"/>
          <w:numId w:val="2"/>
        </w:numPr>
        <w:rPr>
          <w:rFonts w:ascii="Calibri" w:hAnsi="Calibri"/>
        </w:rPr>
      </w:pPr>
      <w:r w:rsidRPr="00D052BA">
        <w:rPr>
          <w:rFonts w:asciiTheme="minorHAnsi" w:hAnsiTheme="minorHAnsi" w:cstheme="minorHAnsi"/>
        </w:rPr>
        <w:t>Community</w:t>
      </w:r>
      <w:r>
        <w:rPr>
          <w:rFonts w:asciiTheme="minorHAnsi" w:hAnsiTheme="minorHAnsi" w:cstheme="minorHAnsi"/>
        </w:rPr>
        <w:t>-</w:t>
      </w:r>
      <w:r w:rsidRPr="00D052BA">
        <w:rPr>
          <w:rFonts w:asciiTheme="minorHAnsi" w:hAnsiTheme="minorHAnsi" w:cstheme="minorHAnsi"/>
        </w:rPr>
        <w:t xml:space="preserve">based applications such as cultural, </w:t>
      </w:r>
      <w:r>
        <w:rPr>
          <w:rFonts w:asciiTheme="minorHAnsi" w:hAnsiTheme="minorHAnsi" w:cstheme="minorHAnsi"/>
        </w:rPr>
        <w:t>linguistic and ethnic;</w:t>
      </w:r>
      <w:r w:rsidRPr="00D052BA">
        <w:rPr>
          <w:rFonts w:asciiTheme="minorHAnsi" w:hAnsiTheme="minorHAnsi" w:cstheme="minorHAnsi"/>
        </w:rPr>
        <w:t xml:space="preserve"> </w:t>
      </w:r>
    </w:p>
    <w:p w:rsidR="00D052BA" w:rsidRPr="00D052BA" w:rsidRDefault="00D052BA" w:rsidP="00D052BA">
      <w:pPr>
        <w:pStyle w:val="ListParagraph"/>
        <w:numPr>
          <w:ilvl w:val="2"/>
          <w:numId w:val="2"/>
        </w:numPr>
        <w:rPr>
          <w:rFonts w:ascii="Calibri" w:hAnsi="Calibri"/>
        </w:rPr>
      </w:pPr>
      <w:r w:rsidRPr="00D052BA">
        <w:rPr>
          <w:rFonts w:asciiTheme="minorHAnsi" w:hAnsiTheme="minorHAnsi" w:cstheme="minorHAnsi"/>
        </w:rPr>
        <w:t>Non-governmental Organizations (NGOs), civil society and not-for-profit organizations;</w:t>
      </w:r>
    </w:p>
    <w:p w:rsidR="00D052BA" w:rsidRPr="00D052BA" w:rsidRDefault="00D052BA" w:rsidP="00D052BA">
      <w:pPr>
        <w:pStyle w:val="ListParagraph"/>
        <w:numPr>
          <w:ilvl w:val="2"/>
          <w:numId w:val="2"/>
        </w:numPr>
        <w:rPr>
          <w:rFonts w:ascii="Calibri" w:hAnsi="Calibri"/>
        </w:rPr>
      </w:pPr>
      <w:r w:rsidRPr="00D052BA">
        <w:rPr>
          <w:rFonts w:asciiTheme="minorHAnsi" w:hAnsiTheme="minorHAnsi" w:cstheme="minorHAnsi"/>
        </w:rPr>
        <w:t>Applicants geographically located in emerging markets/developing countries</w:t>
      </w:r>
      <w:r>
        <w:rPr>
          <w:rFonts w:asciiTheme="minorHAnsi" w:hAnsiTheme="minorHAnsi" w:cstheme="minorHAnsi"/>
        </w:rPr>
        <w:t>;</w:t>
      </w:r>
    </w:p>
    <w:p w:rsidR="00D052BA" w:rsidRPr="00D052BA" w:rsidRDefault="00D052BA" w:rsidP="00D052BA">
      <w:pPr>
        <w:pStyle w:val="ListParagraph"/>
        <w:numPr>
          <w:ilvl w:val="2"/>
          <w:numId w:val="2"/>
        </w:numPr>
        <w:rPr>
          <w:rFonts w:ascii="Calibri" w:hAnsi="Calibri"/>
        </w:rPr>
      </w:pPr>
      <w:r w:rsidRPr="00D052BA">
        <w:rPr>
          <w:rFonts w:asciiTheme="minorHAnsi" w:hAnsiTheme="minorHAnsi" w:cstheme="minorHAnsi"/>
        </w:rPr>
        <w:t>Applications in languages whose presence on the web is limited;</w:t>
      </w:r>
    </w:p>
    <w:p w:rsidR="00D052BA" w:rsidRPr="00D052BA" w:rsidRDefault="00D052BA" w:rsidP="00D052BA">
      <w:pPr>
        <w:pStyle w:val="ListParagraph"/>
        <w:numPr>
          <w:ilvl w:val="2"/>
          <w:numId w:val="2"/>
        </w:numPr>
        <w:rPr>
          <w:rFonts w:ascii="Calibri" w:hAnsi="Calibri"/>
        </w:rPr>
      </w:pPr>
      <w:r w:rsidRPr="00D052BA">
        <w:rPr>
          <w:rFonts w:asciiTheme="minorHAnsi" w:hAnsiTheme="minorHAnsi" w:cstheme="minorHAnsi"/>
        </w:rPr>
        <w:t>Entrepreneurs in those too tight markets for a reasonable profit making industry.</w:t>
      </w:r>
    </w:p>
    <w:p w:rsidR="00D052BA" w:rsidRPr="00D052BA" w:rsidRDefault="00D052BA" w:rsidP="00D052BA">
      <w:pPr>
        <w:pStyle w:val="ListParagraph"/>
        <w:numPr>
          <w:ilvl w:val="2"/>
          <w:numId w:val="2"/>
        </w:numPr>
        <w:rPr>
          <w:rFonts w:ascii="Calibri" w:hAnsi="Calibri"/>
        </w:rPr>
      </w:pPr>
      <w:r w:rsidRPr="00D052BA">
        <w:rPr>
          <w:rFonts w:ascii="Calibri" w:hAnsi="Calibri"/>
          <w:u w:val="single"/>
        </w:rPr>
        <w:t>NOT recommended for support</w:t>
      </w:r>
      <w:r w:rsidRPr="00D052BA">
        <w:rPr>
          <w:rFonts w:ascii="Calibri" w:hAnsi="Calibri"/>
        </w:rPr>
        <w:t xml:space="preserve">: </w:t>
      </w:r>
      <w:r w:rsidRPr="00D052BA">
        <w:rPr>
          <w:rFonts w:asciiTheme="minorHAnsi" w:hAnsiTheme="minorHAnsi" w:cstheme="minorHAnsi"/>
          <w:szCs w:val="24"/>
        </w:rPr>
        <w:t>Applicants that do not need the support/have ample financing; brands/groups that should be self-supporting companies (except those from countries where markets are not wide enough for a reasonable profit making industry); geographic names; purely Government/parastatal applicants (though applicants with some Government support might be eligible); applicants whose business model does not demonstrate sustainability.</w:t>
      </w:r>
    </w:p>
    <w:p w:rsidR="00D052BA" w:rsidRPr="00D052BA" w:rsidRDefault="00D052BA" w:rsidP="00D052BA">
      <w:pPr>
        <w:pStyle w:val="ListParagraph"/>
        <w:ind w:left="2160"/>
        <w:rPr>
          <w:rFonts w:ascii="Calibri" w:hAnsi="Calibri"/>
        </w:rPr>
      </w:pPr>
    </w:p>
    <w:p w:rsidR="00D052BA" w:rsidRPr="00D052BA" w:rsidRDefault="00D052BA" w:rsidP="00D052BA">
      <w:pPr>
        <w:pStyle w:val="ListParagraph"/>
        <w:numPr>
          <w:ilvl w:val="1"/>
          <w:numId w:val="2"/>
        </w:numPr>
        <w:rPr>
          <w:rFonts w:ascii="Calibri" w:hAnsi="Calibri"/>
          <w:b/>
        </w:rPr>
      </w:pPr>
      <w:r w:rsidRPr="00D052BA">
        <w:rPr>
          <w:rFonts w:asciiTheme="minorHAnsi" w:hAnsiTheme="minorHAnsi" w:cstheme="minorHAnsi"/>
          <w:b/>
        </w:rPr>
        <w:lastRenderedPageBreak/>
        <w:t>What nature the support could be</w:t>
      </w:r>
    </w:p>
    <w:p w:rsidR="00D62A3B" w:rsidRDefault="00D052BA" w:rsidP="00D62A3B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szCs w:val="20"/>
          <w:lang w:val="en-GB" w:eastAsia="ar-SA"/>
        </w:rPr>
      </w:pPr>
      <w:r w:rsidRPr="00D052BA">
        <w:rPr>
          <w:rFonts w:asciiTheme="minorHAnsi" w:hAnsiTheme="minorHAnsi" w:cstheme="minorHAnsi"/>
          <w:szCs w:val="20"/>
          <w:lang w:val="en-GB" w:eastAsia="ar-SA"/>
        </w:rPr>
        <w:t>Logistical, outreach and fee support in the application process</w:t>
      </w:r>
      <w:r>
        <w:rPr>
          <w:rFonts w:asciiTheme="minorHAnsi" w:hAnsiTheme="minorHAnsi" w:cstheme="minorHAnsi"/>
          <w:szCs w:val="20"/>
          <w:lang w:val="en-GB" w:eastAsia="ar-SA"/>
        </w:rPr>
        <w:t xml:space="preserve">: </w:t>
      </w:r>
      <w:r w:rsidRPr="0056197E">
        <w:rPr>
          <w:rFonts w:asciiTheme="minorHAnsi" w:hAnsiTheme="minorHAnsi" w:cstheme="minorHAnsi"/>
          <w:i/>
          <w:szCs w:val="20"/>
          <w:lang w:val="en-GB" w:eastAsia="ar-SA"/>
        </w:rPr>
        <w:t xml:space="preserve">translation of relevant documents; logistical and technical help with the application process; awareness/outreach efforts; </w:t>
      </w:r>
      <w:r w:rsidR="00D62A3B" w:rsidRPr="0056197E">
        <w:rPr>
          <w:rFonts w:asciiTheme="minorHAnsi" w:hAnsiTheme="minorHAnsi" w:cstheme="minorHAnsi"/>
          <w:i/>
          <w:szCs w:val="20"/>
          <w:lang w:val="en-GB" w:eastAsia="ar-SA"/>
        </w:rPr>
        <w:t>f</w:t>
      </w:r>
      <w:r w:rsidRPr="0056197E">
        <w:rPr>
          <w:rFonts w:asciiTheme="minorHAnsi" w:hAnsiTheme="minorHAnsi" w:cstheme="minorHAnsi"/>
          <w:i/>
          <w:szCs w:val="20"/>
          <w:lang w:val="en-GB" w:eastAsia="ar-SA"/>
        </w:rPr>
        <w:t>ee reduction/subsidization and/or some sort of phased-in payment for deserving applicants</w:t>
      </w:r>
      <w:r w:rsidR="0056197E">
        <w:rPr>
          <w:rFonts w:asciiTheme="minorHAnsi" w:hAnsiTheme="minorHAnsi" w:cstheme="minorHAnsi"/>
          <w:szCs w:val="20"/>
          <w:lang w:val="en-GB" w:eastAsia="ar-SA"/>
        </w:rPr>
        <w:t>;</w:t>
      </w:r>
    </w:p>
    <w:p w:rsidR="00D62A3B" w:rsidRDefault="00D052BA" w:rsidP="00D62A3B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szCs w:val="20"/>
          <w:lang w:val="en-GB" w:eastAsia="ar-SA"/>
        </w:rPr>
      </w:pPr>
      <w:r w:rsidRPr="00D62A3B">
        <w:rPr>
          <w:rFonts w:asciiTheme="minorHAnsi" w:hAnsiTheme="minorHAnsi" w:cstheme="minorHAnsi"/>
          <w:szCs w:val="20"/>
          <w:lang w:val="en-GB" w:eastAsia="ar-SA"/>
        </w:rPr>
        <w:t>Technical support for applicants in operating or qualifying to operate a gTLD</w:t>
      </w:r>
      <w:r w:rsidR="00D62A3B">
        <w:rPr>
          <w:rFonts w:asciiTheme="minorHAnsi" w:hAnsiTheme="minorHAnsi" w:cstheme="minorHAnsi"/>
          <w:szCs w:val="20"/>
          <w:lang w:val="en-GB" w:eastAsia="ar-SA"/>
        </w:rPr>
        <w:t xml:space="preserve">: </w:t>
      </w:r>
      <w:r w:rsidR="00D62A3B" w:rsidRPr="0056197E">
        <w:rPr>
          <w:rFonts w:asciiTheme="minorHAnsi" w:hAnsiTheme="minorHAnsi" w:cstheme="minorHAnsi"/>
          <w:i/>
          <w:szCs w:val="20"/>
          <w:lang w:val="en-GB" w:eastAsia="ar-SA"/>
        </w:rPr>
        <w:t>i</w:t>
      </w:r>
      <w:r w:rsidRPr="0056197E">
        <w:rPr>
          <w:rFonts w:asciiTheme="minorHAnsi" w:hAnsiTheme="minorHAnsi" w:cstheme="minorHAnsi"/>
          <w:i/>
          <w:szCs w:val="20"/>
          <w:lang w:val="en-GB" w:eastAsia="ar-SA"/>
        </w:rPr>
        <w:t>nfrastructure – providing IPv6 compatible hardware and networks as needed;</w:t>
      </w:r>
      <w:r w:rsidR="00D62A3B" w:rsidRPr="0056197E">
        <w:rPr>
          <w:rFonts w:asciiTheme="minorHAnsi" w:hAnsiTheme="minorHAnsi" w:cstheme="minorHAnsi"/>
          <w:i/>
          <w:szCs w:val="20"/>
          <w:lang w:val="en-GB" w:eastAsia="ar-SA"/>
        </w:rPr>
        <w:t xml:space="preserve"> e</w:t>
      </w:r>
      <w:r w:rsidRPr="0056197E">
        <w:rPr>
          <w:rFonts w:asciiTheme="minorHAnsi" w:hAnsiTheme="minorHAnsi" w:cstheme="minorHAnsi"/>
          <w:i/>
          <w:szCs w:val="20"/>
          <w:lang w:val="en-GB" w:eastAsia="ar-SA"/>
        </w:rPr>
        <w:t xml:space="preserve">ducation/consulting – to help with DNSSEC implementation; </w:t>
      </w:r>
      <w:r w:rsidR="00D62A3B" w:rsidRPr="0056197E">
        <w:rPr>
          <w:rFonts w:asciiTheme="minorHAnsi" w:hAnsiTheme="minorHAnsi" w:cstheme="minorHAnsi"/>
          <w:i/>
          <w:szCs w:val="20"/>
          <w:lang w:val="en-GB" w:eastAsia="ar-SA"/>
        </w:rPr>
        <w:t xml:space="preserve"> p</w:t>
      </w:r>
      <w:r w:rsidRPr="0056197E">
        <w:rPr>
          <w:rFonts w:asciiTheme="minorHAnsi" w:hAnsiTheme="minorHAnsi" w:cstheme="minorHAnsi"/>
          <w:i/>
          <w:szCs w:val="20"/>
          <w:lang w:val="en-GB" w:eastAsia="ar-SA"/>
        </w:rPr>
        <w:t xml:space="preserve">ossible technical waivers or “step ups” – allowing applicants to build their capabilities rather than needing to demonstrate full capacity before applying (as appropriate); </w:t>
      </w:r>
      <w:r w:rsidR="00D62A3B" w:rsidRPr="0056197E">
        <w:rPr>
          <w:rFonts w:asciiTheme="minorHAnsi" w:hAnsiTheme="minorHAnsi" w:cstheme="minorHAnsi"/>
          <w:i/>
          <w:szCs w:val="20"/>
          <w:lang w:val="en-GB" w:eastAsia="ar-SA"/>
        </w:rPr>
        <w:t>l</w:t>
      </w:r>
      <w:r w:rsidRPr="0056197E">
        <w:rPr>
          <w:rFonts w:asciiTheme="minorHAnsi" w:hAnsiTheme="minorHAnsi" w:cstheme="minorHAnsi"/>
          <w:i/>
          <w:szCs w:val="20"/>
          <w:lang w:val="en-GB" w:eastAsia="ar-SA"/>
        </w:rPr>
        <w:t>ower cost and/or sh</w:t>
      </w:r>
      <w:r w:rsidR="0056197E" w:rsidRPr="0056197E">
        <w:rPr>
          <w:rFonts w:asciiTheme="minorHAnsi" w:hAnsiTheme="minorHAnsi" w:cstheme="minorHAnsi"/>
          <w:i/>
          <w:szCs w:val="20"/>
          <w:lang w:val="en-GB" w:eastAsia="ar-SA"/>
        </w:rPr>
        <w:t>ared back end registry services</w:t>
      </w:r>
      <w:r w:rsidR="0056197E">
        <w:rPr>
          <w:rFonts w:asciiTheme="minorHAnsi" w:hAnsiTheme="minorHAnsi" w:cstheme="minorHAnsi"/>
          <w:szCs w:val="20"/>
          <w:lang w:val="en-GB" w:eastAsia="ar-SA"/>
        </w:rPr>
        <w:t>;</w:t>
      </w:r>
    </w:p>
    <w:p w:rsidR="00D052BA" w:rsidRPr="0056197E" w:rsidRDefault="00D052BA" w:rsidP="0056197E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szCs w:val="20"/>
          <w:lang w:val="en-GB" w:eastAsia="ar-SA"/>
        </w:rPr>
      </w:pPr>
      <w:r w:rsidRPr="00D62A3B">
        <w:rPr>
          <w:rFonts w:asciiTheme="minorHAnsi" w:hAnsiTheme="minorHAnsi" w:cstheme="minorHAnsi"/>
          <w:szCs w:val="20"/>
          <w:lang w:val="en-GB" w:eastAsia="ar-SA"/>
        </w:rPr>
        <w:t>Support for build-out in underserved languages and IDNs for new gTLDs</w:t>
      </w:r>
      <w:r w:rsidR="00D62A3B">
        <w:rPr>
          <w:rFonts w:asciiTheme="minorHAnsi" w:hAnsiTheme="minorHAnsi" w:cstheme="minorHAnsi"/>
          <w:szCs w:val="20"/>
          <w:lang w:val="en-GB" w:eastAsia="ar-SA"/>
        </w:rPr>
        <w:t>:</w:t>
      </w:r>
      <w:r w:rsidRPr="00D62A3B">
        <w:rPr>
          <w:rFonts w:asciiTheme="minorHAnsi" w:hAnsiTheme="minorHAnsi" w:cstheme="minorHAnsi"/>
          <w:szCs w:val="20"/>
          <w:lang w:val="en-GB" w:eastAsia="ar-SA"/>
        </w:rPr>
        <w:t xml:space="preserve"> </w:t>
      </w:r>
      <w:r w:rsidR="00D62A3B" w:rsidRPr="0056197E">
        <w:rPr>
          <w:rFonts w:asciiTheme="minorHAnsi" w:hAnsiTheme="minorHAnsi" w:cstheme="minorHAnsi"/>
          <w:i/>
          <w:szCs w:val="20"/>
          <w:lang w:val="en-GB" w:eastAsia="ar-SA"/>
        </w:rPr>
        <w:t>p</w:t>
      </w:r>
      <w:r w:rsidRPr="0056197E">
        <w:rPr>
          <w:rFonts w:asciiTheme="minorHAnsi" w:hAnsiTheme="minorHAnsi" w:cstheme="minorHAnsi"/>
          <w:i/>
          <w:szCs w:val="20"/>
          <w:lang w:val="en-GB" w:eastAsia="ar-SA"/>
        </w:rPr>
        <w:t xml:space="preserve">rice discounts to incentivize build-out in scripts with a limited presence on the web; </w:t>
      </w:r>
      <w:r w:rsidR="00D62A3B" w:rsidRPr="0056197E">
        <w:rPr>
          <w:rFonts w:asciiTheme="minorHAnsi" w:hAnsiTheme="minorHAnsi" w:cstheme="minorHAnsi"/>
          <w:i/>
          <w:szCs w:val="20"/>
          <w:lang w:val="en-GB" w:eastAsia="ar-SA"/>
        </w:rPr>
        <w:t>b</w:t>
      </w:r>
      <w:r w:rsidRPr="0056197E">
        <w:rPr>
          <w:rFonts w:asciiTheme="minorHAnsi" w:hAnsiTheme="minorHAnsi" w:cstheme="minorHAnsi"/>
          <w:i/>
          <w:szCs w:val="20"/>
          <w:lang w:val="en-GB" w:eastAsia="ar-SA"/>
        </w:rPr>
        <w:t xml:space="preserve">undled pricing to promote build out in multiple scripts – incentivizing an expansion of IDN content as new gTLDs are launched by encouraging applicants to build out in numerous scripts at once; </w:t>
      </w:r>
      <w:r w:rsidR="00D62A3B" w:rsidRPr="0056197E">
        <w:rPr>
          <w:rFonts w:asciiTheme="minorHAnsi" w:hAnsiTheme="minorHAnsi" w:cstheme="minorHAnsi"/>
          <w:i/>
          <w:szCs w:val="20"/>
          <w:lang w:val="en-GB" w:eastAsia="ar-SA"/>
        </w:rPr>
        <w:t>c</w:t>
      </w:r>
      <w:r w:rsidRPr="0056197E">
        <w:rPr>
          <w:rFonts w:asciiTheme="minorHAnsi" w:hAnsiTheme="minorHAnsi" w:cstheme="minorHAnsi"/>
          <w:i/>
          <w:szCs w:val="20"/>
          <w:lang w:val="en-GB" w:eastAsia="ar-SA"/>
        </w:rPr>
        <w:t>lear tests to prevent gaming and ensure that support reaches its targets</w:t>
      </w:r>
      <w:r w:rsidRPr="00D62A3B">
        <w:rPr>
          <w:rFonts w:asciiTheme="minorHAnsi" w:hAnsiTheme="minorHAnsi" w:cstheme="minorHAnsi"/>
          <w:szCs w:val="20"/>
          <w:lang w:val="en-GB" w:eastAsia="ar-SA"/>
        </w:rPr>
        <w:t xml:space="preserve">. </w:t>
      </w:r>
    </w:p>
    <w:p w:rsidR="00FE4825" w:rsidRDefault="00FE4825"/>
    <w:p w:rsidR="00FE4825" w:rsidRPr="00A529A8" w:rsidRDefault="00FE4825">
      <w:pPr>
        <w:rPr>
          <w:rFonts w:ascii="Cambria" w:hAnsi="Cambria"/>
          <w:b/>
          <w:bCs/>
          <w:color w:val="365F91"/>
        </w:rPr>
      </w:pPr>
      <w:r w:rsidRPr="00A529A8">
        <w:rPr>
          <w:rFonts w:ascii="Cambria" w:hAnsi="Cambria"/>
          <w:b/>
          <w:bCs/>
          <w:color w:val="365F91"/>
        </w:rPr>
        <w:t>Rationale:</w:t>
      </w:r>
    </w:p>
    <w:p w:rsidR="00FE4825" w:rsidRDefault="00FE4825"/>
    <w:p w:rsidR="00D67A91" w:rsidRDefault="0017713C" w:rsidP="00D67A91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 xml:space="preserve">The </w:t>
      </w:r>
      <w:r w:rsidRPr="00E16D80">
        <w:rPr>
          <w:rFonts w:asciiTheme="minorHAnsi" w:hAnsiTheme="minorHAnsi" w:cstheme="minorHAnsi"/>
          <w:szCs w:val="24"/>
        </w:rPr>
        <w:t>GNSO Council proposed a Joint SO/AC Working Group</w:t>
      </w:r>
      <w:r w:rsidR="0056197E">
        <w:rPr>
          <w:rFonts w:asciiTheme="minorHAnsi" w:hAnsiTheme="minorHAnsi" w:cstheme="minorHAnsi"/>
          <w:szCs w:val="24"/>
        </w:rPr>
        <w:t>. The JAS WG has</w:t>
      </w:r>
      <w:r w:rsidRPr="00E16D80">
        <w:rPr>
          <w:rFonts w:asciiTheme="minorHAnsi" w:hAnsiTheme="minorHAnsi" w:cstheme="minorHAnsi"/>
          <w:szCs w:val="24"/>
        </w:rPr>
        <w:t xml:space="preserve"> </w:t>
      </w:r>
      <w:r w:rsidR="0056197E">
        <w:rPr>
          <w:rFonts w:asciiTheme="minorHAnsi" w:hAnsiTheme="minorHAnsi" w:cstheme="minorHAnsi"/>
          <w:szCs w:val="24"/>
        </w:rPr>
        <w:t xml:space="preserve">22 </w:t>
      </w:r>
      <w:r w:rsidRPr="00E16D80">
        <w:rPr>
          <w:rFonts w:asciiTheme="minorHAnsi" w:hAnsiTheme="minorHAnsi" w:cstheme="minorHAnsi"/>
          <w:szCs w:val="24"/>
        </w:rPr>
        <w:t xml:space="preserve">members </w:t>
      </w:r>
      <w:r w:rsidR="0056197E">
        <w:rPr>
          <w:rFonts w:asciiTheme="minorHAnsi" w:hAnsiTheme="minorHAnsi" w:cstheme="minorHAnsi"/>
          <w:szCs w:val="24"/>
        </w:rPr>
        <w:t>from</w:t>
      </w:r>
      <w:r w:rsidRPr="00E16D80">
        <w:rPr>
          <w:rFonts w:asciiTheme="minorHAnsi" w:hAnsiTheme="minorHAnsi" w:cstheme="minorHAnsi"/>
          <w:szCs w:val="24"/>
        </w:rPr>
        <w:t xml:space="preserve"> IC</w:t>
      </w:r>
      <w:r w:rsidR="0056197E">
        <w:rPr>
          <w:rFonts w:asciiTheme="minorHAnsi" w:hAnsiTheme="minorHAnsi" w:cstheme="minorHAnsi"/>
          <w:szCs w:val="24"/>
        </w:rPr>
        <w:t>ANN's SOs; ACs and individuals</w:t>
      </w:r>
      <w:r>
        <w:rPr>
          <w:rFonts w:asciiTheme="minorHAnsi" w:hAnsiTheme="minorHAnsi" w:cstheme="minorHAnsi"/>
          <w:szCs w:val="24"/>
        </w:rPr>
        <w:t>.</w:t>
      </w:r>
    </w:p>
    <w:p w:rsidR="0056197E" w:rsidRDefault="00D62A3B" w:rsidP="0056197E">
      <w:pPr>
        <w:pStyle w:val="BodyText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Cs w:val="24"/>
        </w:rPr>
      </w:pPr>
      <w:r w:rsidRPr="00A96644">
        <w:rPr>
          <w:rFonts w:asciiTheme="minorHAnsi" w:hAnsiTheme="minorHAnsi" w:cstheme="minorHAnsi"/>
          <w:szCs w:val="24"/>
        </w:rPr>
        <w:t xml:space="preserve">The </w:t>
      </w:r>
      <w:r>
        <w:rPr>
          <w:rFonts w:asciiTheme="minorHAnsi" w:hAnsiTheme="minorHAnsi" w:cstheme="minorHAnsi"/>
          <w:szCs w:val="24"/>
        </w:rPr>
        <w:t>WG</w:t>
      </w:r>
      <w:r w:rsidRPr="00A96644">
        <w:rPr>
          <w:rFonts w:asciiTheme="minorHAnsi" w:hAnsiTheme="minorHAnsi" w:cstheme="minorHAnsi"/>
          <w:szCs w:val="24"/>
        </w:rPr>
        <w:t xml:space="preserve"> agreed on a series of “principles” to guide the community as the support process is finalized:</w:t>
      </w:r>
      <w:r w:rsidR="0056197E">
        <w:rPr>
          <w:rFonts w:asciiTheme="minorHAnsi" w:hAnsiTheme="minorHAnsi" w:cstheme="minorHAnsi"/>
          <w:szCs w:val="24"/>
        </w:rPr>
        <w:t xml:space="preserve">  (a) </w:t>
      </w:r>
      <w:r w:rsidR="00C25B60">
        <w:rPr>
          <w:rFonts w:asciiTheme="minorHAnsi" w:hAnsiTheme="minorHAnsi" w:cstheme="minorHAnsi"/>
          <w:szCs w:val="24"/>
        </w:rPr>
        <w:t xml:space="preserve">[THIS IS STILL UNDER DISCUSSION - </w:t>
      </w:r>
      <w:r w:rsidRPr="00C25B60">
        <w:rPr>
          <w:rFonts w:asciiTheme="minorHAnsi" w:hAnsiTheme="minorHAnsi" w:cstheme="minorHAnsi"/>
          <w:szCs w:val="24"/>
        </w:rPr>
        <w:t>Self-Financing responsibility – ICANN/community support should comprise not more than 50% of the total cost of an application. The WG saw this as a good way to encourage accountability and sustainability</w:t>
      </w:r>
      <w:r w:rsidR="0056197E" w:rsidRPr="00C25B60">
        <w:rPr>
          <w:rFonts w:asciiTheme="minorHAnsi" w:hAnsiTheme="minorHAnsi" w:cstheme="minorHAnsi"/>
          <w:szCs w:val="24"/>
        </w:rPr>
        <w:t>;</w:t>
      </w:r>
      <w:r w:rsidR="00C25B60">
        <w:rPr>
          <w:rFonts w:asciiTheme="minorHAnsi" w:hAnsiTheme="minorHAnsi" w:cstheme="minorHAnsi"/>
          <w:szCs w:val="24"/>
        </w:rPr>
        <w:t>]</w:t>
      </w:r>
      <w:r w:rsidR="0056197E">
        <w:rPr>
          <w:rFonts w:asciiTheme="minorHAnsi" w:hAnsiTheme="minorHAnsi" w:cstheme="minorHAnsi"/>
          <w:szCs w:val="24"/>
        </w:rPr>
        <w:t xml:space="preserve"> (b) </w:t>
      </w:r>
      <w:r w:rsidRPr="0056197E">
        <w:rPr>
          <w:rFonts w:asciiTheme="minorHAnsi" w:hAnsiTheme="minorHAnsi" w:cstheme="minorHAnsi"/>
          <w:szCs w:val="24"/>
          <w:u w:val="single"/>
        </w:rPr>
        <w:t>Sunset period</w:t>
      </w:r>
      <w:r w:rsidRPr="0056197E">
        <w:rPr>
          <w:rFonts w:asciiTheme="minorHAnsi" w:hAnsiTheme="minorHAnsi" w:cstheme="minorHAnsi"/>
          <w:szCs w:val="24"/>
        </w:rPr>
        <w:t xml:space="preserve"> – </w:t>
      </w:r>
      <w:r w:rsidR="0056197E">
        <w:rPr>
          <w:rFonts w:asciiTheme="minorHAnsi" w:hAnsiTheme="minorHAnsi" w:cstheme="minorHAnsi"/>
          <w:szCs w:val="24"/>
        </w:rPr>
        <w:t>s</w:t>
      </w:r>
      <w:r w:rsidRPr="0056197E">
        <w:rPr>
          <w:rFonts w:asciiTheme="minorHAnsi" w:hAnsiTheme="minorHAnsi" w:cstheme="minorHAnsi"/>
          <w:szCs w:val="24"/>
        </w:rPr>
        <w:t>upport should have an agreed cut-off/sunset point, perhaps 5 years, after which no further support would be offered. This was recommended as another measure to promote sustainability and as a way to help limited resources reach more applicants.</w:t>
      </w:r>
      <w:r w:rsidR="0056197E">
        <w:rPr>
          <w:rFonts w:asciiTheme="minorHAnsi" w:hAnsiTheme="minorHAnsi" w:cstheme="minorHAnsi"/>
          <w:szCs w:val="24"/>
        </w:rPr>
        <w:t xml:space="preserve"> (c) </w:t>
      </w:r>
      <w:r w:rsidRPr="0056197E">
        <w:rPr>
          <w:rFonts w:asciiTheme="minorHAnsi" w:hAnsiTheme="minorHAnsi" w:cstheme="minorHAnsi"/>
          <w:szCs w:val="24"/>
          <w:u w:val="single"/>
        </w:rPr>
        <w:t>Transparency</w:t>
      </w:r>
      <w:r w:rsidRPr="0056197E">
        <w:rPr>
          <w:rFonts w:asciiTheme="minorHAnsi" w:hAnsiTheme="minorHAnsi" w:cstheme="minorHAnsi"/>
          <w:szCs w:val="24"/>
        </w:rPr>
        <w:t xml:space="preserve"> – Support requests and levels should be made public to encourage transparency.</w:t>
      </w:r>
      <w:r w:rsidR="0056197E">
        <w:rPr>
          <w:rFonts w:asciiTheme="minorHAnsi" w:hAnsiTheme="minorHAnsi" w:cstheme="minorHAnsi"/>
          <w:szCs w:val="24"/>
        </w:rPr>
        <w:t xml:space="preserve"> (e) </w:t>
      </w:r>
      <w:r w:rsidRPr="0056197E">
        <w:rPr>
          <w:rFonts w:asciiTheme="minorHAnsi" w:hAnsiTheme="minorHAnsi" w:cstheme="minorHAnsi"/>
          <w:szCs w:val="24"/>
          <w:u w:val="single"/>
        </w:rPr>
        <w:t>Limited Government support</w:t>
      </w:r>
      <w:r w:rsidRPr="0056197E">
        <w:rPr>
          <w:rFonts w:asciiTheme="minorHAnsi" w:hAnsiTheme="minorHAnsi" w:cstheme="minorHAnsi"/>
          <w:szCs w:val="24"/>
        </w:rPr>
        <w:t xml:space="preserve"> – The receipt of some support from government(s) should not disqualify a community applicant from receiving gTLD support. However, the process is not designed to subsidize government-led initiatives.</w:t>
      </w:r>
      <w:r w:rsidR="0056197E">
        <w:rPr>
          <w:rFonts w:asciiTheme="minorHAnsi" w:hAnsiTheme="minorHAnsi" w:cstheme="minorHAnsi"/>
          <w:szCs w:val="24"/>
        </w:rPr>
        <w:t xml:space="preserve"> (f) </w:t>
      </w:r>
      <w:r w:rsidRPr="0056197E">
        <w:rPr>
          <w:rFonts w:asciiTheme="minorHAnsi" w:hAnsiTheme="minorHAnsi" w:cstheme="minorHAnsi"/>
          <w:szCs w:val="24"/>
          <w:u w:val="single"/>
        </w:rPr>
        <w:t>Repayment in success cases</w:t>
      </w:r>
      <w:r w:rsidRPr="0056197E">
        <w:rPr>
          <w:rFonts w:asciiTheme="minorHAnsi" w:hAnsiTheme="minorHAnsi" w:cstheme="minorHAnsi"/>
          <w:szCs w:val="24"/>
        </w:rPr>
        <w:t xml:space="preserve"> – In cases where supported gTLDs make money significantly above and beyond the level support received through this process, recipients would agree to re-pay/rebate application subsidies into a revolving fund to support future applications.</w:t>
      </w:r>
    </w:p>
    <w:p w:rsidR="0056197E" w:rsidRPr="0056197E" w:rsidRDefault="00581FB9" w:rsidP="0056197E">
      <w:pPr>
        <w:pStyle w:val="BodyText"/>
        <w:numPr>
          <w:ilvl w:val="0"/>
          <w:numId w:val="4"/>
        </w:numPr>
        <w:spacing w:after="0" w:line="240" w:lineRule="auto"/>
        <w:rPr>
          <w:rFonts w:ascii="Calibri" w:hAnsi="Calibri" w:cs="Mangal"/>
          <w:szCs w:val="21"/>
          <w:lang w:val="en-US" w:eastAsia="en-US" w:bidi="hi-IN"/>
        </w:rPr>
      </w:pPr>
      <w:r>
        <w:rPr>
          <w:rFonts w:ascii="Calibri" w:hAnsi="Calibri" w:cs="Mangal"/>
          <w:szCs w:val="21"/>
          <w:lang w:val="en-US" w:eastAsia="en-US" w:bidi="hi-IN"/>
        </w:rPr>
        <w:t>During the Public Comment period, t</w:t>
      </w:r>
      <w:r w:rsidR="0056197E" w:rsidRPr="0056197E">
        <w:rPr>
          <w:rFonts w:ascii="Calibri" w:hAnsi="Calibri" w:cs="Mangal"/>
          <w:szCs w:val="21"/>
          <w:lang w:val="en-US" w:eastAsia="en-US" w:bidi="hi-IN"/>
        </w:rPr>
        <w:t>here were thirteen (13) submissions from eight (8) different parties</w:t>
      </w:r>
      <w:r w:rsidR="0056197E">
        <w:rPr>
          <w:rFonts w:ascii="Calibri" w:hAnsi="Calibri" w:cs="Mangal"/>
          <w:szCs w:val="21"/>
          <w:lang w:val="en-US" w:eastAsia="en-US" w:bidi="hi-IN"/>
        </w:rPr>
        <w:t>.</w:t>
      </w:r>
    </w:p>
    <w:p w:rsidR="00FE4825" w:rsidRDefault="00FE4825"/>
    <w:sectPr w:rsidR="00FE4825" w:rsidSect="005F220A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CAE" w:rsidRDefault="00587CAE" w:rsidP="008C1822">
      <w:r>
        <w:separator/>
      </w:r>
    </w:p>
  </w:endnote>
  <w:endnote w:type="continuationSeparator" w:id="0">
    <w:p w:rsidR="00587CAE" w:rsidRDefault="00587CAE" w:rsidP="008C1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822" w:rsidRDefault="00A7536B">
    <w:pPr>
      <w:pStyle w:val="Footer"/>
      <w:jc w:val="right"/>
    </w:pPr>
    <w:fldSimple w:instr=" PAGE   \* MERGEFORMAT ">
      <w:r w:rsidR="009A0EEA">
        <w:rPr>
          <w:noProof/>
        </w:rPr>
        <w:t>1</w:t>
      </w:r>
    </w:fldSimple>
  </w:p>
  <w:p w:rsidR="008C1822" w:rsidRDefault="008C18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CAE" w:rsidRDefault="00587CAE" w:rsidP="008C1822">
      <w:r>
        <w:separator/>
      </w:r>
    </w:p>
  </w:footnote>
  <w:footnote w:type="continuationSeparator" w:id="0">
    <w:p w:rsidR="00587CAE" w:rsidRDefault="00587CAE" w:rsidP="008C18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1AAE"/>
    <w:multiLevelType w:val="hybridMultilevel"/>
    <w:tmpl w:val="83B2EA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C15332"/>
    <w:multiLevelType w:val="hybridMultilevel"/>
    <w:tmpl w:val="E79E4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845AA"/>
    <w:multiLevelType w:val="hybridMultilevel"/>
    <w:tmpl w:val="A984C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F336A"/>
    <w:multiLevelType w:val="hybridMultilevel"/>
    <w:tmpl w:val="4D644D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061048"/>
    <w:multiLevelType w:val="hybridMultilevel"/>
    <w:tmpl w:val="82B4A5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0413DCA"/>
    <w:multiLevelType w:val="hybridMultilevel"/>
    <w:tmpl w:val="78E463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6C2EC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72066B"/>
    <w:multiLevelType w:val="hybridMultilevel"/>
    <w:tmpl w:val="E43A2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480103"/>
    <w:multiLevelType w:val="hybridMultilevel"/>
    <w:tmpl w:val="3118C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E872B5"/>
    <w:multiLevelType w:val="hybridMultilevel"/>
    <w:tmpl w:val="26029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4825"/>
    <w:rsid w:val="000024EC"/>
    <w:rsid w:val="0001356B"/>
    <w:rsid w:val="0006208A"/>
    <w:rsid w:val="00076918"/>
    <w:rsid w:val="00095A26"/>
    <w:rsid w:val="000E0C1A"/>
    <w:rsid w:val="000E7FF7"/>
    <w:rsid w:val="00130D69"/>
    <w:rsid w:val="00143992"/>
    <w:rsid w:val="0017713C"/>
    <w:rsid w:val="0020131C"/>
    <w:rsid w:val="00230175"/>
    <w:rsid w:val="00235467"/>
    <w:rsid w:val="0029078D"/>
    <w:rsid w:val="00296C7D"/>
    <w:rsid w:val="0029746C"/>
    <w:rsid w:val="002F08B0"/>
    <w:rsid w:val="002F668E"/>
    <w:rsid w:val="003111AB"/>
    <w:rsid w:val="00335965"/>
    <w:rsid w:val="00374084"/>
    <w:rsid w:val="003922D9"/>
    <w:rsid w:val="00443B21"/>
    <w:rsid w:val="00465294"/>
    <w:rsid w:val="0048262B"/>
    <w:rsid w:val="00487F4F"/>
    <w:rsid w:val="004B543B"/>
    <w:rsid w:val="004C20A5"/>
    <w:rsid w:val="004D43E7"/>
    <w:rsid w:val="004F6F5C"/>
    <w:rsid w:val="00541998"/>
    <w:rsid w:val="00552253"/>
    <w:rsid w:val="00557348"/>
    <w:rsid w:val="0056197E"/>
    <w:rsid w:val="00563546"/>
    <w:rsid w:val="00581FB9"/>
    <w:rsid w:val="00587CAE"/>
    <w:rsid w:val="005926AC"/>
    <w:rsid w:val="005A2CF2"/>
    <w:rsid w:val="005D1CC6"/>
    <w:rsid w:val="005F220A"/>
    <w:rsid w:val="006E3B7C"/>
    <w:rsid w:val="006F0D80"/>
    <w:rsid w:val="00716C9A"/>
    <w:rsid w:val="00761512"/>
    <w:rsid w:val="007901A3"/>
    <w:rsid w:val="00795FF7"/>
    <w:rsid w:val="007D2020"/>
    <w:rsid w:val="008025E9"/>
    <w:rsid w:val="00843050"/>
    <w:rsid w:val="00862A2C"/>
    <w:rsid w:val="008C1822"/>
    <w:rsid w:val="008E5DDB"/>
    <w:rsid w:val="00943EB8"/>
    <w:rsid w:val="009507F0"/>
    <w:rsid w:val="00957536"/>
    <w:rsid w:val="00982094"/>
    <w:rsid w:val="009A0EEA"/>
    <w:rsid w:val="009B130C"/>
    <w:rsid w:val="009C13AF"/>
    <w:rsid w:val="009F429C"/>
    <w:rsid w:val="00A15933"/>
    <w:rsid w:val="00A46C47"/>
    <w:rsid w:val="00A529A8"/>
    <w:rsid w:val="00A56854"/>
    <w:rsid w:val="00A6171E"/>
    <w:rsid w:val="00A7536B"/>
    <w:rsid w:val="00A81EAE"/>
    <w:rsid w:val="00AD5C75"/>
    <w:rsid w:val="00AF2117"/>
    <w:rsid w:val="00B11797"/>
    <w:rsid w:val="00B17666"/>
    <w:rsid w:val="00B84880"/>
    <w:rsid w:val="00BA25D9"/>
    <w:rsid w:val="00BB3BB4"/>
    <w:rsid w:val="00BD5FD6"/>
    <w:rsid w:val="00C25B60"/>
    <w:rsid w:val="00C27749"/>
    <w:rsid w:val="00C65697"/>
    <w:rsid w:val="00CA71C1"/>
    <w:rsid w:val="00CE44C8"/>
    <w:rsid w:val="00D052BA"/>
    <w:rsid w:val="00D62A3B"/>
    <w:rsid w:val="00D67A91"/>
    <w:rsid w:val="00DA5D16"/>
    <w:rsid w:val="00DE5959"/>
    <w:rsid w:val="00E130B3"/>
    <w:rsid w:val="00E16DFC"/>
    <w:rsid w:val="00E175C4"/>
    <w:rsid w:val="00E40884"/>
    <w:rsid w:val="00E476B7"/>
    <w:rsid w:val="00E51894"/>
    <w:rsid w:val="00E624B9"/>
    <w:rsid w:val="00EC609C"/>
    <w:rsid w:val="00ED1163"/>
    <w:rsid w:val="00ED7EF3"/>
    <w:rsid w:val="00EE0445"/>
    <w:rsid w:val="00F878EC"/>
    <w:rsid w:val="00FA17C5"/>
    <w:rsid w:val="00FB5F81"/>
    <w:rsid w:val="00FB7E98"/>
    <w:rsid w:val="00FC0A2A"/>
    <w:rsid w:val="00FE4825"/>
    <w:rsid w:val="00FF7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220A"/>
    <w:rPr>
      <w:rFonts w:cs="Mangal"/>
      <w:sz w:val="24"/>
      <w:szCs w:val="24"/>
      <w:lang w:bidi="hi-IN"/>
    </w:rPr>
  </w:style>
  <w:style w:type="paragraph" w:styleId="Heading1">
    <w:name w:val="heading 1"/>
    <w:basedOn w:val="Normal"/>
    <w:next w:val="Normal"/>
    <w:link w:val="Heading1Char"/>
    <w:qFormat/>
    <w:rsid w:val="00A529A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E4825"/>
    <w:pPr>
      <w:ind w:left="720"/>
      <w:contextualSpacing/>
    </w:pPr>
    <w:rPr>
      <w:szCs w:val="21"/>
    </w:rPr>
  </w:style>
  <w:style w:type="character" w:customStyle="1" w:styleId="Heading1Char">
    <w:name w:val="Heading 1 Char"/>
    <w:basedOn w:val="DefaultParagraphFont"/>
    <w:link w:val="Heading1"/>
    <w:rsid w:val="00A529A8"/>
    <w:rPr>
      <w:rFonts w:ascii="Cambria" w:hAnsi="Cambria" w:cs="Mangal"/>
      <w:b/>
      <w:bCs/>
      <w:color w:val="365F91"/>
      <w:sz w:val="28"/>
      <w:szCs w:val="25"/>
      <w:lang w:bidi="hi-IN"/>
    </w:rPr>
  </w:style>
  <w:style w:type="paragraph" w:styleId="Header">
    <w:name w:val="header"/>
    <w:basedOn w:val="Normal"/>
    <w:link w:val="HeaderChar"/>
    <w:rsid w:val="008C1822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rsid w:val="008C1822"/>
    <w:rPr>
      <w:rFonts w:cs="Mangal"/>
      <w:sz w:val="24"/>
      <w:szCs w:val="21"/>
      <w:lang w:bidi="hi-IN"/>
    </w:rPr>
  </w:style>
  <w:style w:type="paragraph" w:styleId="Footer">
    <w:name w:val="footer"/>
    <w:basedOn w:val="Normal"/>
    <w:link w:val="FooterChar"/>
    <w:uiPriority w:val="99"/>
    <w:rsid w:val="008C1822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8C1822"/>
    <w:rPr>
      <w:rFonts w:cs="Mangal"/>
      <w:sz w:val="24"/>
      <w:szCs w:val="21"/>
      <w:lang w:bidi="hi-IN"/>
    </w:rPr>
  </w:style>
  <w:style w:type="paragraph" w:styleId="BodyText">
    <w:name w:val="Body Text"/>
    <w:basedOn w:val="Normal"/>
    <w:link w:val="BodyTextChar"/>
    <w:rsid w:val="00FA17C5"/>
    <w:pPr>
      <w:suppressAutoHyphens/>
      <w:spacing w:after="120" w:line="360" w:lineRule="auto"/>
    </w:pPr>
    <w:rPr>
      <w:rFonts w:ascii="Helvetica" w:hAnsi="Helvetica" w:cs="Times New Roman"/>
      <w:szCs w:val="20"/>
      <w:lang w:val="en-GB" w:eastAsia="ar-SA" w:bidi="ar-SA"/>
    </w:rPr>
  </w:style>
  <w:style w:type="character" w:customStyle="1" w:styleId="BodyTextChar">
    <w:name w:val="Body Text Char"/>
    <w:basedOn w:val="DefaultParagraphFont"/>
    <w:link w:val="BodyText"/>
    <w:rsid w:val="00FA17C5"/>
    <w:rPr>
      <w:rFonts w:ascii="Helvetica" w:hAnsi="Helvetica"/>
      <w:sz w:val="24"/>
      <w:lang w:val="en-GB" w:eastAsia="ar-SA"/>
    </w:rPr>
  </w:style>
  <w:style w:type="character" w:styleId="Hyperlink">
    <w:name w:val="Hyperlink"/>
    <w:basedOn w:val="DefaultParagraphFont"/>
    <w:rsid w:val="00FA17C5"/>
    <w:rPr>
      <w:color w:val="0000FF"/>
      <w:u w:val="single"/>
    </w:rPr>
  </w:style>
  <w:style w:type="character" w:styleId="CommentReference">
    <w:name w:val="annotation reference"/>
    <w:basedOn w:val="DefaultParagraphFont"/>
    <w:rsid w:val="00D052BA"/>
    <w:rPr>
      <w:sz w:val="16"/>
      <w:szCs w:val="16"/>
    </w:rPr>
  </w:style>
  <w:style w:type="paragraph" w:styleId="CommentText">
    <w:name w:val="annotation text"/>
    <w:basedOn w:val="Normal"/>
    <w:link w:val="CommentTextChar"/>
    <w:rsid w:val="00D052BA"/>
    <w:pPr>
      <w:suppressAutoHyphens/>
      <w:spacing w:line="360" w:lineRule="auto"/>
    </w:pPr>
    <w:rPr>
      <w:rFonts w:ascii="Helvetica" w:hAnsi="Helvetica" w:cs="Times New Roman"/>
      <w:sz w:val="20"/>
      <w:szCs w:val="20"/>
      <w:lang w:val="en-GB" w:eastAsia="ar-SA" w:bidi="ar-SA"/>
    </w:rPr>
  </w:style>
  <w:style w:type="character" w:customStyle="1" w:styleId="CommentTextChar">
    <w:name w:val="Comment Text Char"/>
    <w:basedOn w:val="DefaultParagraphFont"/>
    <w:link w:val="CommentText"/>
    <w:rsid w:val="00D052BA"/>
    <w:rPr>
      <w:rFonts w:ascii="Helvetica" w:hAnsi="Helvetica"/>
      <w:lang w:val="en-GB" w:eastAsia="ar-SA"/>
    </w:rPr>
  </w:style>
  <w:style w:type="paragraph" w:styleId="BalloonText">
    <w:name w:val="Balloon Text"/>
    <w:basedOn w:val="Normal"/>
    <w:link w:val="BalloonTextChar"/>
    <w:rsid w:val="00D052BA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rsid w:val="00D052BA"/>
    <w:rPr>
      <w:rFonts w:ascii="Tahoma" w:hAnsi="Tahoma" w:cs="Mangal"/>
      <w:sz w:val="16"/>
      <w:szCs w:val="14"/>
      <w:lang w:bidi="hi-IN"/>
    </w:rPr>
  </w:style>
  <w:style w:type="paragraph" w:customStyle="1" w:styleId="Default">
    <w:name w:val="Default"/>
    <w:rsid w:val="00D052B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Lentz</dc:creator>
  <cp:lastModifiedBy>User</cp:lastModifiedBy>
  <cp:revision>2</cp:revision>
  <dcterms:created xsi:type="dcterms:W3CDTF">2010-09-04T02:26:00Z</dcterms:created>
  <dcterms:modified xsi:type="dcterms:W3CDTF">2010-09-04T02:26:00Z</dcterms:modified>
</cp:coreProperties>
</file>