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B5" w:rsidRDefault="00D510B5" w:rsidP="00486F62">
      <w:pPr>
        <w:jc w:val="center"/>
        <w:rPr>
          <w:rFonts w:ascii="Times New Roman" w:hAnsi="Times New Roman" w:cs="Times New Roman"/>
          <w:b/>
          <w:sz w:val="24"/>
          <w:szCs w:val="24"/>
        </w:rPr>
      </w:pPr>
      <w:r>
        <w:rPr>
          <w:rFonts w:ascii="Times New Roman" w:hAnsi="Times New Roman" w:cs="Times New Roman"/>
          <w:b/>
          <w:sz w:val="24"/>
          <w:szCs w:val="24"/>
        </w:rPr>
        <w:t>Draft Applicant Guidebook Version 4</w:t>
      </w:r>
      <w:r w:rsidR="008045BC">
        <w:rPr>
          <w:rFonts w:ascii="Times New Roman" w:hAnsi="Times New Roman" w:cs="Times New Roman"/>
          <w:b/>
          <w:sz w:val="24"/>
          <w:szCs w:val="24"/>
        </w:rPr>
        <w:t xml:space="preserve"> </w:t>
      </w:r>
      <w:r>
        <w:rPr>
          <w:rFonts w:ascii="Times New Roman" w:hAnsi="Times New Roman" w:cs="Times New Roman"/>
          <w:b/>
          <w:sz w:val="24"/>
          <w:szCs w:val="24"/>
        </w:rPr>
        <w:t>Comments from Chuck Gomes</w:t>
      </w:r>
    </w:p>
    <w:p w:rsidR="00FF1D7E" w:rsidRDefault="00EB3BBF" w:rsidP="00486F62">
      <w:pPr>
        <w:jc w:val="center"/>
        <w:rPr>
          <w:rFonts w:ascii="Times New Roman" w:hAnsi="Times New Roman" w:cs="Times New Roman"/>
          <w:b/>
          <w:sz w:val="24"/>
          <w:szCs w:val="24"/>
        </w:rPr>
      </w:pPr>
      <w:r>
        <w:rPr>
          <w:rFonts w:ascii="Times New Roman" w:hAnsi="Times New Roman" w:cs="Times New Roman"/>
          <w:b/>
          <w:sz w:val="24"/>
          <w:szCs w:val="24"/>
        </w:rPr>
        <w:t xml:space="preserve">21 </w:t>
      </w:r>
      <w:r w:rsidRPr="00D52894">
        <w:rPr>
          <w:rFonts w:ascii="Times New Roman" w:hAnsi="Times New Roman" w:cs="Times New Roman"/>
          <w:b/>
          <w:sz w:val="24"/>
          <w:szCs w:val="24"/>
        </w:rPr>
        <w:t>July</w:t>
      </w:r>
      <w:r w:rsidR="00D52894" w:rsidRPr="00D52894">
        <w:rPr>
          <w:rFonts w:ascii="Times New Roman" w:hAnsi="Times New Roman" w:cs="Times New Roman"/>
          <w:b/>
          <w:sz w:val="24"/>
          <w:szCs w:val="24"/>
        </w:rPr>
        <w:t xml:space="preserve"> 2010</w:t>
      </w:r>
    </w:p>
    <w:p w:rsidR="00486F62" w:rsidRPr="00B60407" w:rsidRDefault="00B60407" w:rsidP="00B60407">
      <w:pPr>
        <w:rPr>
          <w:rFonts w:ascii="Times New Roman" w:hAnsi="Times New Roman" w:cs="Times New Roman"/>
          <w:b/>
          <w:sz w:val="24"/>
          <w:szCs w:val="24"/>
          <w:u w:val="single"/>
        </w:rPr>
      </w:pPr>
      <w:r w:rsidRPr="00B60407">
        <w:rPr>
          <w:rFonts w:ascii="Times New Roman" w:hAnsi="Times New Roman" w:cs="Times New Roman"/>
          <w:b/>
          <w:sz w:val="24"/>
          <w:szCs w:val="24"/>
          <w:u w:val="single"/>
        </w:rPr>
        <w:t>Module 1</w:t>
      </w:r>
    </w:p>
    <w:p w:rsidR="00D52894" w:rsidRPr="00486F62" w:rsidRDefault="00D52894">
      <w:pPr>
        <w:rPr>
          <w:rFonts w:ascii="Times New Roman" w:hAnsi="Times New Roman" w:cs="Times New Roman"/>
          <w:b/>
          <w:sz w:val="24"/>
          <w:szCs w:val="24"/>
        </w:rPr>
      </w:pPr>
      <w:r w:rsidRPr="00486F62">
        <w:rPr>
          <w:rFonts w:ascii="Times New Roman" w:hAnsi="Times New Roman" w:cs="Times New Roman"/>
          <w:b/>
          <w:sz w:val="24"/>
          <w:szCs w:val="24"/>
        </w:rPr>
        <w:t>1.1.2.5 Public Comment</w:t>
      </w:r>
    </w:p>
    <w:p w:rsidR="00D52894" w:rsidRDefault="00D52894">
      <w:pPr>
        <w:rPr>
          <w:rFonts w:ascii="Times New Roman" w:hAnsi="Times New Roman" w:cs="Times New Roman"/>
          <w:sz w:val="24"/>
          <w:szCs w:val="24"/>
        </w:rPr>
      </w:pPr>
      <w:r>
        <w:rPr>
          <w:rFonts w:ascii="Times New Roman" w:hAnsi="Times New Roman" w:cs="Times New Roman"/>
          <w:sz w:val="24"/>
          <w:szCs w:val="24"/>
        </w:rPr>
        <w:t>The following paragraph was deleted in DAG3 and reinstated in DAG4: “</w:t>
      </w:r>
      <w:r w:rsidRPr="00D52894">
        <w:rPr>
          <w:rFonts w:ascii="Times New Roman" w:hAnsi="Times New Roman" w:cs="Times New Roman"/>
          <w:i/>
          <w:sz w:val="24"/>
          <w:szCs w:val="24"/>
        </w:rPr>
        <w:t>A distinction should be made between public comments, which may be relevant to ICANN’s task of determining whether applications meet the established criteria, and formal objections that concern matters outside those evaluation criteria. The formal objection process was created to allow a full and fair consideration of objections based on limited areas outside ICANN’s evaluation of applications on their merits. Public comments associated with formal objections will not be considered by panels during Initial Evaluation; however, they may be subsequently considered by an expert panel during a dispute resolution proceeding (see subsection 1.1.2.7).</w:t>
      </w:r>
      <w:r>
        <w:rPr>
          <w:rFonts w:ascii="Times New Roman" w:hAnsi="Times New Roman" w:cs="Times New Roman"/>
          <w:sz w:val="24"/>
          <w:szCs w:val="24"/>
        </w:rPr>
        <w:t>”</w:t>
      </w:r>
    </w:p>
    <w:p w:rsidR="00D52894" w:rsidRDefault="00454718">
      <w:pPr>
        <w:rPr>
          <w:rFonts w:ascii="Times New Roman" w:hAnsi="Times New Roman" w:cs="Times New Roman"/>
          <w:sz w:val="24"/>
          <w:szCs w:val="24"/>
        </w:rPr>
      </w:pPr>
      <w:r>
        <w:rPr>
          <w:rFonts w:ascii="Times New Roman" w:hAnsi="Times New Roman" w:cs="Times New Roman"/>
          <w:sz w:val="24"/>
          <w:szCs w:val="24"/>
        </w:rPr>
        <w:t>C</w:t>
      </w:r>
      <w:r w:rsidR="00D52894">
        <w:rPr>
          <w:rFonts w:ascii="Times New Roman" w:hAnsi="Times New Roman" w:cs="Times New Roman"/>
          <w:sz w:val="24"/>
          <w:szCs w:val="24"/>
        </w:rPr>
        <w:t>omments/questions:</w:t>
      </w:r>
    </w:p>
    <w:p w:rsidR="00D52894" w:rsidRPr="00EE0D37" w:rsidRDefault="00D52894" w:rsidP="00EE0D37">
      <w:pPr>
        <w:pStyle w:val="ListParagraph"/>
        <w:numPr>
          <w:ilvl w:val="0"/>
          <w:numId w:val="1"/>
        </w:numPr>
        <w:rPr>
          <w:rFonts w:ascii="Times New Roman" w:hAnsi="Times New Roman" w:cs="Times New Roman"/>
          <w:sz w:val="24"/>
          <w:szCs w:val="24"/>
        </w:rPr>
      </w:pPr>
      <w:r w:rsidRPr="00EE0D37">
        <w:rPr>
          <w:rFonts w:ascii="Times New Roman" w:hAnsi="Times New Roman" w:cs="Times New Roman"/>
          <w:sz w:val="24"/>
          <w:szCs w:val="24"/>
        </w:rPr>
        <w:t>ICANN staff consideration of comments may be different than how independent</w:t>
      </w:r>
      <w:r w:rsidR="00C0027A">
        <w:rPr>
          <w:rFonts w:ascii="Times New Roman" w:hAnsi="Times New Roman" w:cs="Times New Roman"/>
          <w:sz w:val="24"/>
          <w:szCs w:val="24"/>
        </w:rPr>
        <w:t xml:space="preserve"> evaluators consider them.  There should</w:t>
      </w:r>
      <w:r w:rsidRPr="00EE0D37">
        <w:rPr>
          <w:rFonts w:ascii="Times New Roman" w:hAnsi="Times New Roman" w:cs="Times New Roman"/>
          <w:sz w:val="24"/>
          <w:szCs w:val="24"/>
        </w:rPr>
        <w:t xml:space="preserve"> be guidelines for evaluators</w:t>
      </w:r>
      <w:r w:rsidR="00C0027A">
        <w:rPr>
          <w:rFonts w:ascii="Times New Roman" w:hAnsi="Times New Roman" w:cs="Times New Roman"/>
          <w:sz w:val="24"/>
          <w:szCs w:val="24"/>
        </w:rPr>
        <w:t xml:space="preserve"> to use when assessing comments. </w:t>
      </w:r>
      <w:r w:rsidRPr="00EE0D37">
        <w:rPr>
          <w:rFonts w:ascii="Times New Roman" w:hAnsi="Times New Roman" w:cs="Times New Roman"/>
          <w:sz w:val="24"/>
          <w:szCs w:val="24"/>
        </w:rPr>
        <w:t>How will those be determined?</w:t>
      </w:r>
      <w:r w:rsidR="00EE0D37" w:rsidRPr="00EE0D37">
        <w:rPr>
          <w:rFonts w:ascii="Times New Roman" w:hAnsi="Times New Roman" w:cs="Times New Roman"/>
          <w:sz w:val="24"/>
          <w:szCs w:val="24"/>
        </w:rPr>
        <w:t xml:space="preserve">  </w:t>
      </w:r>
      <w:r w:rsidRPr="00EE0D37">
        <w:rPr>
          <w:rFonts w:ascii="Times New Roman" w:hAnsi="Times New Roman" w:cs="Times New Roman"/>
          <w:sz w:val="24"/>
          <w:szCs w:val="24"/>
        </w:rPr>
        <w:t>How will quality vs. quantity of comments be measured?</w:t>
      </w:r>
    </w:p>
    <w:p w:rsidR="00D52894" w:rsidRPr="00BB6635" w:rsidRDefault="00D52894" w:rsidP="00D52894">
      <w:pPr>
        <w:pStyle w:val="ListParagraph"/>
        <w:numPr>
          <w:ilvl w:val="0"/>
          <w:numId w:val="1"/>
        </w:numPr>
        <w:rPr>
          <w:rFonts w:ascii="Times New Roman" w:hAnsi="Times New Roman" w:cs="Times New Roman"/>
          <w:sz w:val="24"/>
          <w:szCs w:val="24"/>
        </w:rPr>
      </w:pPr>
      <w:r w:rsidRPr="00BB6635">
        <w:rPr>
          <w:rFonts w:ascii="Times New Roman" w:hAnsi="Times New Roman" w:cs="Times New Roman"/>
          <w:sz w:val="24"/>
          <w:szCs w:val="24"/>
        </w:rPr>
        <w:t xml:space="preserve">Theoretically </w:t>
      </w:r>
      <w:r w:rsidR="00EE0D37">
        <w:rPr>
          <w:rFonts w:ascii="Times New Roman" w:hAnsi="Times New Roman" w:cs="Times New Roman"/>
          <w:sz w:val="24"/>
          <w:szCs w:val="24"/>
        </w:rPr>
        <w:t>there could be</w:t>
      </w:r>
      <w:r w:rsidRPr="00BB6635">
        <w:rPr>
          <w:rFonts w:ascii="Times New Roman" w:hAnsi="Times New Roman" w:cs="Times New Roman"/>
          <w:sz w:val="24"/>
          <w:szCs w:val="24"/>
        </w:rPr>
        <w:t xml:space="preserve"> 500 comment periods open at once, depending on how many applications there are.</w:t>
      </w:r>
      <w:r w:rsidR="00EE0D37">
        <w:rPr>
          <w:rFonts w:ascii="Times New Roman" w:hAnsi="Times New Roman" w:cs="Times New Roman"/>
          <w:sz w:val="24"/>
          <w:szCs w:val="24"/>
        </w:rPr>
        <w:t xml:space="preserve">  How will this be managed?</w:t>
      </w:r>
    </w:p>
    <w:p w:rsidR="00D52894" w:rsidRPr="00BB6635" w:rsidRDefault="00EE0D37" w:rsidP="00D52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w:t>
      </w:r>
      <w:r w:rsidR="00D52894" w:rsidRPr="00BB6635">
        <w:rPr>
          <w:rFonts w:ascii="Times New Roman" w:hAnsi="Times New Roman" w:cs="Times New Roman"/>
          <w:sz w:val="24"/>
          <w:szCs w:val="24"/>
        </w:rPr>
        <w:t xml:space="preserve">nitial comment period is 45 days but </w:t>
      </w:r>
      <w:r>
        <w:rPr>
          <w:rFonts w:ascii="Times New Roman" w:hAnsi="Times New Roman" w:cs="Times New Roman"/>
          <w:sz w:val="24"/>
          <w:szCs w:val="24"/>
        </w:rPr>
        <w:t xml:space="preserve">is </w:t>
      </w:r>
      <w:r w:rsidR="00D52894" w:rsidRPr="00BB6635">
        <w:rPr>
          <w:rFonts w:ascii="Times New Roman" w:hAnsi="Times New Roman" w:cs="Times New Roman"/>
          <w:sz w:val="24"/>
          <w:szCs w:val="24"/>
        </w:rPr>
        <w:t xml:space="preserve">open to extension. </w:t>
      </w:r>
      <w:r>
        <w:rPr>
          <w:rFonts w:ascii="Times New Roman" w:hAnsi="Times New Roman" w:cs="Times New Roman"/>
          <w:sz w:val="24"/>
          <w:szCs w:val="24"/>
        </w:rPr>
        <w:t xml:space="preserve"> A</w:t>
      </w:r>
      <w:r w:rsidR="00D52894" w:rsidRPr="00BB6635">
        <w:rPr>
          <w:rFonts w:ascii="Times New Roman" w:hAnsi="Times New Roman" w:cs="Times New Roman"/>
          <w:sz w:val="24"/>
          <w:szCs w:val="24"/>
        </w:rPr>
        <w:t>t whose discretion</w:t>
      </w:r>
      <w:r w:rsidR="00130969">
        <w:rPr>
          <w:rFonts w:ascii="Times New Roman" w:hAnsi="Times New Roman" w:cs="Times New Roman"/>
          <w:sz w:val="24"/>
          <w:szCs w:val="24"/>
        </w:rPr>
        <w:t xml:space="preserve"> and for what additional duration?</w:t>
      </w:r>
    </w:p>
    <w:p w:rsidR="00D52894" w:rsidRDefault="00EE0D37" w:rsidP="00D52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Comments may</w:t>
      </w:r>
      <w:r w:rsidR="00D52894" w:rsidRPr="00BB6635">
        <w:rPr>
          <w:rFonts w:ascii="Times New Roman" w:hAnsi="Times New Roman" w:cs="Times New Roman"/>
          <w:sz w:val="24"/>
          <w:szCs w:val="24"/>
        </w:rPr>
        <w:t xml:space="preserve"> be used in </w:t>
      </w:r>
      <w:r>
        <w:rPr>
          <w:rFonts w:ascii="Times New Roman" w:hAnsi="Times New Roman" w:cs="Times New Roman"/>
          <w:sz w:val="24"/>
          <w:szCs w:val="24"/>
        </w:rPr>
        <w:t>Dispute Resolution Procedures (</w:t>
      </w:r>
      <w:r w:rsidR="00D52894" w:rsidRPr="00BB6635">
        <w:rPr>
          <w:rFonts w:ascii="Times New Roman" w:hAnsi="Times New Roman" w:cs="Times New Roman"/>
          <w:sz w:val="24"/>
          <w:szCs w:val="24"/>
        </w:rPr>
        <w:t>see 1.1.2.7</w:t>
      </w:r>
      <w:r w:rsidR="00C0027A">
        <w:rPr>
          <w:rFonts w:ascii="Times New Roman" w:hAnsi="Times New Roman" w:cs="Times New Roman"/>
          <w:sz w:val="24"/>
          <w:szCs w:val="24"/>
        </w:rPr>
        <w:t xml:space="preserve">); </w:t>
      </w:r>
      <w:r>
        <w:rPr>
          <w:rFonts w:ascii="Times New Roman" w:hAnsi="Times New Roman" w:cs="Times New Roman"/>
          <w:sz w:val="24"/>
          <w:szCs w:val="24"/>
        </w:rPr>
        <w:t xml:space="preserve">DRPs </w:t>
      </w:r>
      <w:r w:rsidR="00C0027A">
        <w:rPr>
          <w:rFonts w:ascii="Times New Roman" w:hAnsi="Times New Roman" w:cs="Times New Roman"/>
          <w:sz w:val="24"/>
          <w:szCs w:val="24"/>
        </w:rPr>
        <w:t xml:space="preserve">should </w:t>
      </w:r>
      <w:r>
        <w:rPr>
          <w:rFonts w:ascii="Times New Roman" w:hAnsi="Times New Roman" w:cs="Times New Roman"/>
          <w:sz w:val="24"/>
          <w:szCs w:val="24"/>
        </w:rPr>
        <w:t>be given guidelines r</w:t>
      </w:r>
      <w:r w:rsidR="00C0027A">
        <w:rPr>
          <w:rFonts w:ascii="Times New Roman" w:hAnsi="Times New Roman" w:cs="Times New Roman"/>
          <w:sz w:val="24"/>
          <w:szCs w:val="24"/>
        </w:rPr>
        <w:t>egarding how to assess comments.</w:t>
      </w:r>
    </w:p>
    <w:p w:rsidR="00A769A7" w:rsidRPr="00A769A7" w:rsidRDefault="00A769A7" w:rsidP="00A769A7">
      <w:pPr>
        <w:rPr>
          <w:rFonts w:ascii="Times New Roman" w:hAnsi="Times New Roman" w:cs="Times New Roman"/>
          <w:b/>
          <w:bCs/>
          <w:iCs/>
          <w:sz w:val="24"/>
          <w:szCs w:val="24"/>
        </w:rPr>
      </w:pPr>
      <w:r w:rsidRPr="00A769A7">
        <w:rPr>
          <w:rFonts w:ascii="Times New Roman" w:hAnsi="Times New Roman" w:cs="Times New Roman"/>
          <w:b/>
          <w:sz w:val="24"/>
          <w:szCs w:val="24"/>
        </w:rPr>
        <w:t xml:space="preserve">1.5.2 </w:t>
      </w:r>
      <w:r w:rsidRPr="00A769A7">
        <w:rPr>
          <w:rFonts w:ascii="Times New Roman" w:hAnsi="Times New Roman" w:cs="Times New Roman"/>
          <w:b/>
          <w:bCs/>
          <w:iCs/>
          <w:sz w:val="24"/>
          <w:szCs w:val="24"/>
        </w:rPr>
        <w:t>Fees Required in Some Cases</w:t>
      </w:r>
    </w:p>
    <w:p w:rsidR="00EE0D37" w:rsidRDefault="00A769A7" w:rsidP="00A769A7">
      <w:pPr>
        <w:rPr>
          <w:rFonts w:ascii="Times New Roman" w:hAnsi="Times New Roman" w:cs="Times New Roman"/>
          <w:bCs/>
          <w:iCs/>
          <w:sz w:val="24"/>
          <w:szCs w:val="24"/>
        </w:rPr>
      </w:pPr>
      <w:r w:rsidRPr="00A769A7">
        <w:rPr>
          <w:rFonts w:ascii="Times New Roman" w:hAnsi="Times New Roman" w:cs="Times New Roman"/>
          <w:bCs/>
          <w:iCs/>
          <w:sz w:val="24"/>
          <w:szCs w:val="24"/>
        </w:rPr>
        <w:t>No changes were made to the possible fees for use of the RSEP Process.  A 3-person RSEP panel is estimated to cost $50,000. Costs could be higher for a 5-person panel or for other complexities.</w:t>
      </w:r>
    </w:p>
    <w:p w:rsidR="00A769A7" w:rsidRDefault="00454718" w:rsidP="00A769A7">
      <w:pPr>
        <w:rPr>
          <w:rFonts w:ascii="Times New Roman" w:hAnsi="Times New Roman" w:cs="Times New Roman"/>
          <w:sz w:val="24"/>
          <w:szCs w:val="24"/>
        </w:rPr>
      </w:pPr>
      <w:r>
        <w:rPr>
          <w:rFonts w:ascii="Times New Roman" w:hAnsi="Times New Roman" w:cs="Times New Roman"/>
          <w:sz w:val="24"/>
          <w:szCs w:val="24"/>
        </w:rPr>
        <w:t>C</w:t>
      </w:r>
      <w:r w:rsidR="00A769A7">
        <w:rPr>
          <w:rFonts w:ascii="Times New Roman" w:hAnsi="Times New Roman" w:cs="Times New Roman"/>
          <w:sz w:val="24"/>
          <w:szCs w:val="24"/>
        </w:rPr>
        <w:t>omments/questions:</w:t>
      </w:r>
    </w:p>
    <w:p w:rsidR="00A769A7" w:rsidRDefault="00A769A7" w:rsidP="00A769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cost estimate seems extremely high.  What are the individual cost factors that make up this estimate?</w:t>
      </w:r>
    </w:p>
    <w:p w:rsidR="00A769A7" w:rsidRDefault="00A769A7" w:rsidP="00A769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RSEP process was implemented several years ago when there was no historical basis that could be used to develop a </w:t>
      </w:r>
      <w:r w:rsidR="00454718">
        <w:rPr>
          <w:rFonts w:ascii="Times New Roman" w:hAnsi="Times New Roman" w:cs="Times New Roman"/>
          <w:sz w:val="24"/>
          <w:szCs w:val="24"/>
        </w:rPr>
        <w:t>cost model.  There are now some</w:t>
      </w:r>
      <w:r>
        <w:rPr>
          <w:rFonts w:ascii="Times New Roman" w:hAnsi="Times New Roman" w:cs="Times New Roman"/>
          <w:sz w:val="24"/>
          <w:szCs w:val="24"/>
        </w:rPr>
        <w:t xml:space="preserve"> actual RSEP cases that have been processed.  The cost model should be re-evaluated and made more cost effective.</w:t>
      </w:r>
    </w:p>
    <w:p w:rsidR="00B60407" w:rsidRPr="00B60407" w:rsidRDefault="00B60407" w:rsidP="00486F62">
      <w:pPr>
        <w:rPr>
          <w:rFonts w:ascii="BookAntiqua-BoldItalic" w:hAnsi="BookAntiqua-BoldItalic" w:cs="BookAntiqua-BoldItalic"/>
          <w:b/>
          <w:bCs/>
          <w:iCs/>
          <w:sz w:val="24"/>
          <w:szCs w:val="24"/>
          <w:u w:val="single"/>
        </w:rPr>
      </w:pPr>
      <w:r>
        <w:rPr>
          <w:rFonts w:ascii="BookAntiqua-BoldItalic" w:hAnsi="BookAntiqua-BoldItalic" w:cs="BookAntiqua-BoldItalic"/>
          <w:b/>
          <w:bCs/>
          <w:iCs/>
          <w:sz w:val="24"/>
          <w:szCs w:val="24"/>
          <w:u w:val="single"/>
        </w:rPr>
        <w:t>Module 2</w:t>
      </w:r>
    </w:p>
    <w:p w:rsidR="00486F62" w:rsidRPr="00486F62" w:rsidRDefault="00486F62" w:rsidP="00486F62">
      <w:pPr>
        <w:rPr>
          <w:rFonts w:ascii="Times New Roman" w:hAnsi="Times New Roman" w:cs="Times New Roman"/>
          <w:sz w:val="24"/>
          <w:szCs w:val="24"/>
        </w:rPr>
      </w:pPr>
      <w:r w:rsidRPr="00486F62">
        <w:rPr>
          <w:rFonts w:ascii="BookAntiqua-BoldItalic" w:hAnsi="BookAntiqua-BoldItalic" w:cs="BookAntiqua-BoldItalic"/>
          <w:b/>
          <w:bCs/>
          <w:iCs/>
          <w:sz w:val="24"/>
          <w:szCs w:val="24"/>
        </w:rPr>
        <w:lastRenderedPageBreak/>
        <w:t>2.2.1.1 String Similarity Review</w:t>
      </w:r>
    </w:p>
    <w:p w:rsidR="00A769A7" w:rsidRPr="00486F62" w:rsidRDefault="00486F62" w:rsidP="00486F62">
      <w:pPr>
        <w:rPr>
          <w:rFonts w:ascii="Times New Roman" w:hAnsi="Times New Roman" w:cs="Times New Roman"/>
          <w:sz w:val="24"/>
          <w:szCs w:val="24"/>
        </w:rPr>
      </w:pPr>
      <w:r w:rsidRPr="00486F62">
        <w:rPr>
          <w:rFonts w:ascii="Times New Roman" w:hAnsi="Times New Roman" w:cs="Times New Roman"/>
          <w:sz w:val="24"/>
          <w:szCs w:val="24"/>
        </w:rPr>
        <w:t xml:space="preserve">No changes were made to this section.  The RySG had recommended after DAG2 and DAG3 that “When performing the string confusion review against existing TLDs, an appropriate exception should be allowed in cases where the applicant is applying for an IDN version of its existing gTLD name.”  </w:t>
      </w:r>
      <w:r>
        <w:rPr>
          <w:rFonts w:ascii="Times New Roman" w:hAnsi="Times New Roman" w:cs="Times New Roman"/>
          <w:sz w:val="24"/>
          <w:szCs w:val="24"/>
        </w:rPr>
        <w:t xml:space="preserve">On 15 July </w:t>
      </w:r>
      <w:r w:rsidRPr="00486F62">
        <w:rPr>
          <w:rFonts w:ascii="Times New Roman" w:hAnsi="Times New Roman" w:cs="Times New Roman"/>
          <w:sz w:val="24"/>
          <w:szCs w:val="24"/>
        </w:rPr>
        <w:t xml:space="preserve">the GNSO Council </w:t>
      </w:r>
      <w:r>
        <w:rPr>
          <w:rFonts w:ascii="Times New Roman" w:hAnsi="Times New Roman" w:cs="Times New Roman"/>
          <w:sz w:val="24"/>
          <w:szCs w:val="24"/>
        </w:rPr>
        <w:t>acted on</w:t>
      </w:r>
      <w:r w:rsidRPr="00486F62">
        <w:rPr>
          <w:rFonts w:ascii="Times New Roman" w:hAnsi="Times New Roman" w:cs="Times New Roman"/>
          <w:sz w:val="24"/>
          <w:szCs w:val="24"/>
        </w:rPr>
        <w:t xml:space="preserve"> a motion to recommend that extended evaluation be allowed in cases where string similarity may not be detrimental.</w:t>
      </w:r>
    </w:p>
    <w:p w:rsidR="00486F62" w:rsidRDefault="00454718" w:rsidP="00454718">
      <w:pPr>
        <w:rPr>
          <w:rFonts w:ascii="Times New Roman" w:hAnsi="Times New Roman" w:cs="Times New Roman"/>
          <w:sz w:val="24"/>
          <w:szCs w:val="24"/>
        </w:rPr>
      </w:pPr>
      <w:r>
        <w:rPr>
          <w:rFonts w:ascii="Times New Roman" w:hAnsi="Times New Roman" w:cs="Times New Roman"/>
          <w:sz w:val="24"/>
          <w:szCs w:val="24"/>
        </w:rPr>
        <w:t>Comments</w:t>
      </w:r>
      <w:r w:rsidR="00486F62">
        <w:rPr>
          <w:rFonts w:ascii="Times New Roman" w:hAnsi="Times New Roman" w:cs="Times New Roman"/>
          <w:sz w:val="24"/>
          <w:szCs w:val="24"/>
        </w:rPr>
        <w:t>:</w:t>
      </w:r>
      <w:r>
        <w:rPr>
          <w:rFonts w:ascii="Times New Roman" w:hAnsi="Times New Roman" w:cs="Times New Roman"/>
          <w:sz w:val="24"/>
          <w:szCs w:val="24"/>
        </w:rPr>
        <w:t xml:space="preserve"> S</w:t>
      </w:r>
      <w:r w:rsidR="00486F62">
        <w:rPr>
          <w:rFonts w:ascii="Times New Roman" w:hAnsi="Times New Roman" w:cs="Times New Roman"/>
          <w:sz w:val="24"/>
          <w:szCs w:val="24"/>
        </w:rPr>
        <w:t>trings t</w:t>
      </w:r>
      <w:r>
        <w:rPr>
          <w:rFonts w:ascii="Times New Roman" w:hAnsi="Times New Roman" w:cs="Times New Roman"/>
          <w:sz w:val="24"/>
          <w:szCs w:val="24"/>
        </w:rPr>
        <w:t xml:space="preserve">hat may be judged to be similar </w:t>
      </w:r>
      <w:r w:rsidR="00486F62">
        <w:rPr>
          <w:rFonts w:ascii="Times New Roman" w:hAnsi="Times New Roman" w:cs="Times New Roman"/>
          <w:sz w:val="24"/>
          <w:szCs w:val="24"/>
        </w:rPr>
        <w:t xml:space="preserve">but in a non-detrimental way should not be eliminated in Initial Evaluation, but </w:t>
      </w:r>
      <w:r>
        <w:rPr>
          <w:rFonts w:ascii="Times New Roman" w:hAnsi="Times New Roman" w:cs="Times New Roman"/>
          <w:sz w:val="24"/>
          <w:szCs w:val="24"/>
        </w:rPr>
        <w:t>in case that</w:t>
      </w:r>
      <w:r w:rsidR="00486F62">
        <w:rPr>
          <w:rFonts w:ascii="Times New Roman" w:hAnsi="Times New Roman" w:cs="Times New Roman"/>
          <w:sz w:val="24"/>
          <w:szCs w:val="24"/>
        </w:rPr>
        <w:t xml:space="preserve"> does happen, the opportunity for correcting the possible error should be provided.</w:t>
      </w:r>
      <w:r>
        <w:rPr>
          <w:rFonts w:ascii="Times New Roman" w:hAnsi="Times New Roman" w:cs="Times New Roman"/>
          <w:sz w:val="24"/>
          <w:szCs w:val="24"/>
        </w:rPr>
        <w:t xml:space="preserve">  The focus should be on a good user experience; it is very possible that two strings could be similar but not create confusion and instead provide for a better user experience.</w:t>
      </w:r>
    </w:p>
    <w:p w:rsidR="00424214" w:rsidRPr="00424214" w:rsidRDefault="00424214" w:rsidP="00424214">
      <w:pPr>
        <w:rPr>
          <w:rFonts w:ascii="Times New Roman" w:hAnsi="Times New Roman" w:cs="Times New Roman"/>
          <w:bCs/>
          <w:iCs/>
          <w:sz w:val="24"/>
          <w:szCs w:val="24"/>
        </w:rPr>
      </w:pPr>
      <w:r w:rsidRPr="00424214">
        <w:rPr>
          <w:rFonts w:ascii="Times New Roman" w:hAnsi="Times New Roman" w:cs="Times New Roman"/>
          <w:b/>
          <w:bCs/>
          <w:iCs/>
          <w:sz w:val="24"/>
          <w:szCs w:val="24"/>
        </w:rPr>
        <w:t>2.2.2.3 Evaluation Methodology</w:t>
      </w:r>
    </w:p>
    <w:p w:rsidR="00424214" w:rsidRPr="00424214" w:rsidRDefault="00424214" w:rsidP="00424214">
      <w:pPr>
        <w:autoSpaceDE w:val="0"/>
        <w:autoSpaceDN w:val="0"/>
        <w:adjustRightInd w:val="0"/>
        <w:spacing w:after="0"/>
        <w:rPr>
          <w:rFonts w:ascii="Times New Roman" w:hAnsi="Times New Roman" w:cs="Times New Roman"/>
          <w:i/>
          <w:color w:val="000000"/>
          <w:sz w:val="24"/>
          <w:szCs w:val="24"/>
        </w:rPr>
      </w:pPr>
      <w:r w:rsidRPr="00424214">
        <w:rPr>
          <w:rFonts w:ascii="Times New Roman" w:hAnsi="Times New Roman" w:cs="Times New Roman"/>
          <w:sz w:val="24"/>
          <w:szCs w:val="24"/>
        </w:rPr>
        <w:t>Some changes were made in the second paragraph</w:t>
      </w:r>
      <w:r>
        <w:rPr>
          <w:rFonts w:ascii="Times New Roman" w:hAnsi="Times New Roman" w:cs="Times New Roman"/>
          <w:sz w:val="24"/>
          <w:szCs w:val="24"/>
        </w:rPr>
        <w:t xml:space="preserve"> as shown in red font</w:t>
      </w:r>
      <w:r w:rsidRPr="00424214">
        <w:rPr>
          <w:rFonts w:ascii="Times New Roman" w:hAnsi="Times New Roman" w:cs="Times New Roman"/>
          <w:sz w:val="24"/>
          <w:szCs w:val="24"/>
        </w:rPr>
        <w:t>: “</w:t>
      </w:r>
      <w:r w:rsidRPr="00424214">
        <w:rPr>
          <w:rFonts w:ascii="Times New Roman" w:hAnsi="Times New Roman" w:cs="Times New Roman"/>
          <w:i/>
          <w:color w:val="000000"/>
          <w:sz w:val="24"/>
          <w:szCs w:val="24"/>
        </w:rPr>
        <w:t xml:space="preserve">The evaluators may request clarification or additional information during the Initial Evaluation period. </w:t>
      </w:r>
      <w:r w:rsidRPr="00424214">
        <w:rPr>
          <w:rFonts w:ascii="Times New Roman" w:hAnsi="Times New Roman" w:cs="Times New Roman"/>
          <w:i/>
          <w:color w:val="FF0101"/>
          <w:sz w:val="24"/>
          <w:szCs w:val="24"/>
        </w:rPr>
        <w:t xml:space="preserve">For each application, clarifying questions will be consolidated and sent to the applicant from each of the panels. </w:t>
      </w:r>
      <w:r w:rsidRPr="00424214">
        <w:rPr>
          <w:rFonts w:ascii="Times New Roman" w:hAnsi="Times New Roman" w:cs="Times New Roman"/>
          <w:i/>
          <w:color w:val="000000"/>
          <w:sz w:val="24"/>
          <w:szCs w:val="24"/>
        </w:rPr>
        <w:t xml:space="preserve">The applicant will </w:t>
      </w:r>
      <w:r w:rsidRPr="00424214">
        <w:rPr>
          <w:rFonts w:ascii="Times New Roman" w:hAnsi="Times New Roman" w:cs="Times New Roman"/>
          <w:i/>
          <w:color w:val="FF0101"/>
          <w:sz w:val="24"/>
          <w:szCs w:val="24"/>
        </w:rPr>
        <w:t xml:space="preserve">thus </w:t>
      </w:r>
      <w:r w:rsidRPr="00424214">
        <w:rPr>
          <w:rFonts w:ascii="Times New Roman" w:hAnsi="Times New Roman" w:cs="Times New Roman"/>
          <w:i/>
          <w:color w:val="000000"/>
          <w:sz w:val="24"/>
          <w:szCs w:val="24"/>
        </w:rPr>
        <w:t xml:space="preserve">have </w:t>
      </w:r>
      <w:r w:rsidRPr="00424214">
        <w:rPr>
          <w:rFonts w:ascii="Times New Roman" w:hAnsi="Times New Roman" w:cs="Times New Roman"/>
          <w:i/>
          <w:color w:val="FF0101"/>
          <w:sz w:val="24"/>
          <w:szCs w:val="24"/>
        </w:rPr>
        <w:t xml:space="preserve">an </w:t>
      </w:r>
      <w:r w:rsidRPr="00424214">
        <w:rPr>
          <w:rFonts w:ascii="Times New Roman" w:hAnsi="Times New Roman" w:cs="Times New Roman"/>
          <w:i/>
          <w:color w:val="000000"/>
          <w:sz w:val="24"/>
          <w:szCs w:val="24"/>
        </w:rPr>
        <w:t xml:space="preserve">opportunity to clarify or supplement </w:t>
      </w:r>
      <w:r w:rsidRPr="00424214">
        <w:rPr>
          <w:rFonts w:ascii="Times New Roman" w:hAnsi="Times New Roman" w:cs="Times New Roman"/>
          <w:i/>
          <w:color w:val="FF0101"/>
          <w:sz w:val="24"/>
          <w:szCs w:val="24"/>
        </w:rPr>
        <w:t xml:space="preserve">the </w:t>
      </w:r>
      <w:r w:rsidRPr="00424214">
        <w:rPr>
          <w:rFonts w:ascii="Times New Roman" w:hAnsi="Times New Roman" w:cs="Times New Roman"/>
          <w:i/>
          <w:color w:val="000000"/>
          <w:sz w:val="24"/>
          <w:szCs w:val="24"/>
        </w:rPr>
        <w:t xml:space="preserve">application in </w:t>
      </w:r>
      <w:r w:rsidRPr="00424214">
        <w:rPr>
          <w:rFonts w:ascii="Times New Roman" w:hAnsi="Times New Roman" w:cs="Times New Roman"/>
          <w:i/>
          <w:color w:val="FF0101"/>
          <w:sz w:val="24"/>
          <w:szCs w:val="24"/>
        </w:rPr>
        <w:t xml:space="preserve">those </w:t>
      </w:r>
      <w:r w:rsidRPr="00424214">
        <w:rPr>
          <w:rFonts w:ascii="Times New Roman" w:hAnsi="Times New Roman" w:cs="Times New Roman"/>
          <w:i/>
          <w:color w:val="000000"/>
          <w:sz w:val="24"/>
          <w:szCs w:val="24"/>
        </w:rPr>
        <w:t xml:space="preserve">areas </w:t>
      </w:r>
      <w:r w:rsidRPr="00424214">
        <w:rPr>
          <w:rFonts w:ascii="Times New Roman" w:hAnsi="Times New Roman" w:cs="Times New Roman"/>
          <w:i/>
          <w:color w:val="FF0101"/>
          <w:sz w:val="24"/>
          <w:szCs w:val="24"/>
        </w:rPr>
        <w:t xml:space="preserve">where a </w:t>
      </w:r>
      <w:r w:rsidRPr="00424214">
        <w:rPr>
          <w:rFonts w:ascii="Times New Roman" w:hAnsi="Times New Roman" w:cs="Times New Roman"/>
          <w:i/>
          <w:color w:val="000000"/>
          <w:sz w:val="24"/>
          <w:szCs w:val="24"/>
        </w:rPr>
        <w:t>request</w:t>
      </w:r>
      <w:r w:rsidRPr="00424214">
        <w:rPr>
          <w:rFonts w:ascii="Times New Roman" w:hAnsi="Times New Roman" w:cs="Times New Roman"/>
          <w:i/>
          <w:color w:val="FF0101"/>
          <w:sz w:val="24"/>
          <w:szCs w:val="24"/>
        </w:rPr>
        <w:t xml:space="preserve"> is made </w:t>
      </w:r>
      <w:r w:rsidRPr="00424214">
        <w:rPr>
          <w:rFonts w:ascii="Times New Roman" w:hAnsi="Times New Roman" w:cs="Times New Roman"/>
          <w:i/>
          <w:color w:val="000000"/>
          <w:sz w:val="24"/>
          <w:szCs w:val="24"/>
        </w:rPr>
        <w:t xml:space="preserve">by the evaluators. These communications will occur via the online application system, rather than by phone, letter, email, or other means.  </w:t>
      </w:r>
      <w:r w:rsidRPr="00424214">
        <w:rPr>
          <w:rFonts w:ascii="Times New Roman" w:hAnsi="Times New Roman" w:cs="Times New Roman"/>
          <w:i/>
          <w:color w:val="FF0101"/>
          <w:sz w:val="24"/>
          <w:szCs w:val="24"/>
        </w:rPr>
        <w:t>Unless otherwise noted, s</w:t>
      </w:r>
      <w:r w:rsidRPr="00424214">
        <w:rPr>
          <w:rFonts w:ascii="Times New Roman" w:hAnsi="Times New Roman" w:cs="Times New Roman"/>
          <w:i/>
          <w:color w:val="000000"/>
          <w:sz w:val="24"/>
          <w:szCs w:val="24"/>
        </w:rPr>
        <w:t xml:space="preserve">uch communications will include a </w:t>
      </w:r>
      <w:r w:rsidRPr="00424214">
        <w:rPr>
          <w:rFonts w:ascii="Times New Roman" w:hAnsi="Times New Roman" w:cs="Times New Roman"/>
          <w:i/>
          <w:color w:val="FF0101"/>
          <w:sz w:val="24"/>
          <w:szCs w:val="24"/>
        </w:rPr>
        <w:t xml:space="preserve">3-week </w:t>
      </w:r>
      <w:r w:rsidRPr="00424214">
        <w:rPr>
          <w:rFonts w:ascii="Times New Roman" w:hAnsi="Times New Roman" w:cs="Times New Roman"/>
          <w:i/>
          <w:color w:val="000000"/>
          <w:sz w:val="24"/>
          <w:szCs w:val="24"/>
        </w:rPr>
        <w:t>deadline for the applicant to respond. Any</w:t>
      </w:r>
    </w:p>
    <w:p w:rsidR="00424214" w:rsidRDefault="00A335F2" w:rsidP="00424214">
      <w:pPr>
        <w:autoSpaceDE w:val="0"/>
        <w:autoSpaceDN w:val="0"/>
        <w:adjustRightInd w:val="0"/>
        <w:spacing w:after="0"/>
        <w:rPr>
          <w:rFonts w:ascii="Times New Roman" w:hAnsi="Times New Roman" w:cs="Times New Roman"/>
          <w:sz w:val="24"/>
          <w:szCs w:val="24"/>
        </w:rPr>
      </w:pPr>
      <w:r w:rsidRPr="00424214">
        <w:rPr>
          <w:rFonts w:ascii="Times New Roman" w:hAnsi="Times New Roman" w:cs="Times New Roman"/>
          <w:i/>
          <w:color w:val="000000"/>
          <w:sz w:val="24"/>
          <w:szCs w:val="24"/>
        </w:rPr>
        <w:t>Supplemental</w:t>
      </w:r>
      <w:r w:rsidR="00424214" w:rsidRPr="00424214">
        <w:rPr>
          <w:rFonts w:ascii="Times New Roman" w:hAnsi="Times New Roman" w:cs="Times New Roman"/>
          <w:i/>
          <w:color w:val="000000"/>
          <w:sz w:val="24"/>
          <w:szCs w:val="24"/>
        </w:rPr>
        <w:t xml:space="preserve"> information provided by the applicant will become part of the application.</w:t>
      </w:r>
      <w:r w:rsidR="00424214" w:rsidRPr="00424214">
        <w:rPr>
          <w:rFonts w:ascii="Times New Roman" w:hAnsi="Times New Roman" w:cs="Times New Roman"/>
          <w:sz w:val="24"/>
          <w:szCs w:val="24"/>
        </w:rPr>
        <w:t xml:space="preserve">” </w:t>
      </w:r>
    </w:p>
    <w:p w:rsidR="00424214" w:rsidRDefault="00424214" w:rsidP="00424214">
      <w:pPr>
        <w:autoSpaceDE w:val="0"/>
        <w:autoSpaceDN w:val="0"/>
        <w:adjustRightInd w:val="0"/>
        <w:spacing w:after="0"/>
        <w:rPr>
          <w:rFonts w:ascii="Times New Roman" w:hAnsi="Times New Roman" w:cs="Times New Roman"/>
          <w:sz w:val="24"/>
          <w:szCs w:val="24"/>
        </w:rPr>
      </w:pPr>
    </w:p>
    <w:p w:rsidR="00424214" w:rsidRDefault="00D14F52" w:rsidP="00424214">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Note</w:t>
      </w:r>
      <w:r w:rsidR="00424214" w:rsidRPr="00424214">
        <w:rPr>
          <w:rFonts w:ascii="Times New Roman" w:hAnsi="Times New Roman" w:cs="Times New Roman"/>
          <w:sz w:val="24"/>
          <w:szCs w:val="24"/>
        </w:rPr>
        <w:t xml:space="preserve"> that the evaluators are under no obligation to ask clarifying questions</w:t>
      </w:r>
      <w:r w:rsidR="00424214">
        <w:rPr>
          <w:rFonts w:ascii="Times New Roman" w:hAnsi="Times New Roman" w:cs="Times New Roman"/>
          <w:sz w:val="24"/>
          <w:szCs w:val="24"/>
        </w:rPr>
        <w:t>.</w:t>
      </w:r>
    </w:p>
    <w:p w:rsidR="00424214" w:rsidRDefault="00424214" w:rsidP="00424214">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commenting on DAG3, t</w:t>
      </w:r>
      <w:r w:rsidRPr="00424214">
        <w:rPr>
          <w:rFonts w:ascii="Times New Roman" w:hAnsi="Times New Roman" w:cs="Times New Roman"/>
          <w:sz w:val="24"/>
          <w:szCs w:val="24"/>
        </w:rPr>
        <w:t>he RySG</w:t>
      </w:r>
      <w:r>
        <w:rPr>
          <w:rFonts w:ascii="Times New Roman" w:hAnsi="Times New Roman" w:cs="Times New Roman"/>
          <w:sz w:val="24"/>
          <w:szCs w:val="24"/>
        </w:rPr>
        <w:t xml:space="preserve"> recommended that evaluators should be obligated to ask clarifying questions where needed and </w:t>
      </w:r>
      <w:r w:rsidR="00D14F52">
        <w:rPr>
          <w:rFonts w:ascii="Times New Roman" w:hAnsi="Times New Roman" w:cs="Times New Roman"/>
          <w:sz w:val="24"/>
          <w:szCs w:val="24"/>
        </w:rPr>
        <w:t xml:space="preserve">I repeat that recommendation </w:t>
      </w:r>
      <w:r>
        <w:rPr>
          <w:rFonts w:ascii="Times New Roman" w:hAnsi="Times New Roman" w:cs="Times New Roman"/>
          <w:sz w:val="24"/>
          <w:szCs w:val="24"/>
        </w:rPr>
        <w:t>here</w:t>
      </w:r>
      <w:r w:rsidRPr="00424214">
        <w:rPr>
          <w:rFonts w:ascii="Times New Roman" w:hAnsi="Times New Roman" w:cs="Times New Roman"/>
          <w:sz w:val="24"/>
          <w:szCs w:val="24"/>
        </w:rPr>
        <w:t xml:space="preserve">. </w:t>
      </w:r>
    </w:p>
    <w:p w:rsidR="00424214" w:rsidRDefault="00424214" w:rsidP="00424214">
      <w:pPr>
        <w:autoSpaceDE w:val="0"/>
        <w:autoSpaceDN w:val="0"/>
        <w:adjustRightInd w:val="0"/>
        <w:spacing w:after="0"/>
        <w:rPr>
          <w:rFonts w:ascii="Times New Roman" w:hAnsi="Times New Roman" w:cs="Times New Roman"/>
          <w:sz w:val="24"/>
          <w:szCs w:val="24"/>
        </w:rPr>
      </w:pPr>
    </w:p>
    <w:p w:rsidR="00432B44" w:rsidRPr="00432B44" w:rsidRDefault="00432B44" w:rsidP="00432B44">
      <w:pPr>
        <w:pStyle w:val="ListParagraph"/>
        <w:numPr>
          <w:ilvl w:val="3"/>
          <w:numId w:val="4"/>
        </w:numPr>
        <w:ind w:left="720"/>
        <w:rPr>
          <w:rFonts w:ascii="Times New Roman" w:hAnsi="Times New Roman" w:cs="Times New Roman"/>
          <w:b/>
          <w:sz w:val="24"/>
          <w:szCs w:val="24"/>
        </w:rPr>
      </w:pPr>
      <w:r w:rsidRPr="00432B44">
        <w:rPr>
          <w:rFonts w:ascii="Times New Roman" w:hAnsi="Times New Roman" w:cs="Times New Roman"/>
          <w:b/>
          <w:sz w:val="24"/>
          <w:szCs w:val="24"/>
        </w:rPr>
        <w:t xml:space="preserve">Definitions </w:t>
      </w:r>
    </w:p>
    <w:p w:rsidR="00432B44" w:rsidRDefault="00432B44" w:rsidP="00432B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Possible comments:</w:t>
      </w:r>
    </w:p>
    <w:p w:rsidR="00432B44" w:rsidRPr="00432B44" w:rsidRDefault="00432B44" w:rsidP="00432B44">
      <w:pPr>
        <w:pStyle w:val="ListParagraph"/>
        <w:numPr>
          <w:ilvl w:val="0"/>
          <w:numId w:val="5"/>
        </w:numPr>
        <w:autoSpaceDE w:val="0"/>
        <w:autoSpaceDN w:val="0"/>
        <w:adjustRightInd w:val="0"/>
        <w:rPr>
          <w:rFonts w:ascii="Times New Roman" w:hAnsi="Times New Roman" w:cs="Times New Roman"/>
          <w:sz w:val="24"/>
          <w:szCs w:val="24"/>
          <w:lang w:bidi="hi-IN"/>
        </w:rPr>
      </w:pPr>
      <w:r w:rsidRPr="00432B44">
        <w:rPr>
          <w:rFonts w:ascii="Times New Roman" w:hAnsi="Times New Roman" w:cs="Times New Roman"/>
          <w:sz w:val="24"/>
          <w:szCs w:val="24"/>
        </w:rPr>
        <w:t xml:space="preserve">No changes were made to the definitions of security and stability.  The RySG recommended changes to the definitions in its comments to DAG3. </w:t>
      </w:r>
      <w:r w:rsidRPr="00432B44">
        <w:rPr>
          <w:rFonts w:ascii="Times New Roman" w:hAnsi="Times New Roman" w:cs="Times New Roman"/>
          <w:sz w:val="24"/>
          <w:szCs w:val="24"/>
          <w:lang w:bidi="hi-IN"/>
        </w:rPr>
        <w:t xml:space="preserve">The definitions in DAG4 read the same as in DAG3: </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sz w:val="24"/>
          <w:szCs w:val="24"/>
          <w:lang w:bidi="hi-IN"/>
        </w:rPr>
        <w:t>“</w:t>
      </w:r>
      <w:r w:rsidRPr="001F419F">
        <w:rPr>
          <w:rFonts w:ascii="Times New Roman" w:hAnsi="Times New Roman" w:cs="Times New Roman"/>
          <w:b/>
          <w:bCs/>
          <w:i/>
          <w:iCs/>
          <w:sz w:val="24"/>
          <w:szCs w:val="24"/>
          <w:lang w:bidi="hi-IN"/>
        </w:rPr>
        <w:t xml:space="preserve">Security </w:t>
      </w:r>
      <w:r w:rsidRPr="001F419F">
        <w:rPr>
          <w:rFonts w:ascii="Times New Roman" w:hAnsi="Times New Roman" w:cs="Times New Roman"/>
          <w:sz w:val="24"/>
          <w:szCs w:val="24"/>
          <w:lang w:bidi="hi-IN"/>
        </w:rPr>
        <w:t>– an effect on security by the proposed registry service means (1) the unauthorized disclosure, alteration, insertion or destruction of registry data, or (2) the unauthorized access to or disclosure of information or resources on the Internet by systems operating in accordance with all applicable standards.</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b/>
          <w:bCs/>
          <w:i/>
          <w:iCs/>
          <w:sz w:val="24"/>
          <w:szCs w:val="24"/>
          <w:lang w:bidi="hi-IN"/>
        </w:rPr>
        <w:t xml:space="preserve">Stability </w:t>
      </w:r>
      <w:r w:rsidRPr="001F419F">
        <w:rPr>
          <w:rFonts w:ascii="Times New Roman" w:hAnsi="Times New Roman" w:cs="Times New Roman"/>
          <w:sz w:val="24"/>
          <w:szCs w:val="24"/>
          <w:lang w:bidi="hi-IN"/>
        </w:rPr>
        <w:t>– an effect on stability means that the proposed registry service (1) does not comply with applicable relevant standards that are authoritative and published by a well-</w:t>
      </w:r>
      <w:r w:rsidRPr="001F419F">
        <w:rPr>
          <w:rFonts w:ascii="Times New Roman" w:hAnsi="Times New Roman" w:cs="Times New Roman"/>
          <w:sz w:val="24"/>
          <w:szCs w:val="24"/>
          <w:lang w:bidi="hi-IN"/>
        </w:rPr>
        <w:lastRenderedPageBreak/>
        <w:t>established, recognized, and authoritative standards body, such as relevant standards-track or best current practice RFCs sponsored by the IETF, or (2)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w:t>
      </w:r>
      <w:r>
        <w:rPr>
          <w:rFonts w:ascii="Times New Roman" w:hAnsi="Times New Roman" w:cs="Times New Roman"/>
          <w:sz w:val="24"/>
          <w:szCs w:val="24"/>
          <w:lang w:bidi="hi-IN"/>
        </w:rPr>
        <w:t xml:space="preserve"> </w:t>
      </w:r>
      <w:r w:rsidRPr="001F419F">
        <w:rPr>
          <w:rFonts w:ascii="Times New Roman" w:hAnsi="Times New Roman" w:cs="Times New Roman"/>
          <w:sz w:val="24"/>
          <w:szCs w:val="24"/>
          <w:lang w:bidi="hi-IN"/>
        </w:rPr>
        <w:t>track or best current practice RFCs and relying on registry operator’s delegation information or provisioning services.”</w:t>
      </w:r>
    </w:p>
    <w:p w:rsidR="00432B44" w:rsidRPr="00432B44" w:rsidRDefault="00432B44" w:rsidP="00432B44">
      <w:pPr>
        <w:pStyle w:val="ListParagraph"/>
        <w:numPr>
          <w:ilvl w:val="0"/>
          <w:numId w:val="5"/>
        </w:numPr>
        <w:autoSpaceDE w:val="0"/>
        <w:autoSpaceDN w:val="0"/>
        <w:adjustRightInd w:val="0"/>
        <w:rPr>
          <w:rFonts w:ascii="Times New Roman" w:hAnsi="Times New Roman" w:cs="Times New Roman"/>
          <w:sz w:val="24"/>
          <w:szCs w:val="24"/>
          <w:lang w:bidi="hi-IN"/>
        </w:rPr>
      </w:pPr>
      <w:r w:rsidRPr="00432B44">
        <w:rPr>
          <w:rFonts w:ascii="Times New Roman" w:hAnsi="Times New Roman" w:cs="Times New Roman"/>
          <w:sz w:val="24"/>
          <w:szCs w:val="24"/>
          <w:lang w:bidi="hi-IN"/>
        </w:rPr>
        <w:t>These definitions need revision for the following reasons:</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Pr>
          <w:rFonts w:ascii="Times New Roman" w:hAnsi="Times New Roman" w:cs="Times New Roman"/>
          <w:sz w:val="24"/>
          <w:szCs w:val="24"/>
          <w:lang w:bidi="hi-IN"/>
        </w:rPr>
        <w:t xml:space="preserve">A. </w:t>
      </w:r>
      <w:r w:rsidRPr="001F419F">
        <w:rPr>
          <w:rFonts w:ascii="Times New Roman" w:hAnsi="Times New Roman" w:cs="Times New Roman"/>
          <w:sz w:val="24"/>
          <w:szCs w:val="24"/>
          <w:lang w:bidi="hi-IN"/>
        </w:rPr>
        <w:t>"Unauthorized access to or disclosure of information or resources on the Internet by systems operating in accordance with all applicable standards" is too broad.  That language potentially takes in a wide variety of small and large security incidents on the Internet, such as unauthorized access or data breaches on third-party networks, malware that has infected individual user systems, phishing on compromised web sites, etc.   The mere fact that services are operating on a domain name does not imply or require registry involvement.  Registries do not have any technical ability to mitigate many of those kinds of problems.  And most do not threaten the systematic security, stability and resiliency of a TLD or the DNS itself, and are therefore out of ICANN’s mission scope.</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Pr>
          <w:rFonts w:ascii="Times New Roman" w:hAnsi="Times New Roman" w:cs="Times New Roman"/>
          <w:sz w:val="24"/>
          <w:szCs w:val="24"/>
          <w:lang w:bidi="hi-IN"/>
        </w:rPr>
        <w:t>After DAG3 the RySG</w:t>
      </w:r>
      <w:r w:rsidRPr="001F419F">
        <w:rPr>
          <w:rFonts w:ascii="Times New Roman" w:hAnsi="Times New Roman" w:cs="Times New Roman"/>
          <w:sz w:val="24"/>
          <w:szCs w:val="24"/>
          <w:lang w:bidi="hi-IN"/>
        </w:rPr>
        <w:t xml:space="preserve"> suggest</w:t>
      </w:r>
      <w:r>
        <w:rPr>
          <w:rFonts w:ascii="Times New Roman" w:hAnsi="Times New Roman" w:cs="Times New Roman"/>
          <w:sz w:val="24"/>
          <w:szCs w:val="24"/>
          <w:lang w:bidi="hi-IN"/>
        </w:rPr>
        <w:t>ed</w:t>
      </w:r>
      <w:r w:rsidRPr="001F419F">
        <w:rPr>
          <w:rFonts w:ascii="Times New Roman" w:hAnsi="Times New Roman" w:cs="Times New Roman"/>
          <w:sz w:val="24"/>
          <w:szCs w:val="24"/>
          <w:lang w:bidi="hi-IN"/>
        </w:rPr>
        <w:t xml:space="preserve"> the language be changed to read: "Unauthorized disclosure, alteration, insertion or destruction of registry data, or the unauthorized access to or disclosure of registry information or resources on the Internet by registry systems operating in accordance with all applicable standards."</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sz w:val="24"/>
          <w:szCs w:val="24"/>
          <w:lang w:bidi="hi-IN"/>
        </w:rPr>
        <w:t>The DAG3 language seems to come from the Registry Services Evaluation Policy (RSEP) definition of an “effect on security” that is found in all Registry Agreements.  The RSEP discusses how new registry services should not negatively impact security, and that new registry services should be compliant with applicable relevant standards.  That context is missing in DAG3.  Without that context, the language has become more expansive and open to interpretation.   Both ICANN and the RySG desire that registries function within applicable standards, and that current or future registry services not be the genesis of security problems.</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sz w:val="24"/>
          <w:szCs w:val="24"/>
          <w:lang w:bidi="hi-IN"/>
        </w:rPr>
        <w:t>B.  This language is unacceptable: “authoritative and published by a well-established, recognized, and authoritative standards body.”  ICANN should not leave the language open-ended and make contracted parties subject to any and all standards bodies. ICANN needs to more explicitly enumerate the standards and name the authoritative body, which we believe is the IETF.  Application of additional standards should be considered via the consensus policy process instead.</w:t>
      </w: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sz w:val="24"/>
          <w:szCs w:val="24"/>
          <w:lang w:bidi="hi-IN"/>
        </w:rPr>
        <w:t>The definitions also conflict with and exceed the draft gTLD Agreement, which names the IETF and enumerates RFCs:</w:t>
      </w:r>
    </w:p>
    <w:p w:rsidR="00432B44" w:rsidRPr="001F419F" w:rsidRDefault="00432B44" w:rsidP="00432B44">
      <w:pPr>
        <w:autoSpaceDE w:val="0"/>
        <w:autoSpaceDN w:val="0"/>
        <w:adjustRightInd w:val="0"/>
        <w:ind w:left="1440"/>
        <w:rPr>
          <w:rFonts w:ascii="Times New Roman" w:hAnsi="Times New Roman" w:cs="Times New Roman"/>
          <w:sz w:val="24"/>
          <w:szCs w:val="24"/>
          <w:lang w:bidi="hi-IN"/>
        </w:rPr>
      </w:pPr>
      <w:r w:rsidRPr="001F419F">
        <w:rPr>
          <w:rFonts w:ascii="Times New Roman" w:hAnsi="Times New Roman" w:cs="Times New Roman"/>
          <w:sz w:val="24"/>
          <w:szCs w:val="24"/>
          <w:lang w:bidi="hi-IN"/>
        </w:rPr>
        <w:lastRenderedPageBreak/>
        <w:t xml:space="preserve">“Specification 6:1. </w:t>
      </w:r>
      <w:r w:rsidRPr="001F419F">
        <w:rPr>
          <w:rFonts w:ascii="Times New Roman" w:hAnsi="Times New Roman" w:cs="Times New Roman"/>
          <w:b/>
          <w:bCs/>
          <w:sz w:val="24"/>
          <w:szCs w:val="24"/>
          <w:lang w:bidi="hi-IN"/>
        </w:rPr>
        <w:t>Standards Compliance</w:t>
      </w:r>
    </w:p>
    <w:p w:rsidR="00432B44" w:rsidRPr="001F419F" w:rsidRDefault="00432B44" w:rsidP="00432B44">
      <w:pPr>
        <w:autoSpaceDE w:val="0"/>
        <w:autoSpaceDN w:val="0"/>
        <w:adjustRightInd w:val="0"/>
        <w:ind w:left="1440"/>
        <w:rPr>
          <w:rFonts w:ascii="Times New Roman" w:hAnsi="Times New Roman" w:cs="Times New Roman"/>
          <w:sz w:val="24"/>
          <w:szCs w:val="24"/>
          <w:lang w:bidi="hi-IN"/>
        </w:rPr>
      </w:pPr>
      <w:r w:rsidRPr="001F419F">
        <w:rPr>
          <w:rFonts w:ascii="Times New Roman" w:hAnsi="Times New Roman" w:cs="Times New Roman"/>
          <w:sz w:val="24"/>
          <w:szCs w:val="24"/>
          <w:lang w:bidi="hi-IN"/>
        </w:rPr>
        <w:t>Registry Operator shall implement and comply with relevant existing RFCs and those published in the future by the Internet Engineering Task Force (IETF) including all successor standards, modifications or additions thereto relating to (i) the DNS and name server operations including without limitation RFCs 1034, 1035, 1982, 2181, 2182, 2671, 3226, 3596, 3597, 3901, 4343, and 4472; and (ii) provisioning and management of domain names using the Extensible Provisioning Protocol (EPP) in conformance with RFCs 3735, 3915, 5730, 5731, 5732, 5733 and 5734” etc.</w:t>
      </w:r>
    </w:p>
    <w:p w:rsidR="00432B44" w:rsidRPr="001F419F" w:rsidRDefault="00D14F52" w:rsidP="00432B44">
      <w:pPr>
        <w:autoSpaceDE w:val="0"/>
        <w:autoSpaceDN w:val="0"/>
        <w:adjustRightInd w:val="0"/>
        <w:ind w:left="720"/>
        <w:rPr>
          <w:rFonts w:ascii="Times New Roman" w:hAnsi="Times New Roman" w:cs="Times New Roman"/>
          <w:sz w:val="24"/>
          <w:szCs w:val="24"/>
          <w:lang w:bidi="hi-IN"/>
        </w:rPr>
      </w:pPr>
      <w:r>
        <w:rPr>
          <w:rFonts w:ascii="Times New Roman" w:hAnsi="Times New Roman" w:cs="Times New Roman"/>
          <w:sz w:val="24"/>
          <w:szCs w:val="24"/>
          <w:lang w:bidi="hi-IN"/>
        </w:rPr>
        <w:t>C.  The DAG4</w:t>
      </w:r>
      <w:r w:rsidR="00432B44" w:rsidRPr="001F419F">
        <w:rPr>
          <w:rFonts w:ascii="Times New Roman" w:hAnsi="Times New Roman" w:cs="Times New Roman"/>
          <w:sz w:val="24"/>
          <w:szCs w:val="24"/>
          <w:lang w:bidi="hi-IN"/>
        </w:rPr>
        <w:t xml:space="preserve"> definitions</w:t>
      </w:r>
      <w:r>
        <w:rPr>
          <w:rFonts w:ascii="Times New Roman" w:hAnsi="Times New Roman" w:cs="Times New Roman"/>
          <w:sz w:val="24"/>
          <w:szCs w:val="24"/>
          <w:lang w:bidi="hi-IN"/>
        </w:rPr>
        <w:t xml:space="preserve"> continue to be based on </w:t>
      </w:r>
      <w:r w:rsidR="00EB3BBF">
        <w:rPr>
          <w:rFonts w:ascii="Times New Roman" w:hAnsi="Times New Roman" w:cs="Times New Roman"/>
          <w:sz w:val="24"/>
          <w:szCs w:val="24"/>
          <w:lang w:bidi="hi-IN"/>
        </w:rPr>
        <w:t xml:space="preserve">a </w:t>
      </w:r>
      <w:r w:rsidR="00EB3BBF" w:rsidRPr="001F419F">
        <w:rPr>
          <w:rFonts w:ascii="Times New Roman" w:hAnsi="Times New Roman" w:cs="Times New Roman"/>
          <w:sz w:val="24"/>
          <w:szCs w:val="24"/>
          <w:lang w:bidi="hi-IN"/>
        </w:rPr>
        <w:t>misunderstanding</w:t>
      </w:r>
      <w:r>
        <w:rPr>
          <w:rFonts w:ascii="Times New Roman" w:hAnsi="Times New Roman" w:cs="Times New Roman"/>
          <w:sz w:val="24"/>
          <w:szCs w:val="24"/>
          <w:lang w:bidi="hi-IN"/>
        </w:rPr>
        <w:t xml:space="preserve"> of</w:t>
      </w:r>
      <w:r w:rsidR="00432B44" w:rsidRPr="001F419F">
        <w:rPr>
          <w:rFonts w:ascii="Times New Roman" w:hAnsi="Times New Roman" w:cs="Times New Roman"/>
          <w:sz w:val="24"/>
          <w:szCs w:val="24"/>
          <w:lang w:bidi="hi-IN"/>
        </w:rPr>
        <w:t xml:space="preserve"> IETF practices and definitions.  The contract language must be revised to adhere to proper terminology.</w:t>
      </w:r>
    </w:p>
    <w:p w:rsidR="00432B44" w:rsidRDefault="00432B44" w:rsidP="00432B44">
      <w:pPr>
        <w:pStyle w:val="HTMLPreformatted"/>
        <w:ind w:left="720"/>
        <w:rPr>
          <w:rFonts w:ascii="Times New Roman" w:hAnsi="Times New Roman" w:cs="Times New Roman"/>
          <w:sz w:val="24"/>
          <w:szCs w:val="24"/>
        </w:rPr>
      </w:pPr>
      <w:r w:rsidRPr="001F419F">
        <w:rPr>
          <w:rFonts w:ascii="Times New Roman" w:hAnsi="Times New Roman" w:cs="Times New Roman"/>
          <w:sz w:val="24"/>
          <w:szCs w:val="24"/>
        </w:rPr>
        <w:t>The inclusion of “Standards</w:t>
      </w:r>
      <w:r>
        <w:rPr>
          <w:rFonts w:ascii="Times New Roman" w:hAnsi="Times New Roman" w:cs="Times New Roman"/>
          <w:sz w:val="24"/>
          <w:szCs w:val="24"/>
        </w:rPr>
        <w:t xml:space="preserve"> </w:t>
      </w:r>
      <w:r w:rsidRPr="001F419F">
        <w:rPr>
          <w:rFonts w:ascii="Times New Roman" w:hAnsi="Times New Roman" w:cs="Times New Roman"/>
          <w:sz w:val="24"/>
          <w:szCs w:val="24"/>
        </w:rPr>
        <w:t>track” [sic] is inappropriate, since only some documents on the “standards track” are authoritative.  IETF Internet specifications go through stages of development, testing, and acceptance.  Within the Internet Standards process, these stages are called "maturity levels." These maturity levels include "Proposed Standard", "Draft Standard", and "Standard" Specifications.</w:t>
      </w:r>
      <w:r w:rsidRPr="001F419F">
        <w:rPr>
          <w:rStyle w:val="FootnoteReference"/>
          <w:rFonts w:ascii="Times New Roman" w:hAnsi="Times New Roman" w:cs="Times New Roman"/>
          <w:sz w:val="24"/>
          <w:szCs w:val="24"/>
        </w:rPr>
        <w:footnoteReference w:id="1"/>
      </w:r>
      <w:r w:rsidRPr="001F419F">
        <w:rPr>
          <w:rFonts w:ascii="Times New Roman" w:hAnsi="Times New Roman" w:cs="Times New Roman"/>
          <w:sz w:val="24"/>
          <w:szCs w:val="24"/>
        </w:rPr>
        <w:t xml:space="preserve">  Documents at lower maturity levels are not Internet Standards, do not enjoy enough development or vetting, and registries should not be required to follow them. </w:t>
      </w:r>
    </w:p>
    <w:p w:rsidR="00432B44" w:rsidRPr="001F419F" w:rsidRDefault="00432B44" w:rsidP="00432B44">
      <w:pPr>
        <w:pStyle w:val="HTMLPreformatted"/>
        <w:ind w:left="720"/>
        <w:rPr>
          <w:rFonts w:ascii="Times New Roman" w:hAnsi="Times New Roman" w:cs="Times New Roman"/>
          <w:sz w:val="24"/>
          <w:szCs w:val="24"/>
        </w:rPr>
      </w:pPr>
    </w:p>
    <w:p w:rsidR="00432B44" w:rsidRPr="001F419F" w:rsidRDefault="00432B44" w:rsidP="00432B44">
      <w:pPr>
        <w:autoSpaceDE w:val="0"/>
        <w:autoSpaceDN w:val="0"/>
        <w:adjustRightInd w:val="0"/>
        <w:ind w:left="720"/>
        <w:rPr>
          <w:rFonts w:ascii="Times New Roman" w:hAnsi="Times New Roman" w:cs="Times New Roman"/>
          <w:sz w:val="24"/>
          <w:szCs w:val="24"/>
          <w:lang w:bidi="hi-IN"/>
        </w:rPr>
      </w:pPr>
      <w:r w:rsidRPr="001F419F">
        <w:rPr>
          <w:rFonts w:ascii="Times New Roman" w:hAnsi="Times New Roman" w:cs="Times New Roman"/>
          <w:sz w:val="24"/>
          <w:szCs w:val="24"/>
          <w:lang w:bidi="hi-IN"/>
        </w:rPr>
        <w:t xml:space="preserve">Contracted parties should not be required to adhere to IETF Best Practices or “best current practice RFCs”.  By definition, best practices are not mandatory, and the IETF chose to make them Best Practices for a reason.  Nor are IETF BCPs considered technical standards.  They tend to deal with processes and procedures rather than protocols -- they represent a consensus of a way to do something because it is recognized that a user experience can be enhanced when there is an agreed-upon way to complete a task.  However, </w:t>
      </w:r>
      <w:r w:rsidR="00A335F2" w:rsidRPr="001F419F">
        <w:rPr>
          <w:rFonts w:ascii="Times New Roman" w:hAnsi="Times New Roman" w:cs="Times New Roman"/>
          <w:sz w:val="24"/>
          <w:szCs w:val="24"/>
          <w:lang w:bidi="hi-IN"/>
        </w:rPr>
        <w:t>interoperability</w:t>
      </w:r>
      <w:r w:rsidRPr="001F419F">
        <w:rPr>
          <w:rFonts w:ascii="Times New Roman" w:hAnsi="Times New Roman" w:cs="Times New Roman"/>
          <w:sz w:val="24"/>
          <w:szCs w:val="24"/>
          <w:lang w:bidi="hi-IN"/>
        </w:rPr>
        <w:t xml:space="preserve"> is not usually applicable.  As long as the user experiences standards-compliant behavior, ICANN does not need to say more about how that behavior is achieved.</w:t>
      </w:r>
    </w:p>
    <w:p w:rsidR="00424214" w:rsidRDefault="00B60407" w:rsidP="00424214">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Module 3</w:t>
      </w:r>
    </w:p>
    <w:p w:rsidR="00B60407" w:rsidRDefault="00B60407" w:rsidP="00424214">
      <w:pPr>
        <w:autoSpaceDE w:val="0"/>
        <w:autoSpaceDN w:val="0"/>
        <w:adjustRightInd w:val="0"/>
        <w:spacing w:after="0"/>
        <w:rPr>
          <w:rFonts w:ascii="Times New Roman" w:hAnsi="Times New Roman" w:cs="Times New Roman"/>
          <w:sz w:val="24"/>
          <w:szCs w:val="24"/>
        </w:rPr>
      </w:pPr>
    </w:p>
    <w:p w:rsidR="00B60407" w:rsidRDefault="00B60407" w:rsidP="00B60407">
      <w:pPr>
        <w:autoSpaceDE w:val="0"/>
        <w:autoSpaceDN w:val="0"/>
        <w:adjustRightInd w:val="0"/>
        <w:spacing w:after="0" w:line="240" w:lineRule="auto"/>
        <w:rPr>
          <w:rFonts w:ascii="Times New Roman" w:hAnsi="Times New Roman" w:cs="Times New Roman"/>
        </w:rPr>
      </w:pPr>
      <w:r>
        <w:rPr>
          <w:rFonts w:ascii="BookAntiqua-BoldItalic" w:hAnsi="BookAntiqua-BoldItalic" w:cs="BookAntiqua-BoldItalic"/>
          <w:b/>
          <w:bCs/>
          <w:i/>
          <w:iCs/>
          <w:color w:val="808080"/>
          <w:sz w:val="34"/>
          <w:szCs w:val="34"/>
        </w:rPr>
        <w:t>New gTLD Dispute Resolution Procedure</w:t>
      </w:r>
    </w:p>
    <w:p w:rsidR="00B60407" w:rsidRDefault="00B60407" w:rsidP="00424214">
      <w:pPr>
        <w:autoSpaceDE w:val="0"/>
        <w:autoSpaceDN w:val="0"/>
        <w:adjustRightInd w:val="0"/>
        <w:spacing w:after="0"/>
        <w:rPr>
          <w:rFonts w:ascii="Times New Roman" w:hAnsi="Times New Roman" w:cs="Times New Roman"/>
          <w:sz w:val="24"/>
          <w:szCs w:val="24"/>
        </w:rPr>
      </w:pPr>
    </w:p>
    <w:p w:rsidR="00B60407" w:rsidRPr="00B60407" w:rsidRDefault="00B60407" w:rsidP="00B60407">
      <w:pPr>
        <w:autoSpaceDE w:val="0"/>
        <w:autoSpaceDN w:val="0"/>
        <w:adjustRightInd w:val="0"/>
        <w:spacing w:after="0"/>
        <w:rPr>
          <w:rFonts w:ascii="Times New Roman" w:hAnsi="Times New Roman" w:cs="Times New Roman"/>
        </w:rPr>
      </w:pPr>
      <w:r w:rsidRPr="00B60407">
        <w:rPr>
          <w:rFonts w:ascii="BookAntiqua-Bold" w:hAnsi="BookAntiqua-Bold" w:cs="BookAntiqua-Bold"/>
          <w:b/>
          <w:bCs/>
          <w:sz w:val="23"/>
          <w:szCs w:val="23"/>
        </w:rPr>
        <w:t>Article 13</w:t>
      </w:r>
      <w:r w:rsidRPr="00B60407">
        <w:rPr>
          <w:rFonts w:ascii="BookAntiqua" w:hAnsi="BookAntiqua" w:cs="BookAntiqua"/>
          <w:sz w:val="23"/>
          <w:szCs w:val="23"/>
        </w:rPr>
        <w:t xml:space="preserve">. </w:t>
      </w:r>
      <w:r w:rsidRPr="00B60407">
        <w:rPr>
          <w:rFonts w:ascii="BookAntiqua-Bold" w:hAnsi="BookAntiqua-Bold" w:cs="BookAntiqua-Bold"/>
          <w:b/>
          <w:bCs/>
          <w:sz w:val="23"/>
          <w:szCs w:val="23"/>
        </w:rPr>
        <w:t>The Panel</w:t>
      </w:r>
    </w:p>
    <w:p w:rsidR="00B60407" w:rsidRDefault="00B60407" w:rsidP="00B60407">
      <w:pPr>
        <w:autoSpaceDE w:val="0"/>
        <w:autoSpaceDN w:val="0"/>
        <w:adjustRightInd w:val="0"/>
        <w:spacing w:after="0"/>
        <w:rPr>
          <w:rFonts w:ascii="Times New Roman" w:hAnsi="Times New Roman" w:cs="Times New Roman"/>
        </w:rPr>
      </w:pPr>
    </w:p>
    <w:p w:rsidR="00B60407" w:rsidRPr="00B60407" w:rsidRDefault="00B60407" w:rsidP="00B60407">
      <w:pPr>
        <w:autoSpaceDE w:val="0"/>
        <w:autoSpaceDN w:val="0"/>
        <w:adjustRightInd w:val="0"/>
        <w:spacing w:after="0"/>
        <w:rPr>
          <w:rFonts w:ascii="Times New Roman" w:hAnsi="Times New Roman" w:cs="Times New Roman"/>
          <w:sz w:val="24"/>
          <w:szCs w:val="24"/>
        </w:rPr>
      </w:pPr>
      <w:r w:rsidRPr="00B60407">
        <w:rPr>
          <w:rFonts w:ascii="Times New Roman" w:hAnsi="Times New Roman" w:cs="Times New Roman"/>
          <w:sz w:val="24"/>
          <w:szCs w:val="24"/>
        </w:rPr>
        <w:t>Possible comments:</w:t>
      </w:r>
    </w:p>
    <w:p w:rsidR="00B60407" w:rsidRPr="00B60407" w:rsidRDefault="00B60407" w:rsidP="00B60407">
      <w:pPr>
        <w:autoSpaceDE w:val="0"/>
        <w:autoSpaceDN w:val="0"/>
        <w:adjustRightInd w:val="0"/>
        <w:spacing w:after="0"/>
        <w:ind w:left="1080"/>
        <w:rPr>
          <w:rFonts w:ascii="Times New Roman" w:hAnsi="Times New Roman" w:cs="Times New Roman"/>
          <w:sz w:val="24"/>
          <w:szCs w:val="24"/>
        </w:rPr>
      </w:pPr>
    </w:p>
    <w:p w:rsidR="00B60407" w:rsidRPr="00B60407" w:rsidRDefault="00B60407" w:rsidP="00B60407">
      <w:pPr>
        <w:pStyle w:val="ListParagraph"/>
        <w:numPr>
          <w:ilvl w:val="0"/>
          <w:numId w:val="7"/>
        </w:numPr>
        <w:autoSpaceDE w:val="0"/>
        <w:autoSpaceDN w:val="0"/>
        <w:adjustRightInd w:val="0"/>
        <w:spacing w:after="0"/>
        <w:rPr>
          <w:rFonts w:ascii="Times New Roman" w:hAnsi="Times New Roman" w:cs="Times New Roman"/>
          <w:sz w:val="24"/>
          <w:szCs w:val="24"/>
        </w:rPr>
      </w:pPr>
      <w:r w:rsidRPr="00B60407">
        <w:rPr>
          <w:rFonts w:ascii="Times New Roman" w:hAnsi="Times New Roman" w:cs="Times New Roman"/>
          <w:sz w:val="24"/>
          <w:szCs w:val="24"/>
        </w:rPr>
        <w:lastRenderedPageBreak/>
        <w:t>Note that the number of panelists for both String Confusion and Community disputes is still restricted to one (1). There is an option for three panelists for Existing Legal Rights disputes and a requirement for three panelists for a Morality &amp; Public Order objection.</w:t>
      </w:r>
    </w:p>
    <w:p w:rsidR="00B60407" w:rsidRPr="00B60407" w:rsidRDefault="00D510B5" w:rsidP="00B60407">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00B60407" w:rsidRPr="00B60407">
        <w:rPr>
          <w:rFonts w:ascii="Times New Roman" w:hAnsi="Times New Roman" w:cs="Times New Roman"/>
          <w:sz w:val="24"/>
          <w:szCs w:val="24"/>
        </w:rPr>
        <w:t xml:space="preserve">hree panelists </w:t>
      </w:r>
      <w:r>
        <w:rPr>
          <w:rFonts w:ascii="Times New Roman" w:hAnsi="Times New Roman" w:cs="Times New Roman"/>
          <w:sz w:val="24"/>
          <w:szCs w:val="24"/>
        </w:rPr>
        <w:t xml:space="preserve">should </w:t>
      </w:r>
      <w:r w:rsidR="00B60407" w:rsidRPr="00B60407">
        <w:rPr>
          <w:rFonts w:ascii="Times New Roman" w:hAnsi="Times New Roman" w:cs="Times New Roman"/>
          <w:sz w:val="24"/>
          <w:szCs w:val="24"/>
        </w:rPr>
        <w:t>be available for all disputes</w:t>
      </w:r>
      <w:r>
        <w:rPr>
          <w:rFonts w:ascii="Times New Roman" w:hAnsi="Times New Roman" w:cs="Times New Roman"/>
          <w:sz w:val="24"/>
          <w:szCs w:val="24"/>
        </w:rPr>
        <w:t xml:space="preserve"> if requested; additional costs could be covered by the party requesting three panelists</w:t>
      </w:r>
      <w:r w:rsidR="00B60407" w:rsidRPr="00B60407">
        <w:rPr>
          <w:rFonts w:ascii="Times New Roman" w:hAnsi="Times New Roman" w:cs="Times New Roman"/>
          <w:sz w:val="24"/>
          <w:szCs w:val="24"/>
        </w:rPr>
        <w:t>.</w:t>
      </w:r>
    </w:p>
    <w:p w:rsidR="00B60407" w:rsidRDefault="00B60407" w:rsidP="00B60407">
      <w:pPr>
        <w:autoSpaceDE w:val="0"/>
        <w:autoSpaceDN w:val="0"/>
        <w:adjustRightInd w:val="0"/>
        <w:spacing w:after="0"/>
        <w:rPr>
          <w:rFonts w:ascii="Times New Roman" w:hAnsi="Times New Roman" w:cs="Times New Roman"/>
          <w:sz w:val="24"/>
          <w:szCs w:val="24"/>
        </w:rPr>
      </w:pPr>
    </w:p>
    <w:p w:rsidR="00F36D41" w:rsidRPr="00F36D41" w:rsidRDefault="00F36D41" w:rsidP="00D510B5">
      <w:pPr>
        <w:rPr>
          <w:rFonts w:ascii="Times New Roman" w:hAnsi="Times New Roman" w:cs="Times New Roman"/>
          <w:sz w:val="24"/>
          <w:szCs w:val="24"/>
        </w:rPr>
      </w:pPr>
    </w:p>
    <w:sectPr w:rsidR="00F36D41" w:rsidRPr="00F36D41" w:rsidSect="00FF1D7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58" w:rsidRDefault="00363B58" w:rsidP="00432B44">
      <w:pPr>
        <w:spacing w:after="0" w:line="240" w:lineRule="auto"/>
      </w:pPr>
      <w:r>
        <w:separator/>
      </w:r>
    </w:p>
  </w:endnote>
  <w:endnote w:type="continuationSeparator" w:id="0">
    <w:p w:rsidR="00363B58" w:rsidRDefault="00363B58" w:rsidP="0043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Antiqua-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75824"/>
      <w:docPartObj>
        <w:docPartGallery w:val="Page Numbers (Bottom of Page)"/>
        <w:docPartUnique/>
      </w:docPartObj>
    </w:sdtPr>
    <w:sdtContent>
      <w:p w:rsidR="00F36D41" w:rsidRDefault="00DC2C90">
        <w:pPr>
          <w:pStyle w:val="Footer"/>
          <w:jc w:val="right"/>
        </w:pPr>
        <w:fldSimple w:instr=" PAGE   \* MERGEFORMAT ">
          <w:r w:rsidR="00D57277">
            <w:rPr>
              <w:noProof/>
            </w:rPr>
            <w:t>1</w:t>
          </w:r>
        </w:fldSimple>
      </w:p>
    </w:sdtContent>
  </w:sdt>
  <w:p w:rsidR="00F36D41" w:rsidRDefault="00F3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58" w:rsidRDefault="00363B58" w:rsidP="00432B44">
      <w:pPr>
        <w:spacing w:after="0" w:line="240" w:lineRule="auto"/>
      </w:pPr>
      <w:r>
        <w:separator/>
      </w:r>
    </w:p>
  </w:footnote>
  <w:footnote w:type="continuationSeparator" w:id="0">
    <w:p w:rsidR="00363B58" w:rsidRDefault="00363B58" w:rsidP="00432B44">
      <w:pPr>
        <w:spacing w:after="0" w:line="240" w:lineRule="auto"/>
      </w:pPr>
      <w:r>
        <w:continuationSeparator/>
      </w:r>
    </w:p>
  </w:footnote>
  <w:footnote w:id="1">
    <w:p w:rsidR="00432B44" w:rsidRPr="008D0EC6" w:rsidRDefault="00432B44" w:rsidP="00432B44">
      <w:pPr>
        <w:pStyle w:val="FootnoteText"/>
      </w:pPr>
      <w:r>
        <w:rPr>
          <w:rStyle w:val="FootnoteReference"/>
        </w:rPr>
        <w:footnoteRef/>
      </w:r>
      <w:r>
        <w:t xml:space="preserve">  </w:t>
      </w:r>
      <w:hyperlink r:id="rId1" w:history="1">
        <w:r w:rsidRPr="00C52B8B">
          <w:rPr>
            <w:rStyle w:val="Hyperlink"/>
            <w:rFonts w:ascii="Century Gothic" w:hAnsi="Century Gothic"/>
            <w:sz w:val="18"/>
            <w:szCs w:val="18"/>
          </w:rPr>
          <w:t>http://www.ietf.org/about/standards-process.html</w:t>
        </w:r>
      </w:hyperlink>
      <w:r w:rsidRPr="00C52B8B">
        <w:rPr>
          <w:rFonts w:ascii="Century Gothic" w:hAnsi="Century Gothic"/>
          <w:sz w:val="18"/>
          <w:szCs w:val="18"/>
        </w:rPr>
        <w:t xml:space="preserve"> and </w:t>
      </w:r>
      <w:hyperlink r:id="rId2" w:anchor="section-4" w:history="1">
        <w:r w:rsidRPr="00C52B8B">
          <w:rPr>
            <w:rStyle w:val="Hyperlink"/>
            <w:rFonts w:ascii="Century Gothic" w:hAnsi="Century Gothic"/>
            <w:sz w:val="18"/>
            <w:szCs w:val="18"/>
          </w:rPr>
          <w:t>http://tools.ietf.org/html/rfc2026#section-4</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72C"/>
    <w:multiLevelType w:val="multilevel"/>
    <w:tmpl w:val="5D7AA5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3647C5"/>
    <w:multiLevelType w:val="multilevel"/>
    <w:tmpl w:val="5D7AA5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D61299"/>
    <w:multiLevelType w:val="hybridMultilevel"/>
    <w:tmpl w:val="64D2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E5370"/>
    <w:multiLevelType w:val="multilevel"/>
    <w:tmpl w:val="33CA3B8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1F3DAC"/>
    <w:multiLevelType w:val="multilevel"/>
    <w:tmpl w:val="33E06476"/>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442BE5"/>
    <w:multiLevelType w:val="hybridMultilevel"/>
    <w:tmpl w:val="7368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15A52"/>
    <w:multiLevelType w:val="hybridMultilevel"/>
    <w:tmpl w:val="5444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C7E37"/>
    <w:multiLevelType w:val="multilevel"/>
    <w:tmpl w:val="5D7AA5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9B80EF3"/>
    <w:multiLevelType w:val="hybridMultilevel"/>
    <w:tmpl w:val="8A08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F41DD"/>
    <w:multiLevelType w:val="multilevel"/>
    <w:tmpl w:val="5D7AA5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C6A491C"/>
    <w:multiLevelType w:val="multilevel"/>
    <w:tmpl w:val="5D7AA5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10"/>
  </w:num>
  <w:num w:numId="8">
    <w:abstractNumId w:val="9"/>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D52894"/>
    <w:rsid w:val="00130969"/>
    <w:rsid w:val="002C368B"/>
    <w:rsid w:val="00363B58"/>
    <w:rsid w:val="00424214"/>
    <w:rsid w:val="00432B44"/>
    <w:rsid w:val="00454718"/>
    <w:rsid w:val="004571D6"/>
    <w:rsid w:val="00486F62"/>
    <w:rsid w:val="006B2767"/>
    <w:rsid w:val="008045BC"/>
    <w:rsid w:val="009B0C5F"/>
    <w:rsid w:val="00A335F2"/>
    <w:rsid w:val="00A769A7"/>
    <w:rsid w:val="00B40466"/>
    <w:rsid w:val="00B60407"/>
    <w:rsid w:val="00BE748E"/>
    <w:rsid w:val="00C0027A"/>
    <w:rsid w:val="00D14F52"/>
    <w:rsid w:val="00D510B5"/>
    <w:rsid w:val="00D52894"/>
    <w:rsid w:val="00D57277"/>
    <w:rsid w:val="00D9703D"/>
    <w:rsid w:val="00DC2C90"/>
    <w:rsid w:val="00EB3BBF"/>
    <w:rsid w:val="00EE0D37"/>
    <w:rsid w:val="00F36D41"/>
    <w:rsid w:val="00FF1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94"/>
    <w:pPr>
      <w:spacing w:line="240" w:lineRule="auto"/>
      <w:ind w:left="720"/>
      <w:contextualSpacing/>
    </w:pPr>
  </w:style>
  <w:style w:type="character" w:styleId="CommentReference">
    <w:name w:val="annotation reference"/>
    <w:basedOn w:val="DefaultParagraphFont"/>
    <w:uiPriority w:val="99"/>
    <w:semiHidden/>
    <w:unhideWhenUsed/>
    <w:rsid w:val="00486F62"/>
    <w:rPr>
      <w:sz w:val="16"/>
      <w:szCs w:val="16"/>
    </w:rPr>
  </w:style>
  <w:style w:type="paragraph" w:styleId="CommentText">
    <w:name w:val="annotation text"/>
    <w:basedOn w:val="Normal"/>
    <w:link w:val="CommentTextChar"/>
    <w:uiPriority w:val="99"/>
    <w:semiHidden/>
    <w:unhideWhenUsed/>
    <w:rsid w:val="00486F62"/>
    <w:pPr>
      <w:spacing w:line="240" w:lineRule="auto"/>
    </w:pPr>
    <w:rPr>
      <w:sz w:val="20"/>
      <w:szCs w:val="20"/>
    </w:rPr>
  </w:style>
  <w:style w:type="character" w:customStyle="1" w:styleId="CommentTextChar">
    <w:name w:val="Comment Text Char"/>
    <w:basedOn w:val="DefaultParagraphFont"/>
    <w:link w:val="CommentText"/>
    <w:uiPriority w:val="99"/>
    <w:semiHidden/>
    <w:rsid w:val="00486F62"/>
    <w:rPr>
      <w:sz w:val="20"/>
      <w:szCs w:val="20"/>
    </w:rPr>
  </w:style>
  <w:style w:type="paragraph" w:styleId="CommentSubject">
    <w:name w:val="annotation subject"/>
    <w:basedOn w:val="CommentText"/>
    <w:next w:val="CommentText"/>
    <w:link w:val="CommentSubjectChar"/>
    <w:uiPriority w:val="99"/>
    <w:semiHidden/>
    <w:unhideWhenUsed/>
    <w:rsid w:val="00486F62"/>
    <w:rPr>
      <w:b/>
      <w:bCs/>
    </w:rPr>
  </w:style>
  <w:style w:type="character" w:customStyle="1" w:styleId="CommentSubjectChar">
    <w:name w:val="Comment Subject Char"/>
    <w:basedOn w:val="CommentTextChar"/>
    <w:link w:val="CommentSubject"/>
    <w:uiPriority w:val="99"/>
    <w:semiHidden/>
    <w:rsid w:val="00486F62"/>
    <w:rPr>
      <w:b/>
      <w:bCs/>
    </w:rPr>
  </w:style>
  <w:style w:type="paragraph" w:styleId="BalloonText">
    <w:name w:val="Balloon Text"/>
    <w:basedOn w:val="Normal"/>
    <w:link w:val="BalloonTextChar"/>
    <w:uiPriority w:val="99"/>
    <w:semiHidden/>
    <w:unhideWhenUsed/>
    <w:rsid w:val="0048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62"/>
    <w:rPr>
      <w:rFonts w:ascii="Tahoma" w:hAnsi="Tahoma" w:cs="Tahoma"/>
      <w:sz w:val="16"/>
      <w:szCs w:val="16"/>
    </w:rPr>
  </w:style>
  <w:style w:type="character" w:styleId="Hyperlink">
    <w:name w:val="Hyperlink"/>
    <w:basedOn w:val="DefaultParagraphFont"/>
    <w:uiPriority w:val="99"/>
    <w:unhideWhenUsed/>
    <w:rsid w:val="00432B44"/>
    <w:rPr>
      <w:color w:val="0000FF" w:themeColor="hyperlink"/>
      <w:u w:val="single"/>
    </w:rPr>
  </w:style>
  <w:style w:type="paragraph" w:styleId="FootnoteText">
    <w:name w:val="footnote text"/>
    <w:basedOn w:val="Normal"/>
    <w:link w:val="FootnoteTextChar"/>
    <w:semiHidden/>
    <w:rsid w:val="00432B44"/>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432B44"/>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432B44"/>
    <w:rPr>
      <w:vertAlign w:val="superscript"/>
    </w:rPr>
  </w:style>
  <w:style w:type="paragraph" w:styleId="HTMLPreformatted">
    <w:name w:val="HTML Preformatted"/>
    <w:basedOn w:val="Normal"/>
    <w:link w:val="HTMLPreformattedChar"/>
    <w:rsid w:val="0043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rsid w:val="00432B44"/>
    <w:rPr>
      <w:rFonts w:ascii="Courier New" w:eastAsia="Times New Roman" w:hAnsi="Courier New" w:cs="Courier New"/>
      <w:sz w:val="20"/>
      <w:szCs w:val="20"/>
      <w:lang w:bidi="hi-IN"/>
    </w:rPr>
  </w:style>
  <w:style w:type="paragraph" w:styleId="Header">
    <w:name w:val="header"/>
    <w:basedOn w:val="Normal"/>
    <w:link w:val="HeaderChar"/>
    <w:uiPriority w:val="99"/>
    <w:semiHidden/>
    <w:unhideWhenUsed/>
    <w:rsid w:val="00F36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D41"/>
  </w:style>
  <w:style w:type="paragraph" w:styleId="Footer">
    <w:name w:val="footer"/>
    <w:basedOn w:val="Normal"/>
    <w:link w:val="FooterChar"/>
    <w:uiPriority w:val="99"/>
    <w:unhideWhenUsed/>
    <w:rsid w:val="00F3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ools.ietf.org/html/rfc2026" TargetMode="External"/><Relationship Id="rId1" Type="http://schemas.openxmlformats.org/officeDocument/2006/relationships/hyperlink" Target="http://www.ietf.org/about/standards-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2</cp:revision>
  <dcterms:created xsi:type="dcterms:W3CDTF">2010-07-22T21:27:00Z</dcterms:created>
  <dcterms:modified xsi:type="dcterms:W3CDTF">2010-07-22T21:27:00Z</dcterms:modified>
</cp:coreProperties>
</file>