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31" w:rsidRDefault="00BF1131" w:rsidP="00BF1131">
      <w:pPr>
        <w:jc w:val="center"/>
        <w:rPr>
          <w:b/>
        </w:rPr>
      </w:pPr>
      <w:r w:rsidRPr="00BF1131">
        <w:rPr>
          <w:b/>
        </w:rPr>
        <w:t xml:space="preserve">AT&amp;T Comments on </w:t>
      </w:r>
      <w:r w:rsidR="002227EB">
        <w:rPr>
          <w:b/>
        </w:rPr>
        <w:t xml:space="preserve">Proposed Final </w:t>
      </w:r>
      <w:r w:rsidRPr="00BF1131">
        <w:rPr>
          <w:b/>
        </w:rPr>
        <w:t xml:space="preserve">New gTLD Applicant Guidebook </w:t>
      </w:r>
      <w:r w:rsidR="002227EB">
        <w:rPr>
          <w:b/>
        </w:rPr>
        <w:t>and</w:t>
      </w:r>
    </w:p>
    <w:p w:rsidR="00D415B0" w:rsidRPr="00BF1131" w:rsidRDefault="002227EB" w:rsidP="00BF1131">
      <w:pPr>
        <w:jc w:val="center"/>
        <w:rPr>
          <w:b/>
        </w:rPr>
      </w:pPr>
      <w:r>
        <w:rPr>
          <w:b/>
        </w:rPr>
        <w:t>December 10</w:t>
      </w:r>
      <w:r w:rsidR="00D415B0">
        <w:rPr>
          <w:b/>
        </w:rPr>
        <w:t>, 20</w:t>
      </w:r>
      <w:r w:rsidR="000D7CA3">
        <w:rPr>
          <w:b/>
        </w:rPr>
        <w:t>10</w:t>
      </w:r>
    </w:p>
    <w:p w:rsidR="00543FDD" w:rsidRDefault="00543FDD" w:rsidP="00577E62">
      <w:pPr>
        <w:autoSpaceDE w:val="0"/>
        <w:autoSpaceDN w:val="0"/>
        <w:adjustRightInd w:val="0"/>
        <w:ind w:firstLine="720"/>
        <w:jc w:val="center"/>
      </w:pPr>
    </w:p>
    <w:p w:rsidR="00174B31" w:rsidRDefault="00174B31" w:rsidP="00577E62">
      <w:pPr>
        <w:autoSpaceDE w:val="0"/>
        <w:autoSpaceDN w:val="0"/>
        <w:adjustRightInd w:val="0"/>
        <w:ind w:firstLine="720"/>
        <w:jc w:val="center"/>
      </w:pPr>
    </w:p>
    <w:p w:rsidR="00DC53A6" w:rsidRDefault="000D7CA3" w:rsidP="00396CBB">
      <w:pPr>
        <w:widowControl w:val="0"/>
        <w:autoSpaceDE w:val="0"/>
        <w:autoSpaceDN w:val="0"/>
        <w:adjustRightInd w:val="0"/>
        <w:rPr>
          <w:bCs/>
          <w:iCs/>
          <w:color w:val="000000"/>
        </w:rPr>
      </w:pPr>
      <w:r>
        <w:rPr>
          <w:bCs/>
          <w:iCs/>
          <w:color w:val="000000"/>
        </w:rPr>
        <w:tab/>
        <w:t xml:space="preserve">AT&amp;T appreciates the opportunity to comment on the </w:t>
      </w:r>
      <w:r w:rsidR="002227EB">
        <w:rPr>
          <w:bCs/>
          <w:iCs/>
          <w:color w:val="000000"/>
        </w:rPr>
        <w:t xml:space="preserve">proposed </w:t>
      </w:r>
      <w:r w:rsidR="00732D00">
        <w:rPr>
          <w:bCs/>
          <w:iCs/>
          <w:color w:val="000000"/>
        </w:rPr>
        <w:t>F</w:t>
      </w:r>
      <w:r w:rsidR="002227EB">
        <w:rPr>
          <w:bCs/>
          <w:iCs/>
          <w:color w:val="000000"/>
        </w:rPr>
        <w:t xml:space="preserve">inal </w:t>
      </w:r>
      <w:r w:rsidR="00732D00">
        <w:rPr>
          <w:bCs/>
          <w:iCs/>
          <w:color w:val="000000"/>
        </w:rPr>
        <w:t>V</w:t>
      </w:r>
      <w:r w:rsidR="00EC7385">
        <w:rPr>
          <w:bCs/>
          <w:iCs/>
          <w:color w:val="000000"/>
        </w:rPr>
        <w:t xml:space="preserve">ersion of the </w:t>
      </w:r>
      <w:r w:rsidR="002227EB">
        <w:rPr>
          <w:bCs/>
          <w:iCs/>
          <w:color w:val="000000"/>
        </w:rPr>
        <w:t xml:space="preserve">new gTLD </w:t>
      </w:r>
      <w:r>
        <w:rPr>
          <w:bCs/>
          <w:iCs/>
          <w:color w:val="000000"/>
        </w:rPr>
        <w:t>Applicant Guideb</w:t>
      </w:r>
      <w:r w:rsidR="00740CFF">
        <w:rPr>
          <w:bCs/>
          <w:iCs/>
          <w:color w:val="000000"/>
        </w:rPr>
        <w:t>ook (“</w:t>
      </w:r>
      <w:r w:rsidR="00732D00">
        <w:rPr>
          <w:bCs/>
          <w:iCs/>
          <w:color w:val="000000"/>
        </w:rPr>
        <w:t>FV</w:t>
      </w:r>
      <w:r w:rsidR="00740CFF">
        <w:rPr>
          <w:bCs/>
          <w:iCs/>
          <w:color w:val="000000"/>
        </w:rPr>
        <w:t xml:space="preserve">AG”).  </w:t>
      </w:r>
      <w:r w:rsidR="00FB1FDF">
        <w:rPr>
          <w:bCs/>
          <w:iCs/>
          <w:color w:val="000000"/>
        </w:rPr>
        <w:t xml:space="preserve">We recognize </w:t>
      </w:r>
      <w:r w:rsidR="009553AA">
        <w:rPr>
          <w:bCs/>
          <w:iCs/>
          <w:color w:val="000000"/>
        </w:rPr>
        <w:t xml:space="preserve">that the ICANN community and staff have </w:t>
      </w:r>
      <w:r w:rsidR="00FB1FDF">
        <w:rPr>
          <w:bCs/>
          <w:iCs/>
          <w:color w:val="000000"/>
        </w:rPr>
        <w:t>inve</w:t>
      </w:r>
      <w:r w:rsidR="00732D00">
        <w:rPr>
          <w:bCs/>
          <w:iCs/>
          <w:color w:val="000000"/>
        </w:rPr>
        <w:t xml:space="preserve">sted </w:t>
      </w:r>
      <w:r w:rsidR="009553AA">
        <w:rPr>
          <w:bCs/>
          <w:iCs/>
          <w:color w:val="000000"/>
        </w:rPr>
        <w:t xml:space="preserve">a significant amount of time and effort </w:t>
      </w:r>
      <w:r w:rsidR="00732D00">
        <w:rPr>
          <w:bCs/>
          <w:iCs/>
          <w:color w:val="000000"/>
        </w:rPr>
        <w:t>in develop</w:t>
      </w:r>
      <w:r w:rsidR="009553AA">
        <w:rPr>
          <w:bCs/>
          <w:iCs/>
          <w:color w:val="000000"/>
        </w:rPr>
        <w:t xml:space="preserve">ing this fifth version of the Applicant Guidebook.  </w:t>
      </w:r>
      <w:r w:rsidR="00EC7385">
        <w:rPr>
          <w:bCs/>
          <w:iCs/>
          <w:color w:val="000000"/>
        </w:rPr>
        <w:t xml:space="preserve">However, </w:t>
      </w:r>
      <w:r w:rsidR="009553AA">
        <w:rPr>
          <w:bCs/>
          <w:iCs/>
          <w:color w:val="000000"/>
        </w:rPr>
        <w:t xml:space="preserve">the decision-making process is now at a critical juncture and </w:t>
      </w:r>
      <w:r w:rsidR="00A11899">
        <w:rPr>
          <w:bCs/>
          <w:iCs/>
          <w:color w:val="000000"/>
        </w:rPr>
        <w:t xml:space="preserve">it </w:t>
      </w:r>
      <w:r w:rsidR="00EC7385">
        <w:rPr>
          <w:bCs/>
          <w:iCs/>
          <w:color w:val="000000"/>
        </w:rPr>
        <w:t xml:space="preserve">remains </w:t>
      </w:r>
      <w:r w:rsidR="00DC53A6">
        <w:rPr>
          <w:bCs/>
          <w:iCs/>
          <w:color w:val="000000"/>
        </w:rPr>
        <w:t>in</w:t>
      </w:r>
      <w:r w:rsidR="00EC7385">
        <w:rPr>
          <w:bCs/>
          <w:iCs/>
          <w:color w:val="000000"/>
        </w:rPr>
        <w:t xml:space="preserve">complete.  ICANN should take the necessary time to </w:t>
      </w:r>
      <w:r w:rsidR="00A11899">
        <w:rPr>
          <w:bCs/>
          <w:iCs/>
          <w:color w:val="000000"/>
        </w:rPr>
        <w:t xml:space="preserve">issue a comprehensive decision that incorporates the </w:t>
      </w:r>
      <w:r w:rsidR="00EC7385">
        <w:rPr>
          <w:bCs/>
          <w:iCs/>
          <w:color w:val="000000"/>
        </w:rPr>
        <w:t xml:space="preserve">relevant findings of the </w:t>
      </w:r>
      <w:r w:rsidR="001D50FD">
        <w:rPr>
          <w:bCs/>
          <w:iCs/>
          <w:color w:val="000000"/>
        </w:rPr>
        <w:t>“</w:t>
      </w:r>
      <w:r w:rsidR="00A11899">
        <w:rPr>
          <w:bCs/>
          <w:iCs/>
          <w:color w:val="000000"/>
        </w:rPr>
        <w:t>Economic Considerations in the Expansion of Generic Top-Level Domain Names Phase II Report:  Case Studies</w:t>
      </w:r>
      <w:r w:rsidR="001D50FD">
        <w:rPr>
          <w:bCs/>
          <w:iCs/>
          <w:color w:val="000000"/>
        </w:rPr>
        <w:t>” prepared by Michael L. Katz, Gregory L. Rosston and Theresa Sullivan</w:t>
      </w:r>
      <w:r w:rsidR="00A11899">
        <w:rPr>
          <w:bCs/>
          <w:iCs/>
          <w:color w:val="000000"/>
        </w:rPr>
        <w:t xml:space="preserve"> (“Phase II Report”)</w:t>
      </w:r>
      <w:r w:rsidR="00A11899" w:rsidRPr="00A11899">
        <w:rPr>
          <w:bCs/>
          <w:iCs/>
          <w:color w:val="000000"/>
        </w:rPr>
        <w:t xml:space="preserve"> </w:t>
      </w:r>
      <w:r w:rsidR="00A11899">
        <w:rPr>
          <w:bCs/>
          <w:iCs/>
          <w:color w:val="000000"/>
        </w:rPr>
        <w:t xml:space="preserve">and that fully addresses all of the four overarching issues </w:t>
      </w:r>
      <w:r w:rsidR="009F1CE8">
        <w:rPr>
          <w:bCs/>
          <w:iCs/>
          <w:color w:val="000000"/>
        </w:rPr>
        <w:t xml:space="preserve">related to the introduction of new gTLDs </w:t>
      </w:r>
      <w:r w:rsidR="00A11899">
        <w:rPr>
          <w:bCs/>
          <w:iCs/>
          <w:color w:val="000000"/>
        </w:rPr>
        <w:t>in a holistic manner.</w:t>
      </w:r>
      <w:r w:rsidR="00EC7385">
        <w:rPr>
          <w:bCs/>
          <w:iCs/>
          <w:color w:val="000000"/>
        </w:rPr>
        <w:t xml:space="preserve"> </w:t>
      </w:r>
      <w:r w:rsidR="00A11899">
        <w:rPr>
          <w:bCs/>
          <w:iCs/>
          <w:color w:val="000000"/>
        </w:rPr>
        <w:t xml:space="preserve"> </w:t>
      </w:r>
      <w:r w:rsidR="00732D00">
        <w:rPr>
          <w:bCs/>
          <w:iCs/>
          <w:color w:val="000000"/>
        </w:rPr>
        <w:t>The proposed FV</w:t>
      </w:r>
      <w:r w:rsidR="00DC53A6">
        <w:rPr>
          <w:bCs/>
          <w:iCs/>
          <w:color w:val="000000"/>
        </w:rPr>
        <w:t xml:space="preserve">AG </w:t>
      </w:r>
      <w:r w:rsidR="00732D00">
        <w:rPr>
          <w:bCs/>
          <w:iCs/>
          <w:color w:val="000000"/>
        </w:rPr>
        <w:t xml:space="preserve">is not </w:t>
      </w:r>
      <w:r w:rsidR="00DC53A6">
        <w:rPr>
          <w:bCs/>
          <w:iCs/>
          <w:color w:val="000000"/>
        </w:rPr>
        <w:t>a substit</w:t>
      </w:r>
      <w:r w:rsidR="001F569F">
        <w:rPr>
          <w:bCs/>
          <w:iCs/>
          <w:color w:val="000000"/>
        </w:rPr>
        <w:t>ut</w:t>
      </w:r>
      <w:r w:rsidR="00DC53A6">
        <w:rPr>
          <w:bCs/>
          <w:iCs/>
          <w:color w:val="000000"/>
        </w:rPr>
        <w:t xml:space="preserve">e for a </w:t>
      </w:r>
      <w:r w:rsidR="00A11899">
        <w:rPr>
          <w:bCs/>
          <w:iCs/>
          <w:color w:val="000000"/>
        </w:rPr>
        <w:t>reasoned</w:t>
      </w:r>
      <w:r w:rsidR="00DC53A6">
        <w:rPr>
          <w:bCs/>
          <w:iCs/>
          <w:color w:val="000000"/>
        </w:rPr>
        <w:t xml:space="preserve"> fact-</w:t>
      </w:r>
      <w:r w:rsidR="0061683D">
        <w:rPr>
          <w:bCs/>
          <w:iCs/>
          <w:color w:val="000000"/>
        </w:rPr>
        <w:t>based</w:t>
      </w:r>
      <w:r w:rsidR="00DC53A6">
        <w:rPr>
          <w:bCs/>
          <w:iCs/>
          <w:color w:val="000000"/>
        </w:rPr>
        <w:t xml:space="preserve"> </w:t>
      </w:r>
      <w:r w:rsidR="00732D00">
        <w:rPr>
          <w:bCs/>
          <w:iCs/>
          <w:color w:val="000000"/>
        </w:rPr>
        <w:t xml:space="preserve">decision that </w:t>
      </w:r>
      <w:r w:rsidR="00A11899">
        <w:rPr>
          <w:bCs/>
          <w:iCs/>
          <w:color w:val="000000"/>
        </w:rPr>
        <w:t>analyzes</w:t>
      </w:r>
      <w:r w:rsidR="00732D00">
        <w:rPr>
          <w:bCs/>
          <w:iCs/>
          <w:color w:val="000000"/>
        </w:rPr>
        <w:t xml:space="preserve"> </w:t>
      </w:r>
      <w:r w:rsidR="009F1CE8">
        <w:rPr>
          <w:bCs/>
          <w:iCs/>
          <w:color w:val="000000"/>
        </w:rPr>
        <w:t xml:space="preserve">the extensive </w:t>
      </w:r>
      <w:r w:rsidR="00732D00">
        <w:rPr>
          <w:bCs/>
          <w:iCs/>
          <w:color w:val="000000"/>
        </w:rPr>
        <w:t>community input</w:t>
      </w:r>
      <w:r w:rsidR="009F1CE8">
        <w:rPr>
          <w:bCs/>
          <w:iCs/>
          <w:color w:val="000000"/>
        </w:rPr>
        <w:t xml:space="preserve"> that has been submitted</w:t>
      </w:r>
      <w:r w:rsidR="00DC53A6">
        <w:rPr>
          <w:bCs/>
          <w:iCs/>
          <w:color w:val="000000"/>
        </w:rPr>
        <w:t>, which should be a prerequisite for moving forward with the implementation of new gTLDs.</w:t>
      </w:r>
    </w:p>
    <w:p w:rsidR="00732D00" w:rsidRDefault="00732D00" w:rsidP="00396CBB">
      <w:pPr>
        <w:widowControl w:val="0"/>
        <w:autoSpaceDE w:val="0"/>
        <w:autoSpaceDN w:val="0"/>
        <w:adjustRightInd w:val="0"/>
        <w:rPr>
          <w:bCs/>
          <w:iCs/>
          <w:color w:val="000000"/>
        </w:rPr>
      </w:pPr>
    </w:p>
    <w:p w:rsidR="00732D00" w:rsidRDefault="00732D00" w:rsidP="00396CBB">
      <w:pPr>
        <w:widowControl w:val="0"/>
        <w:autoSpaceDE w:val="0"/>
        <w:autoSpaceDN w:val="0"/>
        <w:adjustRightInd w:val="0"/>
        <w:rPr>
          <w:bCs/>
          <w:iCs/>
          <w:color w:val="000000"/>
        </w:rPr>
      </w:pPr>
      <w:r>
        <w:rPr>
          <w:bCs/>
          <w:iCs/>
          <w:color w:val="000000"/>
        </w:rPr>
        <w:tab/>
        <w:t xml:space="preserve">As a preliminary matter, AT&amp;T is concerned about the comment deadline for the proposed FVAG.  In addition to providing a compressed time period for comments on the voluminous FVAG and the recently issued </w:t>
      </w:r>
      <w:r w:rsidR="00217A7F">
        <w:rPr>
          <w:bCs/>
          <w:iCs/>
          <w:color w:val="000000"/>
        </w:rPr>
        <w:t>Phase II Report</w:t>
      </w:r>
      <w:r>
        <w:rPr>
          <w:bCs/>
          <w:iCs/>
          <w:color w:val="000000"/>
        </w:rPr>
        <w:t xml:space="preserve">, the comment deadline is the same day as the Board’s scheduled vote on the new gTLD process.  This rushed process does not allow sufficient time for the community to provide input, let alone </w:t>
      </w:r>
      <w:r w:rsidR="00217A7F">
        <w:rPr>
          <w:bCs/>
          <w:iCs/>
          <w:color w:val="000000"/>
        </w:rPr>
        <w:t xml:space="preserve">time for </w:t>
      </w:r>
      <w:r>
        <w:rPr>
          <w:bCs/>
          <w:iCs/>
          <w:color w:val="000000"/>
        </w:rPr>
        <w:t>the ICANN Board to analyze and consider th</w:t>
      </w:r>
      <w:r w:rsidR="00217A7F">
        <w:rPr>
          <w:bCs/>
          <w:iCs/>
          <w:color w:val="000000"/>
        </w:rPr>
        <w:t>is</w:t>
      </w:r>
      <w:r>
        <w:rPr>
          <w:bCs/>
          <w:iCs/>
          <w:color w:val="000000"/>
        </w:rPr>
        <w:t xml:space="preserve"> input.</w:t>
      </w:r>
      <w:r w:rsidR="000B1FE9">
        <w:rPr>
          <w:bCs/>
          <w:iCs/>
          <w:color w:val="000000"/>
        </w:rPr>
        <w:t xml:space="preserve">  Accordingly, AT&amp;T joins other commenters in requesting </w:t>
      </w:r>
      <w:r w:rsidR="001D50FD">
        <w:rPr>
          <w:bCs/>
          <w:iCs/>
          <w:color w:val="000000"/>
        </w:rPr>
        <w:t xml:space="preserve">that </w:t>
      </w:r>
      <w:r w:rsidR="000B1FE9">
        <w:rPr>
          <w:bCs/>
          <w:iCs/>
          <w:color w:val="000000"/>
        </w:rPr>
        <w:t xml:space="preserve">additional time </w:t>
      </w:r>
      <w:r w:rsidR="001D50FD">
        <w:rPr>
          <w:bCs/>
          <w:iCs/>
          <w:color w:val="000000"/>
        </w:rPr>
        <w:t xml:space="preserve">be provided </w:t>
      </w:r>
      <w:r w:rsidR="000B1FE9">
        <w:rPr>
          <w:bCs/>
          <w:iCs/>
          <w:color w:val="000000"/>
        </w:rPr>
        <w:t>for public comments and Board consideration of these comments.</w:t>
      </w:r>
      <w:r w:rsidR="00B13379">
        <w:rPr>
          <w:bCs/>
          <w:iCs/>
          <w:color w:val="000000"/>
        </w:rPr>
        <w:t xml:space="preserve">  </w:t>
      </w:r>
    </w:p>
    <w:p w:rsidR="00DC53A6" w:rsidRDefault="00DC53A6" w:rsidP="00396CBB">
      <w:pPr>
        <w:widowControl w:val="0"/>
        <w:autoSpaceDE w:val="0"/>
        <w:autoSpaceDN w:val="0"/>
        <w:adjustRightInd w:val="0"/>
        <w:rPr>
          <w:bCs/>
          <w:iCs/>
          <w:color w:val="000000"/>
        </w:rPr>
      </w:pPr>
    </w:p>
    <w:p w:rsidR="00DC53A6" w:rsidRPr="00E44CDB" w:rsidRDefault="00DC53A6" w:rsidP="001F569F">
      <w:pPr>
        <w:widowControl w:val="0"/>
        <w:autoSpaceDE w:val="0"/>
        <w:autoSpaceDN w:val="0"/>
        <w:adjustRightInd w:val="0"/>
        <w:ind w:left="720" w:hanging="720"/>
        <w:rPr>
          <w:b/>
          <w:bCs/>
          <w:iCs/>
          <w:color w:val="000000"/>
        </w:rPr>
      </w:pPr>
      <w:r w:rsidRPr="00E44CDB">
        <w:rPr>
          <w:b/>
          <w:bCs/>
          <w:iCs/>
          <w:color w:val="000000"/>
        </w:rPr>
        <w:t>1.</w:t>
      </w:r>
      <w:r w:rsidRPr="00E44CDB">
        <w:rPr>
          <w:b/>
          <w:bCs/>
          <w:iCs/>
          <w:color w:val="000000"/>
        </w:rPr>
        <w:tab/>
        <w:t xml:space="preserve">The </w:t>
      </w:r>
      <w:r w:rsidR="001F569F" w:rsidRPr="00E44CDB">
        <w:rPr>
          <w:b/>
          <w:bCs/>
          <w:iCs/>
          <w:color w:val="000000"/>
        </w:rPr>
        <w:t xml:space="preserve">Recently </w:t>
      </w:r>
      <w:r w:rsidRPr="00E44CDB">
        <w:rPr>
          <w:b/>
          <w:bCs/>
          <w:iCs/>
          <w:color w:val="000000"/>
        </w:rPr>
        <w:t xml:space="preserve">Issued Economic Study </w:t>
      </w:r>
      <w:r w:rsidR="001F569F" w:rsidRPr="00E44CDB">
        <w:rPr>
          <w:b/>
          <w:bCs/>
          <w:iCs/>
          <w:color w:val="000000"/>
        </w:rPr>
        <w:t xml:space="preserve">Contains New Information that Should </w:t>
      </w:r>
      <w:r w:rsidR="008D4589" w:rsidRPr="00E44CDB">
        <w:rPr>
          <w:b/>
          <w:bCs/>
          <w:iCs/>
          <w:color w:val="000000"/>
        </w:rPr>
        <w:t>B</w:t>
      </w:r>
      <w:r w:rsidR="001F569F" w:rsidRPr="00E44CDB">
        <w:rPr>
          <w:b/>
          <w:bCs/>
          <w:iCs/>
          <w:color w:val="000000"/>
        </w:rPr>
        <w:t>e Incorporated into the New gTLD Implementation Process</w:t>
      </w:r>
    </w:p>
    <w:p w:rsidR="00DC53A6" w:rsidRDefault="00DC53A6" w:rsidP="00396CBB">
      <w:pPr>
        <w:widowControl w:val="0"/>
        <w:autoSpaceDE w:val="0"/>
        <w:autoSpaceDN w:val="0"/>
        <w:adjustRightInd w:val="0"/>
        <w:rPr>
          <w:bCs/>
          <w:iCs/>
          <w:color w:val="000000"/>
        </w:rPr>
      </w:pPr>
    </w:p>
    <w:p w:rsidR="00E44CDB" w:rsidRDefault="000959C2" w:rsidP="00E44CDB">
      <w:pPr>
        <w:widowControl w:val="0"/>
        <w:autoSpaceDE w:val="0"/>
        <w:autoSpaceDN w:val="0"/>
        <w:adjustRightInd w:val="0"/>
        <w:ind w:firstLine="720"/>
        <w:rPr>
          <w:bCs/>
          <w:iCs/>
          <w:color w:val="000000"/>
        </w:rPr>
      </w:pPr>
      <w:r w:rsidRPr="00BC6454">
        <w:rPr>
          <w:bCs/>
          <w:iCs/>
          <w:color w:val="000000"/>
        </w:rPr>
        <w:t xml:space="preserve">AT&amp;T </w:t>
      </w:r>
      <w:r>
        <w:rPr>
          <w:bCs/>
          <w:iCs/>
          <w:color w:val="000000"/>
        </w:rPr>
        <w:t xml:space="preserve">and other stakeholders repeatedly have urged </w:t>
      </w:r>
      <w:r w:rsidRPr="00BC6454">
        <w:rPr>
          <w:bCs/>
          <w:iCs/>
          <w:color w:val="000000"/>
        </w:rPr>
        <w:t>ICAN</w:t>
      </w:r>
      <w:r>
        <w:rPr>
          <w:bCs/>
          <w:iCs/>
          <w:color w:val="000000"/>
        </w:rPr>
        <w:t>N</w:t>
      </w:r>
      <w:r w:rsidRPr="00BC6454">
        <w:rPr>
          <w:bCs/>
          <w:iCs/>
          <w:color w:val="000000"/>
        </w:rPr>
        <w:t xml:space="preserve"> to undertake a</w:t>
      </w:r>
      <w:r>
        <w:rPr>
          <w:bCs/>
          <w:iCs/>
          <w:color w:val="000000"/>
        </w:rPr>
        <w:t xml:space="preserve"> fact-based</w:t>
      </w:r>
      <w:r w:rsidRPr="00BC6454">
        <w:rPr>
          <w:bCs/>
          <w:iCs/>
          <w:color w:val="000000"/>
        </w:rPr>
        <w:t xml:space="preserve"> economic analysis </w:t>
      </w:r>
      <w:r w:rsidR="000B1FE9">
        <w:rPr>
          <w:bCs/>
          <w:iCs/>
          <w:color w:val="000000"/>
        </w:rPr>
        <w:t xml:space="preserve">that </w:t>
      </w:r>
      <w:r>
        <w:rPr>
          <w:bCs/>
          <w:iCs/>
          <w:color w:val="000000"/>
        </w:rPr>
        <w:t>is designed to thoroughly assess the potential costs and ben</w:t>
      </w:r>
      <w:r w:rsidR="001D50FD">
        <w:rPr>
          <w:bCs/>
          <w:iCs/>
          <w:color w:val="000000"/>
        </w:rPr>
        <w:t xml:space="preserve">efits of new gTLDs.  </w:t>
      </w:r>
      <w:r w:rsidRPr="00BC6454">
        <w:rPr>
          <w:bCs/>
          <w:iCs/>
          <w:color w:val="000000"/>
        </w:rPr>
        <w:t xml:space="preserve">ICANN </w:t>
      </w:r>
      <w:r w:rsidR="001D50FD">
        <w:rPr>
          <w:bCs/>
          <w:iCs/>
          <w:color w:val="000000"/>
        </w:rPr>
        <w:t xml:space="preserve">initially </w:t>
      </w:r>
      <w:r>
        <w:rPr>
          <w:bCs/>
          <w:iCs/>
          <w:color w:val="000000"/>
        </w:rPr>
        <w:t>released a high-level economic paper that was limited to examining</w:t>
      </w:r>
      <w:r w:rsidRPr="00BC6454">
        <w:rPr>
          <w:bCs/>
          <w:iCs/>
          <w:color w:val="000000"/>
        </w:rPr>
        <w:t xml:space="preserve"> </w:t>
      </w:r>
      <w:r>
        <w:rPr>
          <w:bCs/>
          <w:iCs/>
          <w:color w:val="000000"/>
        </w:rPr>
        <w:t>the potential competitive benefits of new gTLDs on</w:t>
      </w:r>
      <w:r w:rsidRPr="00BC6454">
        <w:rPr>
          <w:bCs/>
          <w:iCs/>
          <w:color w:val="000000"/>
        </w:rPr>
        <w:t xml:space="preserve"> a</w:t>
      </w:r>
      <w:r>
        <w:rPr>
          <w:bCs/>
          <w:iCs/>
          <w:color w:val="000000"/>
        </w:rPr>
        <w:t xml:space="preserve"> theoretical basis.  </w:t>
      </w:r>
      <w:r w:rsidR="00E44CDB">
        <w:rPr>
          <w:bCs/>
          <w:iCs/>
          <w:color w:val="000000"/>
        </w:rPr>
        <w:t xml:space="preserve">Earlier this year, ICANN released </w:t>
      </w:r>
      <w:r w:rsidR="000B1FE9">
        <w:rPr>
          <w:bCs/>
          <w:iCs/>
          <w:color w:val="000000"/>
        </w:rPr>
        <w:t xml:space="preserve">the Phase I Report, </w:t>
      </w:r>
      <w:r w:rsidR="00E44CDB">
        <w:rPr>
          <w:bCs/>
          <w:iCs/>
          <w:color w:val="000000"/>
        </w:rPr>
        <w:t xml:space="preserve">an economic study that surveyed existing studies and discusses a proposed analytical framework for analyzing the costs and benefits of new gTLDs.  One of the </w:t>
      </w:r>
      <w:r w:rsidR="00A727CE">
        <w:rPr>
          <w:bCs/>
          <w:iCs/>
          <w:color w:val="000000"/>
        </w:rPr>
        <w:t>primary</w:t>
      </w:r>
      <w:r w:rsidR="00E44CDB">
        <w:rPr>
          <w:bCs/>
          <w:iCs/>
          <w:color w:val="000000"/>
        </w:rPr>
        <w:t xml:space="preserve"> conclusions of the </w:t>
      </w:r>
      <w:r w:rsidR="000B1FE9">
        <w:rPr>
          <w:bCs/>
          <w:iCs/>
          <w:color w:val="000000"/>
        </w:rPr>
        <w:t>Phase I Report</w:t>
      </w:r>
      <w:r w:rsidR="00E44CDB">
        <w:rPr>
          <w:bCs/>
          <w:iCs/>
          <w:color w:val="000000"/>
        </w:rPr>
        <w:t xml:space="preserve"> </w:t>
      </w:r>
      <w:r w:rsidR="00A727CE">
        <w:rPr>
          <w:bCs/>
          <w:iCs/>
          <w:color w:val="000000"/>
        </w:rPr>
        <w:t>wa</w:t>
      </w:r>
      <w:r w:rsidR="00E44CDB">
        <w:rPr>
          <w:bCs/>
          <w:iCs/>
          <w:color w:val="000000"/>
        </w:rPr>
        <w:t xml:space="preserve">s that more data and information </w:t>
      </w:r>
      <w:r w:rsidR="00A727CE">
        <w:rPr>
          <w:bCs/>
          <w:iCs/>
          <w:color w:val="000000"/>
        </w:rPr>
        <w:t>was</w:t>
      </w:r>
      <w:r w:rsidR="00E44CDB">
        <w:rPr>
          <w:bCs/>
          <w:iCs/>
          <w:color w:val="000000"/>
        </w:rPr>
        <w:t xml:space="preserve"> needed for ICANN to understand fully the costs and benefits of new gTLDs.  </w:t>
      </w:r>
      <w:r w:rsidR="001D50FD">
        <w:rPr>
          <w:bCs/>
          <w:iCs/>
          <w:color w:val="000000"/>
        </w:rPr>
        <w:t>On December 3</w:t>
      </w:r>
      <w:r w:rsidR="00E44CDB">
        <w:rPr>
          <w:bCs/>
          <w:iCs/>
          <w:color w:val="000000"/>
        </w:rPr>
        <w:t xml:space="preserve">, ICANN released </w:t>
      </w:r>
      <w:r w:rsidR="000B1FE9">
        <w:rPr>
          <w:bCs/>
          <w:iCs/>
          <w:color w:val="000000"/>
        </w:rPr>
        <w:t>the Phase II Report</w:t>
      </w:r>
      <w:r w:rsidR="00E44CDB">
        <w:rPr>
          <w:bCs/>
          <w:iCs/>
          <w:color w:val="000000"/>
        </w:rPr>
        <w:t xml:space="preserve">, which is the first of the economic studies to include at least some research and analysis of </w:t>
      </w:r>
      <w:r w:rsidR="001D50FD">
        <w:rPr>
          <w:bCs/>
          <w:iCs/>
          <w:color w:val="000000"/>
        </w:rPr>
        <w:t xml:space="preserve">industry data about past experiences with </w:t>
      </w:r>
      <w:r w:rsidR="000B1FE9">
        <w:rPr>
          <w:bCs/>
          <w:iCs/>
          <w:color w:val="000000"/>
        </w:rPr>
        <w:t>new</w:t>
      </w:r>
      <w:r w:rsidR="00E44CDB">
        <w:rPr>
          <w:bCs/>
          <w:iCs/>
          <w:color w:val="000000"/>
        </w:rPr>
        <w:t xml:space="preserve"> gTLDs.</w:t>
      </w:r>
    </w:p>
    <w:p w:rsidR="00E44CDB" w:rsidRDefault="00E44CDB" w:rsidP="00E44CDB">
      <w:pPr>
        <w:widowControl w:val="0"/>
        <w:autoSpaceDE w:val="0"/>
        <w:autoSpaceDN w:val="0"/>
        <w:adjustRightInd w:val="0"/>
        <w:ind w:firstLine="720"/>
        <w:rPr>
          <w:bCs/>
          <w:iCs/>
          <w:color w:val="000000"/>
        </w:rPr>
      </w:pPr>
    </w:p>
    <w:p w:rsidR="002C7A4A" w:rsidRDefault="00A727CE" w:rsidP="002C7A4A">
      <w:pPr>
        <w:widowControl w:val="0"/>
        <w:autoSpaceDE w:val="0"/>
        <w:autoSpaceDN w:val="0"/>
        <w:adjustRightInd w:val="0"/>
        <w:ind w:firstLine="720"/>
        <w:rPr>
          <w:bCs/>
          <w:iCs/>
          <w:color w:val="000000"/>
        </w:rPr>
      </w:pPr>
      <w:r>
        <w:rPr>
          <w:bCs/>
          <w:iCs/>
          <w:color w:val="000000"/>
        </w:rPr>
        <w:t>T</w:t>
      </w:r>
      <w:r w:rsidR="00E44CDB">
        <w:rPr>
          <w:bCs/>
          <w:iCs/>
          <w:color w:val="000000"/>
        </w:rPr>
        <w:t xml:space="preserve">he Phase II </w:t>
      </w:r>
      <w:r w:rsidR="000B1FE9">
        <w:rPr>
          <w:bCs/>
          <w:iCs/>
          <w:color w:val="000000"/>
        </w:rPr>
        <w:t xml:space="preserve">Report </w:t>
      </w:r>
      <w:r w:rsidR="00E44CDB">
        <w:rPr>
          <w:bCs/>
          <w:iCs/>
          <w:color w:val="000000"/>
        </w:rPr>
        <w:t xml:space="preserve">presents new </w:t>
      </w:r>
      <w:r w:rsidR="000B1FE9">
        <w:rPr>
          <w:bCs/>
          <w:iCs/>
          <w:color w:val="000000"/>
        </w:rPr>
        <w:t xml:space="preserve">factual </w:t>
      </w:r>
      <w:r w:rsidR="00E44CDB">
        <w:rPr>
          <w:bCs/>
          <w:iCs/>
          <w:color w:val="000000"/>
        </w:rPr>
        <w:t xml:space="preserve">information that should be considered by the Board and incorporated into the new gTLD implementation process.  The Economic Study Phase II validates many of the concerns that AT&amp;T and others have </w:t>
      </w:r>
      <w:r w:rsidR="00E44CDB">
        <w:rPr>
          <w:bCs/>
          <w:iCs/>
          <w:color w:val="000000"/>
        </w:rPr>
        <w:lastRenderedPageBreak/>
        <w:t xml:space="preserve">raised about the </w:t>
      </w:r>
      <w:r w:rsidR="000B1FE9">
        <w:rPr>
          <w:bCs/>
          <w:iCs/>
          <w:color w:val="000000"/>
        </w:rPr>
        <w:t>relative</w:t>
      </w:r>
      <w:r w:rsidR="00E44CDB">
        <w:rPr>
          <w:bCs/>
          <w:iCs/>
          <w:color w:val="000000"/>
        </w:rPr>
        <w:t xml:space="preserve"> costs and benefits of the proposed </w:t>
      </w:r>
      <w:r w:rsidR="000B1FE9">
        <w:rPr>
          <w:bCs/>
          <w:iCs/>
          <w:color w:val="000000"/>
        </w:rPr>
        <w:t xml:space="preserve">program for introducing large numbers of </w:t>
      </w:r>
      <w:r w:rsidR="00E44CDB">
        <w:rPr>
          <w:bCs/>
          <w:iCs/>
          <w:color w:val="000000"/>
        </w:rPr>
        <w:t>new gTLD</w:t>
      </w:r>
      <w:r w:rsidR="000B1FE9">
        <w:rPr>
          <w:bCs/>
          <w:iCs/>
          <w:color w:val="000000"/>
        </w:rPr>
        <w:t>s</w:t>
      </w:r>
      <w:r w:rsidR="00E44CDB">
        <w:rPr>
          <w:bCs/>
          <w:iCs/>
          <w:color w:val="000000"/>
        </w:rPr>
        <w:t xml:space="preserve">.  </w:t>
      </w:r>
      <w:r w:rsidR="0061683D">
        <w:rPr>
          <w:bCs/>
          <w:iCs/>
          <w:color w:val="000000"/>
        </w:rPr>
        <w:t>It also provides factual support for the analysis and</w:t>
      </w:r>
      <w:r w:rsidR="000B1FE9">
        <w:rPr>
          <w:bCs/>
          <w:iCs/>
          <w:color w:val="000000"/>
        </w:rPr>
        <w:t xml:space="preserve"> conclusions that were included </w:t>
      </w:r>
      <w:r w:rsidR="0061683D">
        <w:rPr>
          <w:bCs/>
          <w:iCs/>
          <w:color w:val="000000"/>
        </w:rPr>
        <w:t xml:space="preserve">in the first phase of the Economic Study, which are </w:t>
      </w:r>
      <w:r w:rsidR="00E44CDB">
        <w:rPr>
          <w:bCs/>
          <w:iCs/>
          <w:color w:val="000000"/>
        </w:rPr>
        <w:t>directly relevant to the structure of ICANN’s implementation plan for new gTLDs.</w:t>
      </w:r>
      <w:r w:rsidR="000A2C89">
        <w:rPr>
          <w:bCs/>
          <w:iCs/>
          <w:color w:val="000000"/>
        </w:rPr>
        <w:t xml:space="preserve">  Accordingly, there is no basis for ICANN to</w:t>
      </w:r>
      <w:r w:rsidR="002C7A4A">
        <w:rPr>
          <w:bCs/>
          <w:iCs/>
          <w:color w:val="000000"/>
        </w:rPr>
        <w:t xml:space="preserve"> simply conclude that the costs and benefits of new gTLDs are too speculative to assess or consider in its decision-making.  </w:t>
      </w:r>
      <w:r w:rsidR="000A2C89">
        <w:rPr>
          <w:bCs/>
          <w:iCs/>
          <w:color w:val="000000"/>
        </w:rPr>
        <w:t xml:space="preserve">Rather, </w:t>
      </w:r>
      <w:r w:rsidR="002C7A4A">
        <w:rPr>
          <w:bCs/>
          <w:iCs/>
          <w:color w:val="000000"/>
        </w:rPr>
        <w:t xml:space="preserve">ICANN should take the opportunity to learn from the past and incorporate these learnings into the new gTLD program. </w:t>
      </w:r>
    </w:p>
    <w:p w:rsidR="002C7A4A" w:rsidRDefault="002C7A4A" w:rsidP="00E44CDB">
      <w:pPr>
        <w:widowControl w:val="0"/>
        <w:autoSpaceDE w:val="0"/>
        <w:autoSpaceDN w:val="0"/>
        <w:adjustRightInd w:val="0"/>
        <w:ind w:firstLine="720"/>
        <w:rPr>
          <w:bCs/>
          <w:iCs/>
          <w:color w:val="000000"/>
        </w:rPr>
      </w:pPr>
    </w:p>
    <w:p w:rsidR="0061683D" w:rsidRDefault="00A727CE" w:rsidP="00E44CDB">
      <w:pPr>
        <w:widowControl w:val="0"/>
        <w:autoSpaceDE w:val="0"/>
        <w:autoSpaceDN w:val="0"/>
        <w:adjustRightInd w:val="0"/>
        <w:ind w:firstLine="720"/>
        <w:rPr>
          <w:bCs/>
          <w:iCs/>
          <w:color w:val="000000"/>
        </w:rPr>
      </w:pPr>
      <w:r>
        <w:rPr>
          <w:bCs/>
          <w:iCs/>
          <w:color w:val="000000"/>
        </w:rPr>
        <w:t xml:space="preserve">The following are some specific examples of issues that should be </w:t>
      </w:r>
      <w:r w:rsidR="002C7A4A">
        <w:rPr>
          <w:bCs/>
          <w:iCs/>
          <w:color w:val="000000"/>
        </w:rPr>
        <w:t>informed by the Phase II Report</w:t>
      </w:r>
      <w:r>
        <w:rPr>
          <w:bCs/>
          <w:iCs/>
          <w:color w:val="000000"/>
        </w:rPr>
        <w:t>:</w:t>
      </w:r>
    </w:p>
    <w:p w:rsidR="003E3373" w:rsidRDefault="003E3373" w:rsidP="003E3373">
      <w:pPr>
        <w:ind w:firstLine="720"/>
        <w:rPr>
          <w:color w:val="000000" w:themeColor="text1"/>
        </w:rPr>
      </w:pPr>
    </w:p>
    <w:p w:rsidR="00320BB7" w:rsidRDefault="00320BB7" w:rsidP="003E3373">
      <w:pPr>
        <w:ind w:firstLine="720"/>
        <w:rPr>
          <w:color w:val="000000" w:themeColor="text1"/>
        </w:rPr>
      </w:pPr>
      <w:r w:rsidRPr="00915A58">
        <w:rPr>
          <w:i/>
          <w:color w:val="000000" w:themeColor="text1"/>
        </w:rPr>
        <w:t>First</w:t>
      </w:r>
      <w:r>
        <w:rPr>
          <w:color w:val="000000" w:themeColor="text1"/>
        </w:rPr>
        <w:t xml:space="preserve">, the Phase II Report </w:t>
      </w:r>
      <w:r w:rsidR="009F1CE8">
        <w:rPr>
          <w:color w:val="000000" w:themeColor="text1"/>
        </w:rPr>
        <w:t>finds concludes</w:t>
      </w:r>
      <w:r>
        <w:rPr>
          <w:color w:val="000000" w:themeColor="text1"/>
        </w:rPr>
        <w:t xml:space="preserve"> that</w:t>
      </w:r>
      <w:r w:rsidR="009F1CE8">
        <w:rPr>
          <w:color w:val="000000" w:themeColor="text1"/>
        </w:rPr>
        <w:t xml:space="preserve"> </w:t>
      </w:r>
      <w:r>
        <w:rPr>
          <w:color w:val="000000" w:themeColor="text1"/>
        </w:rPr>
        <w:t>there appears to be a high percentage of defensive registrations and sites without unique content</w:t>
      </w:r>
      <w:r w:rsidR="009F1CE8">
        <w:rPr>
          <w:color w:val="000000" w:themeColor="text1"/>
        </w:rPr>
        <w:t xml:space="preserve"> associated with new gTLDs</w:t>
      </w:r>
      <w:r>
        <w:rPr>
          <w:color w:val="000000" w:themeColor="text1"/>
        </w:rPr>
        <w:t xml:space="preserve">.  The Phase II Report also concludes that some rights protection mechanisms implemented during a sunrise period can be effective, but </w:t>
      </w:r>
      <w:r w:rsidR="0077730D">
        <w:rPr>
          <w:color w:val="000000" w:themeColor="text1"/>
        </w:rPr>
        <w:t>poorly</w:t>
      </w:r>
      <w:r>
        <w:rPr>
          <w:color w:val="000000" w:themeColor="text1"/>
        </w:rPr>
        <w:t xml:space="preserve"> implemented procedures can result in “large numbers of improper registrations”. Moreover, the Phase II Report note</w:t>
      </w:r>
      <w:r w:rsidR="009F1CE8">
        <w:rPr>
          <w:color w:val="000000" w:themeColor="text1"/>
        </w:rPr>
        <w:t>s</w:t>
      </w:r>
      <w:r>
        <w:rPr>
          <w:color w:val="000000" w:themeColor="text1"/>
        </w:rPr>
        <w:t xml:space="preserve"> the importance of different rights protection mechanisms after the launch of a new gTLD.   </w:t>
      </w:r>
    </w:p>
    <w:p w:rsidR="00320BB7" w:rsidRDefault="00320BB7" w:rsidP="003E3373">
      <w:pPr>
        <w:ind w:firstLine="720"/>
        <w:rPr>
          <w:color w:val="000000" w:themeColor="text1"/>
        </w:rPr>
      </w:pPr>
      <w:r>
        <w:rPr>
          <w:color w:val="000000" w:themeColor="text1"/>
        </w:rPr>
        <w:t xml:space="preserve"> </w:t>
      </w:r>
    </w:p>
    <w:p w:rsidR="00915A58" w:rsidRDefault="00915A58" w:rsidP="00403631">
      <w:pPr>
        <w:ind w:firstLine="720"/>
        <w:rPr>
          <w:color w:val="000000" w:themeColor="text1"/>
        </w:rPr>
      </w:pPr>
      <w:r>
        <w:rPr>
          <w:color w:val="000000" w:themeColor="text1"/>
        </w:rPr>
        <w:t>These findings confirm A</w:t>
      </w:r>
      <w:r w:rsidR="003E3373" w:rsidRPr="009C2FD6">
        <w:rPr>
          <w:color w:val="000000" w:themeColor="text1"/>
        </w:rPr>
        <w:t>T&amp;T</w:t>
      </w:r>
      <w:r>
        <w:rPr>
          <w:color w:val="000000" w:themeColor="text1"/>
        </w:rPr>
        <w:t xml:space="preserve">’s </w:t>
      </w:r>
      <w:r w:rsidR="003E3373" w:rsidRPr="009C2FD6">
        <w:rPr>
          <w:color w:val="000000" w:themeColor="text1"/>
        </w:rPr>
        <w:t xml:space="preserve">concerns </w:t>
      </w:r>
      <w:r w:rsidR="009F1CE8">
        <w:rPr>
          <w:color w:val="000000" w:themeColor="text1"/>
        </w:rPr>
        <w:t>about</w:t>
      </w:r>
      <w:r w:rsidR="003E3373" w:rsidRPr="009C2FD6">
        <w:rPr>
          <w:color w:val="000000" w:themeColor="text1"/>
        </w:rPr>
        <w:t xml:space="preserve"> the</w:t>
      </w:r>
      <w:r w:rsidR="009F1CE8">
        <w:rPr>
          <w:color w:val="000000" w:themeColor="text1"/>
        </w:rPr>
        <w:t xml:space="preserve"> current</w:t>
      </w:r>
      <w:r w:rsidR="003E3373" w:rsidRPr="009C2FD6">
        <w:rPr>
          <w:color w:val="000000" w:themeColor="text1"/>
        </w:rPr>
        <w:t xml:space="preserve"> </w:t>
      </w:r>
      <w:r>
        <w:rPr>
          <w:color w:val="000000" w:themeColor="text1"/>
        </w:rPr>
        <w:t>implementation plan for new gTLDs</w:t>
      </w:r>
      <w:r w:rsidR="009F1CE8">
        <w:rPr>
          <w:color w:val="000000" w:themeColor="text1"/>
        </w:rPr>
        <w:t>.  The FVAG</w:t>
      </w:r>
      <w:r>
        <w:rPr>
          <w:color w:val="000000" w:themeColor="text1"/>
        </w:rPr>
        <w:t xml:space="preserve"> does not establish any rights protection mechanisms at the top level and the Trademark Clearinghouse provides only limited one-time protections for second level registrations.  In order to be effective, the Trademark Clearinghouse must be more than just a list – it must be linked to effective rights protection mechanisms.  Otherwise, it will merely be a mechanism for gaming and abuse.</w:t>
      </w:r>
      <w:r w:rsidR="00403631">
        <w:rPr>
          <w:color w:val="000000" w:themeColor="text1"/>
        </w:rPr>
        <w:t xml:space="preserve">  We also remained concerned that the Uniform Rapid Suspension (“</w:t>
      </w:r>
      <w:r w:rsidR="00403631" w:rsidRPr="009C2FD6">
        <w:rPr>
          <w:color w:val="000000" w:themeColor="text1"/>
        </w:rPr>
        <w:t>URS</w:t>
      </w:r>
      <w:r w:rsidR="00403631">
        <w:rPr>
          <w:color w:val="000000" w:themeColor="text1"/>
        </w:rPr>
        <w:t xml:space="preserve">”) </w:t>
      </w:r>
      <w:r w:rsidR="00403631" w:rsidRPr="009C2FD6">
        <w:rPr>
          <w:color w:val="000000" w:themeColor="text1"/>
        </w:rPr>
        <w:t>process</w:t>
      </w:r>
      <w:r w:rsidR="00403631">
        <w:rPr>
          <w:color w:val="000000" w:themeColor="text1"/>
        </w:rPr>
        <w:t xml:space="preserve">, as currently structured, does not provide a rapid or effective mechanism for protecting rights or deterring malicious conduct.  </w:t>
      </w:r>
    </w:p>
    <w:p w:rsidR="00915A58" w:rsidRDefault="00915A58" w:rsidP="003E3373">
      <w:pPr>
        <w:ind w:firstLine="720"/>
        <w:rPr>
          <w:color w:val="000000" w:themeColor="text1"/>
        </w:rPr>
      </w:pPr>
    </w:p>
    <w:p w:rsidR="00915A58" w:rsidRDefault="00915A58" w:rsidP="003E3373">
      <w:pPr>
        <w:ind w:firstLine="720"/>
        <w:rPr>
          <w:color w:val="000000" w:themeColor="text1"/>
        </w:rPr>
      </w:pPr>
      <w:r w:rsidRPr="00915A58">
        <w:rPr>
          <w:i/>
          <w:color w:val="000000" w:themeColor="text1"/>
        </w:rPr>
        <w:t>Second</w:t>
      </w:r>
      <w:r>
        <w:rPr>
          <w:color w:val="000000" w:themeColor="text1"/>
        </w:rPr>
        <w:t xml:space="preserve">, the Phase II Report concludes that there is a higher rate of defensive registrations among the most valuable global brands.  This demonstrates the need for a Global Protected Marks List </w:t>
      </w:r>
      <w:r w:rsidR="009F1CE8">
        <w:rPr>
          <w:color w:val="000000" w:themeColor="text1"/>
        </w:rPr>
        <w:t xml:space="preserve">(“GPML”) </w:t>
      </w:r>
      <w:r>
        <w:rPr>
          <w:color w:val="000000" w:themeColor="text1"/>
        </w:rPr>
        <w:t xml:space="preserve">as a proactive rights protection mechanism.  Not only is a GPML an important defense for AT&amp;T and other global brand holders, but it is an important safeguard against malicious conduct.  As AT&amp;T has previously </w:t>
      </w:r>
      <w:r w:rsidR="006C2A86">
        <w:rPr>
          <w:color w:val="000000" w:themeColor="text1"/>
        </w:rPr>
        <w:t>discussed</w:t>
      </w:r>
      <w:r>
        <w:rPr>
          <w:color w:val="000000" w:themeColor="text1"/>
        </w:rPr>
        <w:t>, abuse of the most valuable global brands is often tied to malicious conduct that is intended to confuse consumers.</w:t>
      </w:r>
      <w:r w:rsidR="00403631">
        <w:rPr>
          <w:color w:val="000000" w:themeColor="text1"/>
        </w:rPr>
        <w:t xml:space="preserve">  We note that the .co registry has implemented a GPML as a way to attract customers and establish industry leadership with respect to rights protection mechanisms.  This should be viewed as best practice that is incorporated into all new gTLDs.</w:t>
      </w:r>
    </w:p>
    <w:p w:rsidR="00915A58" w:rsidRDefault="00915A58" w:rsidP="003E3373">
      <w:pPr>
        <w:ind w:firstLine="720"/>
        <w:rPr>
          <w:color w:val="000000" w:themeColor="text1"/>
        </w:rPr>
      </w:pPr>
    </w:p>
    <w:p w:rsidR="00403631" w:rsidRDefault="00915A58" w:rsidP="00403631">
      <w:pPr>
        <w:ind w:firstLine="720"/>
        <w:rPr>
          <w:bCs/>
          <w:iCs/>
          <w:color w:val="000000"/>
        </w:rPr>
      </w:pPr>
      <w:r w:rsidRPr="00403631">
        <w:rPr>
          <w:i/>
          <w:color w:val="000000" w:themeColor="text1"/>
        </w:rPr>
        <w:t>Third</w:t>
      </w:r>
      <w:r>
        <w:rPr>
          <w:color w:val="000000" w:themeColor="text1"/>
        </w:rPr>
        <w:t xml:space="preserve">, the Phase II Report provides a realistic assessment of the likely benefits of new gTLDs.  The Phase II Report concludes that </w:t>
      </w:r>
      <w:r w:rsidR="00403631">
        <w:rPr>
          <w:color w:val="000000" w:themeColor="text1"/>
        </w:rPr>
        <w:t>new gTLDs are unlikely to provide significant competition to .com and other existing gTLDs</w:t>
      </w:r>
      <w:r w:rsidR="006C2A86">
        <w:rPr>
          <w:color w:val="000000" w:themeColor="text1"/>
        </w:rPr>
        <w:t>,</w:t>
      </w:r>
      <w:r w:rsidR="00403631">
        <w:rPr>
          <w:color w:val="000000" w:themeColor="text1"/>
        </w:rPr>
        <w:t xml:space="preserve"> and </w:t>
      </w:r>
      <w:r w:rsidR="006C2A86">
        <w:rPr>
          <w:color w:val="000000" w:themeColor="text1"/>
        </w:rPr>
        <w:t>it finds</w:t>
      </w:r>
      <w:r w:rsidR="00403631">
        <w:rPr>
          <w:color w:val="000000" w:themeColor="text1"/>
        </w:rPr>
        <w:t xml:space="preserve"> little evidence of name scarcity in .com.  While the Phase II Report hypothesizes that differentiated new </w:t>
      </w:r>
      <w:r w:rsidR="00403631">
        <w:rPr>
          <w:color w:val="000000" w:themeColor="text1"/>
        </w:rPr>
        <w:lastRenderedPageBreak/>
        <w:t xml:space="preserve">gTLD offerings might provide more competition and consumer benefits than unrestricted, generic TLDs, it finds that the size of such benefits in practice depend on whether there are other ways to achieve the objectives of new gTLDs.  </w:t>
      </w:r>
      <w:r w:rsidR="00403631">
        <w:rPr>
          <w:bCs/>
          <w:iCs/>
          <w:color w:val="000000"/>
        </w:rPr>
        <w:t xml:space="preserve">The Phase II Report </w:t>
      </w:r>
      <w:r w:rsidR="003E3373">
        <w:rPr>
          <w:bCs/>
          <w:iCs/>
          <w:color w:val="000000"/>
        </w:rPr>
        <w:t xml:space="preserve">supports </w:t>
      </w:r>
      <w:r w:rsidR="006C2A86">
        <w:rPr>
          <w:bCs/>
          <w:iCs/>
          <w:color w:val="000000"/>
        </w:rPr>
        <w:t xml:space="preserve">the position of AT&amp;T and other commenters that ICANN should </w:t>
      </w:r>
      <w:r w:rsidR="003E3373">
        <w:rPr>
          <w:bCs/>
          <w:iCs/>
          <w:color w:val="000000"/>
        </w:rPr>
        <w:t>introduce new gTLDs in di</w:t>
      </w:r>
      <w:r w:rsidR="006C2A86">
        <w:rPr>
          <w:bCs/>
          <w:iCs/>
          <w:color w:val="000000"/>
        </w:rPr>
        <w:t xml:space="preserve">screte, limited rounds and continue to </w:t>
      </w:r>
      <w:r w:rsidR="003E3373">
        <w:rPr>
          <w:bCs/>
          <w:iCs/>
          <w:color w:val="000000"/>
        </w:rPr>
        <w:t>prioritize the introduction of Internationalized Domain Names.</w:t>
      </w:r>
      <w:r w:rsidR="0005557C">
        <w:rPr>
          <w:bCs/>
          <w:iCs/>
          <w:color w:val="000000"/>
        </w:rPr>
        <w:t xml:space="preserve">  It also reiterates the need for rights protection mechanisms as a way to ensure that new gTLDs offer some differentiation and deliver benefits to end users.   </w:t>
      </w:r>
      <w:r w:rsidR="003E3373">
        <w:rPr>
          <w:bCs/>
          <w:iCs/>
          <w:color w:val="000000"/>
        </w:rPr>
        <w:t xml:space="preserve">  </w:t>
      </w:r>
    </w:p>
    <w:p w:rsidR="00403631" w:rsidRDefault="00403631" w:rsidP="00403631">
      <w:pPr>
        <w:ind w:firstLine="720"/>
        <w:rPr>
          <w:bCs/>
          <w:iCs/>
          <w:color w:val="000000"/>
        </w:rPr>
      </w:pPr>
    </w:p>
    <w:p w:rsidR="002C7A4A" w:rsidRDefault="002C7A4A" w:rsidP="00E44CDB">
      <w:pPr>
        <w:widowControl w:val="0"/>
        <w:autoSpaceDE w:val="0"/>
        <w:autoSpaceDN w:val="0"/>
        <w:adjustRightInd w:val="0"/>
        <w:ind w:firstLine="720"/>
        <w:rPr>
          <w:bCs/>
          <w:iCs/>
          <w:color w:val="000000"/>
        </w:rPr>
      </w:pPr>
      <w:r>
        <w:rPr>
          <w:bCs/>
          <w:iCs/>
          <w:color w:val="000000"/>
        </w:rPr>
        <w:t xml:space="preserve">AT&amp;T repeatedly </w:t>
      </w:r>
      <w:r w:rsidR="00813813">
        <w:rPr>
          <w:bCs/>
          <w:iCs/>
          <w:color w:val="000000"/>
        </w:rPr>
        <w:t xml:space="preserve">has urged ICANN to conduct </w:t>
      </w:r>
      <w:r>
        <w:rPr>
          <w:bCs/>
          <w:iCs/>
          <w:color w:val="000000"/>
        </w:rPr>
        <w:t xml:space="preserve">a </w:t>
      </w:r>
      <w:r w:rsidR="00FE73F1">
        <w:rPr>
          <w:bCs/>
          <w:iCs/>
          <w:color w:val="000000"/>
        </w:rPr>
        <w:t>thorough, fact-based economic study much earlier in the process</w:t>
      </w:r>
      <w:r w:rsidR="006C2A86">
        <w:rPr>
          <w:bCs/>
          <w:iCs/>
          <w:color w:val="000000"/>
        </w:rPr>
        <w:t>,</w:t>
      </w:r>
      <w:r w:rsidR="00FF30F9">
        <w:rPr>
          <w:bCs/>
          <w:iCs/>
          <w:color w:val="000000"/>
        </w:rPr>
        <w:t xml:space="preserve"> so that the relevant information could </w:t>
      </w:r>
      <w:r>
        <w:rPr>
          <w:bCs/>
          <w:iCs/>
          <w:color w:val="000000"/>
        </w:rPr>
        <w:t>be</w:t>
      </w:r>
      <w:r w:rsidR="00FF30F9">
        <w:rPr>
          <w:bCs/>
          <w:iCs/>
          <w:color w:val="000000"/>
        </w:rPr>
        <w:t xml:space="preserve"> incorporated into the decision-making process on the </w:t>
      </w:r>
      <w:r>
        <w:rPr>
          <w:bCs/>
          <w:iCs/>
          <w:color w:val="000000"/>
        </w:rPr>
        <w:t xml:space="preserve">new gTLD program.  </w:t>
      </w:r>
      <w:r w:rsidR="00813813">
        <w:rPr>
          <w:bCs/>
          <w:iCs/>
          <w:color w:val="000000"/>
        </w:rPr>
        <w:t xml:space="preserve">It is unfortunate that the most recent economic studies were completed </w:t>
      </w:r>
      <w:r w:rsidR="00813813" w:rsidRPr="00813813">
        <w:rPr>
          <w:bCs/>
          <w:i/>
          <w:iCs/>
          <w:color w:val="000000"/>
        </w:rPr>
        <w:t>after</w:t>
      </w:r>
      <w:r w:rsidR="00813813">
        <w:rPr>
          <w:bCs/>
          <w:iCs/>
          <w:color w:val="000000"/>
        </w:rPr>
        <w:t xml:space="preserve"> the working group reports were completed on the overarching issues of rights protection mechanisms and prevention of malicious conduct.  </w:t>
      </w:r>
      <w:r>
        <w:rPr>
          <w:bCs/>
          <w:iCs/>
          <w:color w:val="000000"/>
        </w:rPr>
        <w:t xml:space="preserve">Nevertheless, </w:t>
      </w:r>
      <w:r w:rsidR="00813813">
        <w:rPr>
          <w:bCs/>
          <w:iCs/>
          <w:color w:val="000000"/>
        </w:rPr>
        <w:t>ICANN’s</w:t>
      </w:r>
      <w:r>
        <w:rPr>
          <w:bCs/>
          <w:iCs/>
          <w:color w:val="000000"/>
        </w:rPr>
        <w:t xml:space="preserve"> delay in completing a fact-based economic study does not provide a justification for </w:t>
      </w:r>
      <w:r w:rsidR="00813813">
        <w:rPr>
          <w:bCs/>
          <w:iCs/>
          <w:color w:val="000000"/>
        </w:rPr>
        <w:t xml:space="preserve">moving forward with the implementation of new gTLDs. </w:t>
      </w:r>
    </w:p>
    <w:p w:rsidR="0061683D" w:rsidRDefault="0061683D" w:rsidP="00E44CDB">
      <w:pPr>
        <w:widowControl w:val="0"/>
        <w:autoSpaceDE w:val="0"/>
        <w:autoSpaceDN w:val="0"/>
        <w:adjustRightInd w:val="0"/>
        <w:ind w:firstLine="720"/>
        <w:rPr>
          <w:bCs/>
          <w:iCs/>
          <w:color w:val="000000"/>
        </w:rPr>
      </w:pPr>
    </w:p>
    <w:p w:rsidR="00DC53A6" w:rsidRPr="0061683D" w:rsidRDefault="00DC53A6" w:rsidP="008D4589">
      <w:pPr>
        <w:widowControl w:val="0"/>
        <w:autoSpaceDE w:val="0"/>
        <w:autoSpaceDN w:val="0"/>
        <w:adjustRightInd w:val="0"/>
        <w:ind w:left="720" w:hanging="720"/>
        <w:rPr>
          <w:b/>
          <w:bCs/>
          <w:iCs/>
          <w:color w:val="000000"/>
        </w:rPr>
      </w:pPr>
      <w:r w:rsidRPr="0061683D">
        <w:rPr>
          <w:b/>
          <w:bCs/>
          <w:iCs/>
          <w:color w:val="000000"/>
        </w:rPr>
        <w:t>2.</w:t>
      </w:r>
      <w:r w:rsidRPr="0061683D">
        <w:rPr>
          <w:b/>
          <w:bCs/>
          <w:iCs/>
          <w:color w:val="000000"/>
        </w:rPr>
        <w:tab/>
      </w:r>
      <w:r w:rsidR="001F569F" w:rsidRPr="0061683D">
        <w:rPr>
          <w:b/>
          <w:bCs/>
          <w:iCs/>
          <w:color w:val="000000"/>
        </w:rPr>
        <w:t xml:space="preserve">ICANN Should Issue a </w:t>
      </w:r>
      <w:r w:rsidR="0061683D">
        <w:rPr>
          <w:b/>
          <w:bCs/>
          <w:iCs/>
          <w:color w:val="000000"/>
        </w:rPr>
        <w:t xml:space="preserve">Comprehensive </w:t>
      </w:r>
      <w:r w:rsidR="00813813">
        <w:rPr>
          <w:b/>
          <w:bCs/>
          <w:iCs/>
          <w:color w:val="000000"/>
        </w:rPr>
        <w:t xml:space="preserve">and </w:t>
      </w:r>
      <w:r w:rsidR="0061683D">
        <w:rPr>
          <w:b/>
          <w:bCs/>
          <w:iCs/>
          <w:color w:val="000000"/>
        </w:rPr>
        <w:t>Reasoned</w:t>
      </w:r>
      <w:r w:rsidR="001F569F" w:rsidRPr="0061683D">
        <w:rPr>
          <w:b/>
          <w:bCs/>
          <w:iCs/>
          <w:color w:val="000000"/>
        </w:rPr>
        <w:t xml:space="preserve"> Decision that Addresses All Overarching Issues Related to the Introduction of New gTLDs</w:t>
      </w:r>
    </w:p>
    <w:p w:rsidR="001F569F" w:rsidRDefault="001F569F" w:rsidP="00396CBB">
      <w:pPr>
        <w:widowControl w:val="0"/>
        <w:autoSpaceDE w:val="0"/>
        <w:autoSpaceDN w:val="0"/>
        <w:adjustRightInd w:val="0"/>
        <w:rPr>
          <w:bCs/>
          <w:iCs/>
          <w:color w:val="000000"/>
        </w:rPr>
      </w:pPr>
    </w:p>
    <w:p w:rsidR="002C7A4A" w:rsidRDefault="002C7A4A" w:rsidP="002C7A4A">
      <w:pPr>
        <w:widowControl w:val="0"/>
        <w:autoSpaceDE w:val="0"/>
        <w:autoSpaceDN w:val="0"/>
        <w:adjustRightInd w:val="0"/>
        <w:ind w:firstLine="720"/>
        <w:rPr>
          <w:bCs/>
          <w:iCs/>
          <w:color w:val="000000"/>
        </w:rPr>
      </w:pPr>
      <w:r w:rsidRPr="00BC6454">
        <w:rPr>
          <w:bCs/>
          <w:iCs/>
          <w:color w:val="000000"/>
        </w:rPr>
        <w:t xml:space="preserve">AT&amp;T </w:t>
      </w:r>
      <w:r>
        <w:rPr>
          <w:bCs/>
          <w:iCs/>
          <w:color w:val="000000"/>
        </w:rPr>
        <w:t xml:space="preserve">filed </w:t>
      </w:r>
      <w:r w:rsidRPr="00BC6454">
        <w:rPr>
          <w:bCs/>
          <w:iCs/>
          <w:color w:val="000000"/>
        </w:rPr>
        <w:t xml:space="preserve">comments </w:t>
      </w:r>
      <w:r>
        <w:rPr>
          <w:bCs/>
          <w:iCs/>
          <w:color w:val="000000"/>
        </w:rPr>
        <w:t xml:space="preserve">on earlier draft versions of the new gTLD </w:t>
      </w:r>
      <w:r w:rsidR="00927922">
        <w:rPr>
          <w:bCs/>
          <w:iCs/>
          <w:color w:val="000000"/>
        </w:rPr>
        <w:t xml:space="preserve">applicant guidebook </w:t>
      </w:r>
      <w:r w:rsidR="006C2A86">
        <w:rPr>
          <w:bCs/>
          <w:iCs/>
          <w:color w:val="000000"/>
        </w:rPr>
        <w:t>and in the separate</w:t>
      </w:r>
      <w:r>
        <w:rPr>
          <w:bCs/>
          <w:iCs/>
          <w:color w:val="000000"/>
        </w:rPr>
        <w:t xml:space="preserve"> comment proceedings involving the economic analysis, the root scaling study and trademark rights protection mechanisms.  </w:t>
      </w:r>
      <w:r w:rsidR="00927922">
        <w:rPr>
          <w:bCs/>
          <w:iCs/>
          <w:color w:val="000000"/>
        </w:rPr>
        <w:t xml:space="preserve">We have repeatedly highlighted the need </w:t>
      </w:r>
      <w:r>
        <w:rPr>
          <w:bCs/>
          <w:iCs/>
          <w:color w:val="000000"/>
        </w:rPr>
        <w:t xml:space="preserve">for ICANN to incorporate </w:t>
      </w:r>
      <w:r w:rsidRPr="00DF377F">
        <w:rPr>
          <w:bCs/>
          <w:iCs/>
          <w:color w:val="000000"/>
        </w:rPr>
        <w:t>all</w:t>
      </w:r>
      <w:r>
        <w:rPr>
          <w:bCs/>
          <w:iCs/>
          <w:color w:val="000000"/>
        </w:rPr>
        <w:t xml:space="preserve"> of these issues into a holistic implementation plan for new gTLDs and to develop a comprehensive s</w:t>
      </w:r>
      <w:r w:rsidR="006C2A86">
        <w:rPr>
          <w:bCs/>
          <w:iCs/>
          <w:color w:val="000000"/>
        </w:rPr>
        <w:t>et of safeguards to address them</w:t>
      </w:r>
      <w:r>
        <w:rPr>
          <w:bCs/>
          <w:iCs/>
          <w:color w:val="000000"/>
        </w:rPr>
        <w:t>.</w:t>
      </w:r>
      <w:r w:rsidR="00927922">
        <w:rPr>
          <w:bCs/>
          <w:iCs/>
          <w:color w:val="000000"/>
        </w:rPr>
        <w:t xml:space="preserve">  Unfortunately, the segmented process that has been utilized to address the overarching issues has not produced such a decision.</w:t>
      </w:r>
    </w:p>
    <w:p w:rsidR="002C7A4A" w:rsidRDefault="002C7A4A" w:rsidP="002C7A4A">
      <w:pPr>
        <w:widowControl w:val="0"/>
        <w:autoSpaceDE w:val="0"/>
        <w:autoSpaceDN w:val="0"/>
        <w:adjustRightInd w:val="0"/>
        <w:rPr>
          <w:bCs/>
          <w:iCs/>
          <w:color w:val="000000"/>
        </w:rPr>
      </w:pPr>
    </w:p>
    <w:p w:rsidR="00E517B6" w:rsidRDefault="00927922" w:rsidP="002C7A4A">
      <w:pPr>
        <w:widowControl w:val="0"/>
        <w:autoSpaceDE w:val="0"/>
        <w:autoSpaceDN w:val="0"/>
        <w:adjustRightInd w:val="0"/>
        <w:ind w:firstLine="720"/>
        <w:rPr>
          <w:bCs/>
          <w:iCs/>
          <w:color w:val="000000"/>
        </w:rPr>
      </w:pPr>
      <w:r>
        <w:rPr>
          <w:bCs/>
          <w:iCs/>
          <w:color w:val="000000"/>
        </w:rPr>
        <w:t>The lack of a</w:t>
      </w:r>
      <w:r w:rsidR="00E517B6">
        <w:rPr>
          <w:bCs/>
          <w:iCs/>
          <w:color w:val="000000"/>
        </w:rPr>
        <w:t>n integrated</w:t>
      </w:r>
      <w:r>
        <w:rPr>
          <w:bCs/>
          <w:iCs/>
          <w:color w:val="000000"/>
        </w:rPr>
        <w:t xml:space="preserve"> policy development process </w:t>
      </w:r>
      <w:r w:rsidR="006C2A86">
        <w:rPr>
          <w:bCs/>
          <w:iCs/>
          <w:color w:val="000000"/>
        </w:rPr>
        <w:t xml:space="preserve">is detrimental to the development of the implementation plan for new gTLDs.  </w:t>
      </w:r>
      <w:r w:rsidR="002C7A4A">
        <w:rPr>
          <w:bCs/>
          <w:iCs/>
          <w:color w:val="000000"/>
        </w:rPr>
        <w:t xml:space="preserve">As AT&amp;T repeatedly has pointed out, there is a direct linkage between trademark infringement involving well-known corporate brands and malicious conduct that harms consumers.  Likewise, there is a clear inter-relationship between safeguards that protect against trademark abuse and mechanisms that protect consumers from malicious conduct.  </w:t>
      </w:r>
      <w:r w:rsidR="00E517B6">
        <w:rPr>
          <w:bCs/>
          <w:iCs/>
          <w:color w:val="000000"/>
        </w:rPr>
        <w:t xml:space="preserve">Once again, we </w:t>
      </w:r>
      <w:r w:rsidR="006C2A86">
        <w:rPr>
          <w:bCs/>
          <w:iCs/>
          <w:color w:val="000000"/>
        </w:rPr>
        <w:t xml:space="preserve">are very concerned </w:t>
      </w:r>
      <w:r w:rsidR="00E517B6">
        <w:rPr>
          <w:bCs/>
          <w:iCs/>
          <w:color w:val="000000"/>
        </w:rPr>
        <w:t>that additional proactive measures are needed to keep deceptive gTLDs out of the system in the first place.  Therefore, it is essential that ICANN address these inter-relationships and issue a unified decision that addresses all of the overarching issues.</w:t>
      </w:r>
    </w:p>
    <w:p w:rsidR="002C7A4A" w:rsidRDefault="002C7A4A" w:rsidP="002C7A4A">
      <w:pPr>
        <w:widowControl w:val="0"/>
        <w:autoSpaceDE w:val="0"/>
        <w:autoSpaceDN w:val="0"/>
        <w:adjustRightInd w:val="0"/>
        <w:ind w:firstLine="720"/>
        <w:rPr>
          <w:bCs/>
          <w:iCs/>
          <w:color w:val="000000"/>
        </w:rPr>
      </w:pPr>
    </w:p>
    <w:p w:rsidR="001F569F" w:rsidRPr="001408A9" w:rsidRDefault="001F569F" w:rsidP="008D4589">
      <w:pPr>
        <w:widowControl w:val="0"/>
        <w:autoSpaceDE w:val="0"/>
        <w:autoSpaceDN w:val="0"/>
        <w:adjustRightInd w:val="0"/>
        <w:ind w:left="720" w:hanging="720"/>
        <w:rPr>
          <w:b/>
          <w:bCs/>
          <w:iCs/>
          <w:color w:val="000000"/>
        </w:rPr>
      </w:pPr>
      <w:r w:rsidRPr="001408A9">
        <w:rPr>
          <w:b/>
          <w:bCs/>
          <w:iCs/>
          <w:color w:val="000000"/>
        </w:rPr>
        <w:t>3.</w:t>
      </w:r>
      <w:r w:rsidRPr="001408A9">
        <w:rPr>
          <w:b/>
          <w:bCs/>
          <w:iCs/>
          <w:color w:val="000000"/>
        </w:rPr>
        <w:tab/>
        <w:t xml:space="preserve">ICANN’s Process for Concluding the New gTLD Process </w:t>
      </w:r>
      <w:r w:rsidR="001408A9">
        <w:rPr>
          <w:b/>
          <w:bCs/>
          <w:iCs/>
          <w:color w:val="000000"/>
        </w:rPr>
        <w:t xml:space="preserve">Should Be Consistent with its </w:t>
      </w:r>
      <w:r w:rsidRPr="001408A9">
        <w:rPr>
          <w:b/>
          <w:bCs/>
          <w:iCs/>
          <w:color w:val="000000"/>
        </w:rPr>
        <w:t>Transparency and Accountability Responsibilities</w:t>
      </w:r>
    </w:p>
    <w:p w:rsidR="00EC7385" w:rsidRPr="001408A9" w:rsidRDefault="00DC53A6" w:rsidP="00396CBB">
      <w:pPr>
        <w:widowControl w:val="0"/>
        <w:autoSpaceDE w:val="0"/>
        <w:autoSpaceDN w:val="0"/>
        <w:adjustRightInd w:val="0"/>
        <w:rPr>
          <w:bCs/>
          <w:iCs/>
          <w:color w:val="000000"/>
        </w:rPr>
      </w:pPr>
      <w:r w:rsidRPr="001408A9">
        <w:rPr>
          <w:bCs/>
          <w:iCs/>
          <w:color w:val="000000"/>
        </w:rPr>
        <w:t xml:space="preserve"> </w:t>
      </w:r>
    </w:p>
    <w:p w:rsidR="00337448" w:rsidRDefault="00337448" w:rsidP="00396CBB">
      <w:pPr>
        <w:widowControl w:val="0"/>
        <w:autoSpaceDE w:val="0"/>
        <w:autoSpaceDN w:val="0"/>
        <w:adjustRightInd w:val="0"/>
      </w:pPr>
      <w:r w:rsidRPr="001408A9">
        <w:tab/>
        <w:t>ICANN’s program to introduce n</w:t>
      </w:r>
      <w:r w:rsidR="006C2A86">
        <w:t xml:space="preserve">ew gTLDs is a major undertaking which </w:t>
      </w:r>
      <w:r w:rsidRPr="001408A9">
        <w:t xml:space="preserve">has significant implications for community stakeholders within ICANN and for global Internet users.  The process that ICANN utilizes to conclude the decision-making process for its new gTLD program is </w:t>
      </w:r>
      <w:r w:rsidR="0077730D" w:rsidRPr="001408A9">
        <w:t>a</w:t>
      </w:r>
      <w:r w:rsidRPr="001408A9">
        <w:t xml:space="preserve"> </w:t>
      </w:r>
      <w:r w:rsidR="001408A9">
        <w:t xml:space="preserve">reflection of its commitment to </w:t>
      </w:r>
      <w:r w:rsidRPr="001408A9">
        <w:t xml:space="preserve">transparency and </w:t>
      </w:r>
      <w:r w:rsidRPr="001408A9">
        <w:lastRenderedPageBreak/>
        <w:t>accountability</w:t>
      </w:r>
      <w:r w:rsidR="001408A9">
        <w:t xml:space="preserve">.  </w:t>
      </w:r>
      <w:r w:rsidR="006C2A86">
        <w:t>Thus, ICANN’s process for concluding the new gTLD decision-making process should meet the highest standard of transparency and accountability.</w:t>
      </w:r>
    </w:p>
    <w:p w:rsidR="001408A9" w:rsidRPr="001408A9" w:rsidRDefault="001408A9" w:rsidP="00396CBB">
      <w:pPr>
        <w:widowControl w:val="0"/>
        <w:autoSpaceDE w:val="0"/>
        <w:autoSpaceDN w:val="0"/>
        <w:adjustRightInd w:val="0"/>
      </w:pPr>
    </w:p>
    <w:p w:rsidR="001408A9" w:rsidRPr="001408A9" w:rsidRDefault="00337448" w:rsidP="001408A9">
      <w:pPr>
        <w:widowControl w:val="0"/>
        <w:autoSpaceDE w:val="0"/>
        <w:autoSpaceDN w:val="0"/>
        <w:adjustRightInd w:val="0"/>
        <w:ind w:firstLine="720"/>
      </w:pPr>
      <w:r w:rsidRPr="001408A9">
        <w:t xml:space="preserve">The Accountability and Transparency Review Team </w:t>
      </w:r>
      <w:r w:rsidR="00C9350E" w:rsidRPr="001408A9">
        <w:t xml:space="preserve">(“ATRT”) </w:t>
      </w:r>
      <w:r w:rsidRPr="001408A9">
        <w:t xml:space="preserve">Proposed Recommendations </w:t>
      </w:r>
      <w:r w:rsidR="00C9350E" w:rsidRPr="001408A9">
        <w:t xml:space="preserve">provides guidance on the type of decision-making </w:t>
      </w:r>
      <w:r w:rsidR="006C2A86">
        <w:t xml:space="preserve">process </w:t>
      </w:r>
      <w:r w:rsidR="00C9350E" w:rsidRPr="001408A9">
        <w:t>that</w:t>
      </w:r>
      <w:r w:rsidR="006C2A86">
        <w:t xml:space="preserve"> should be used </w:t>
      </w:r>
      <w:r w:rsidR="00C9350E" w:rsidRPr="001408A9">
        <w:t xml:space="preserve">for such an important proceeding.  In particular, paragraph 20 of the ATRT Proposed Recommendations </w:t>
      </w:r>
      <w:r w:rsidR="001408A9" w:rsidRPr="001408A9">
        <w:t xml:space="preserve">addresses ICANN Board decisions.  The ATRT recommends that the Board adopt the practice of articulating the basis for its decisions and identifying the public comments that were persuasive in reaching its decision.  Importantly, the ATRT also recommends that the Board </w:t>
      </w:r>
      <w:r w:rsidRPr="001408A9">
        <w:t>identify the relevant basis and public comment</w:t>
      </w:r>
      <w:r w:rsidR="006C5F5D">
        <w:t>s</w:t>
      </w:r>
      <w:r w:rsidRPr="001408A9">
        <w:t xml:space="preserve"> that w</w:t>
      </w:r>
      <w:r w:rsidR="006C5F5D">
        <w:t>ere</w:t>
      </w:r>
      <w:r w:rsidRPr="001408A9">
        <w:t xml:space="preserve"> </w:t>
      </w:r>
      <w:r w:rsidRPr="006C5F5D">
        <w:rPr>
          <w:i/>
        </w:rPr>
        <w:t>not</w:t>
      </w:r>
      <w:r w:rsidRPr="001408A9">
        <w:t xml:space="preserve"> accepted in making its decision</w:t>
      </w:r>
      <w:r w:rsidR="001408A9" w:rsidRPr="001408A9">
        <w:t xml:space="preserve"> and </w:t>
      </w:r>
      <w:r w:rsidRPr="001408A9">
        <w:t>articulate the rationale for rejecting relevant public comment in reaching its decision.</w:t>
      </w:r>
      <w:r w:rsidR="001408A9">
        <w:t xml:space="preserve">  AT&amp;T urges the ICANN Board to complete this type of reasoned decision and demonstrate its commitment to accountability and transparency.</w:t>
      </w:r>
      <w:r w:rsidR="006C5F5D">
        <w:t xml:space="preserve">  </w:t>
      </w:r>
      <w:r w:rsidR="00944719">
        <w:t xml:space="preserve">Such action </w:t>
      </w:r>
      <w:r w:rsidR="005E29DD">
        <w:t xml:space="preserve">also </w:t>
      </w:r>
      <w:r w:rsidR="00944719">
        <w:t>will go a long way toward ensuring that ICANN’s decision is “embraced, supported and accepted”  by the public and the Internet community.</w:t>
      </w:r>
      <w:r w:rsidR="001408A9">
        <w:t xml:space="preserve"> </w:t>
      </w:r>
    </w:p>
    <w:sectPr w:rsidR="001408A9" w:rsidRPr="001408A9" w:rsidSect="00BD3690">
      <w:headerReference w:type="default" r:id="rId8"/>
      <w:footerReference w:type="even" r:id="rId9"/>
      <w:footerReference w:type="default" r:id="rId10"/>
      <w:headerReference w:type="first" r:id="rId11"/>
      <w:pgSz w:w="12240" w:h="15840"/>
      <w:pgMar w:top="1440" w:right="1800" w:bottom="1440" w:left="1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CE8" w:rsidRDefault="009F1CE8" w:rsidP="00183C4A">
      <w:r>
        <w:separator/>
      </w:r>
    </w:p>
  </w:endnote>
  <w:endnote w:type="continuationSeparator" w:id="0">
    <w:p w:rsidR="009F1CE8" w:rsidRDefault="009F1CE8" w:rsidP="00183C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E8" w:rsidRDefault="009F1CE8" w:rsidP="00073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1CE8" w:rsidRDefault="009F1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4815"/>
      <w:docPartObj>
        <w:docPartGallery w:val="Page Numbers (Bottom of Page)"/>
        <w:docPartUnique/>
      </w:docPartObj>
    </w:sdtPr>
    <w:sdtContent>
      <w:p w:rsidR="009F1CE8" w:rsidRDefault="009F1CE8">
        <w:pPr>
          <w:pStyle w:val="Footer"/>
          <w:jc w:val="center"/>
        </w:pPr>
        <w:fldSimple w:instr=" PAGE   \* MERGEFORMAT ">
          <w:r w:rsidR="000460FB">
            <w:rPr>
              <w:noProof/>
            </w:rPr>
            <w:t>4</w:t>
          </w:r>
        </w:fldSimple>
      </w:p>
    </w:sdtContent>
  </w:sdt>
  <w:p w:rsidR="009F1CE8" w:rsidRDefault="009F1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CE8" w:rsidRDefault="009F1CE8" w:rsidP="00183C4A">
      <w:r>
        <w:separator/>
      </w:r>
    </w:p>
  </w:footnote>
  <w:footnote w:type="continuationSeparator" w:id="0">
    <w:p w:rsidR="009F1CE8" w:rsidRDefault="009F1CE8" w:rsidP="00183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E8" w:rsidRDefault="009F1CE8" w:rsidP="004C608D">
    <w:pPr>
      <w:pStyle w:val="Header"/>
      <w:jc w:val="center"/>
    </w:pPr>
    <w:r>
      <w:rPr>
        <w:noProof/>
      </w:rPr>
      <w:drawing>
        <wp:anchor distT="0" distB="0" distL="114300" distR="114300" simplePos="0" relativeHeight="251657728" behindDoc="1" locked="0" layoutInCell="1" allowOverlap="1">
          <wp:simplePos x="0" y="0"/>
          <wp:positionH relativeFrom="page">
            <wp:posOffset>548640</wp:posOffset>
          </wp:positionH>
          <wp:positionV relativeFrom="page">
            <wp:posOffset>457200</wp:posOffset>
          </wp:positionV>
          <wp:extent cx="1028700" cy="476250"/>
          <wp:effectExtent l="19050" t="0" r="0" b="0"/>
          <wp:wrapNone/>
          <wp:docPr id="2" name="Picture 2"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_color_logo600"/>
                  <pic:cNvPicPr>
                    <a:picLocks noChangeAspect="1" noChangeArrowheads="1"/>
                  </pic:cNvPicPr>
                </pic:nvPicPr>
                <pic:blipFill>
                  <a:blip r:embed="rId1"/>
                  <a:srcRect/>
                  <a:stretch>
                    <a:fillRect/>
                  </a:stretch>
                </pic:blipFill>
                <pic:spPr bwMode="auto">
                  <a:xfrm>
                    <a:off x="0" y="0"/>
                    <a:ext cx="1028700" cy="476250"/>
                  </a:xfrm>
                  <a:prstGeom prst="rect">
                    <a:avLst/>
                  </a:prstGeom>
                  <a:noFill/>
                </pic:spPr>
              </pic:pic>
            </a:graphicData>
          </a:graphic>
        </wp:anchor>
      </w:drawing>
    </w:r>
  </w:p>
  <w:p w:rsidR="009F1CE8" w:rsidRDefault="009F1CE8" w:rsidP="004C608D">
    <w:pPr>
      <w:pStyle w:val="Header"/>
      <w:jc w:val="center"/>
    </w:pPr>
  </w:p>
  <w:p w:rsidR="009F1CE8" w:rsidRDefault="009F1CE8" w:rsidP="004C608D">
    <w:pPr>
      <w:pStyle w:val="Header"/>
      <w:jc w:val="center"/>
    </w:pPr>
  </w:p>
  <w:p w:rsidR="0022003D" w:rsidRDefault="0022003D" w:rsidP="004C608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E8" w:rsidRDefault="009F1CE8" w:rsidP="00280BF3">
    <w:pPr>
      <w:pStyle w:val="Header"/>
    </w:pPr>
    <w:r>
      <w:rPr>
        <w:noProof/>
      </w:rPr>
      <w:drawing>
        <wp:inline distT="0" distB="0" distL="0" distR="0">
          <wp:extent cx="1028700" cy="472440"/>
          <wp:effectExtent l="19050" t="0" r="0" b="0"/>
          <wp:docPr id="1" name="Picture 1"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_color_logo600"/>
                  <pic:cNvPicPr>
                    <a:picLocks noChangeAspect="1" noChangeArrowheads="1"/>
                  </pic:cNvPicPr>
                </pic:nvPicPr>
                <pic:blipFill>
                  <a:blip r:embed="rId1"/>
                  <a:srcRect/>
                  <a:stretch>
                    <a:fillRect/>
                  </a:stretch>
                </pic:blipFill>
                <pic:spPr bwMode="auto">
                  <a:xfrm>
                    <a:off x="0" y="0"/>
                    <a:ext cx="1028700" cy="472440"/>
                  </a:xfrm>
                  <a:prstGeom prst="rect">
                    <a:avLst/>
                  </a:prstGeom>
                  <a:noFill/>
                  <a:ln w="9525">
                    <a:noFill/>
                    <a:miter lim="800000"/>
                    <a:headEnd/>
                    <a:tailEnd/>
                  </a:ln>
                </pic:spPr>
              </pic:pic>
            </a:graphicData>
          </a:graphic>
        </wp:inline>
      </w:drawing>
    </w:r>
  </w:p>
  <w:p w:rsidR="0022003D" w:rsidRDefault="0022003D" w:rsidP="00280B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A08"/>
    <w:multiLevelType w:val="hybridMultilevel"/>
    <w:tmpl w:val="6818C8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D2C1E"/>
    <w:multiLevelType w:val="hybridMultilevel"/>
    <w:tmpl w:val="47A8500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A0E73"/>
    <w:multiLevelType w:val="hybridMultilevel"/>
    <w:tmpl w:val="A0D6B1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79355C9"/>
    <w:multiLevelType w:val="hybridMultilevel"/>
    <w:tmpl w:val="850CA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147AC"/>
    <w:multiLevelType w:val="hybridMultilevel"/>
    <w:tmpl w:val="4D3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20F08"/>
    <w:multiLevelType w:val="hybridMultilevel"/>
    <w:tmpl w:val="973A3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466195"/>
    <w:multiLevelType w:val="hybridMultilevel"/>
    <w:tmpl w:val="931881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07B29"/>
    <w:multiLevelType w:val="hybridMultilevel"/>
    <w:tmpl w:val="3282F7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9B140C4"/>
    <w:multiLevelType w:val="hybridMultilevel"/>
    <w:tmpl w:val="7E22813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B40182A"/>
    <w:multiLevelType w:val="hybridMultilevel"/>
    <w:tmpl w:val="3DDC76F0"/>
    <w:lvl w:ilvl="0" w:tplc="A5DEA48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B8500AA"/>
    <w:multiLevelType w:val="hybridMultilevel"/>
    <w:tmpl w:val="6A9C719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1FB7750E"/>
    <w:multiLevelType w:val="hybridMultilevel"/>
    <w:tmpl w:val="BCC6B03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7C748C"/>
    <w:multiLevelType w:val="hybridMultilevel"/>
    <w:tmpl w:val="913E7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C756F"/>
    <w:multiLevelType w:val="hybridMultilevel"/>
    <w:tmpl w:val="C6A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FA65AF"/>
    <w:multiLevelType w:val="hybridMultilevel"/>
    <w:tmpl w:val="69FA0300"/>
    <w:lvl w:ilvl="0" w:tplc="99E2DD9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C589E"/>
    <w:multiLevelType w:val="hybridMultilevel"/>
    <w:tmpl w:val="F328FF98"/>
    <w:lvl w:ilvl="0" w:tplc="7842E774">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F47E4"/>
    <w:multiLevelType w:val="hybridMultilevel"/>
    <w:tmpl w:val="FE2E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44F98"/>
    <w:multiLevelType w:val="hybridMultilevel"/>
    <w:tmpl w:val="80B2C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66FEE"/>
    <w:multiLevelType w:val="hybridMultilevel"/>
    <w:tmpl w:val="688A089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EF420B"/>
    <w:multiLevelType w:val="hybridMultilevel"/>
    <w:tmpl w:val="B39285D4"/>
    <w:lvl w:ilvl="0" w:tplc="04090015">
      <w:start w:val="1"/>
      <w:numFmt w:val="upperLetter"/>
      <w:lvlText w:val="%1."/>
      <w:lvlJc w:val="left"/>
      <w:pPr>
        <w:ind w:left="144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D9103B7"/>
    <w:multiLevelType w:val="hybridMultilevel"/>
    <w:tmpl w:val="E4D43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63695C"/>
    <w:multiLevelType w:val="hybridMultilevel"/>
    <w:tmpl w:val="6F9049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42409D0"/>
    <w:multiLevelType w:val="multilevel"/>
    <w:tmpl w:val="C15A287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nsid w:val="64CE7C1B"/>
    <w:multiLevelType w:val="hybridMultilevel"/>
    <w:tmpl w:val="C6D8D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EE5055"/>
    <w:multiLevelType w:val="hybridMultilevel"/>
    <w:tmpl w:val="2A02DF0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3E5234"/>
    <w:multiLevelType w:val="hybridMultilevel"/>
    <w:tmpl w:val="C29A2996"/>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6E034428"/>
    <w:multiLevelType w:val="hybridMultilevel"/>
    <w:tmpl w:val="8D965720"/>
    <w:lvl w:ilvl="0" w:tplc="BD40ED64">
      <w:start w:val="1"/>
      <w:numFmt w:val="upperRoman"/>
      <w:lvlText w:val="%1."/>
      <w:lvlJc w:val="left"/>
      <w:pPr>
        <w:ind w:left="810" w:hanging="720"/>
      </w:pPr>
      <w:rPr>
        <w:rFonts w:cs="Times New Roman" w:hint="default"/>
        <w:b/>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7">
    <w:nsid w:val="71A75B41"/>
    <w:multiLevelType w:val="hybridMultilevel"/>
    <w:tmpl w:val="35B0E94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723A60D6"/>
    <w:multiLevelType w:val="hybridMultilevel"/>
    <w:tmpl w:val="15EEA6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6591757"/>
    <w:multiLevelType w:val="hybridMultilevel"/>
    <w:tmpl w:val="4F06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B8100E"/>
    <w:multiLevelType w:val="hybridMultilevel"/>
    <w:tmpl w:val="1B28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417462"/>
    <w:multiLevelType w:val="hybridMultilevel"/>
    <w:tmpl w:val="4FFCE9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FF36EF"/>
    <w:multiLevelType w:val="hybridMultilevel"/>
    <w:tmpl w:val="75329700"/>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7F537563"/>
    <w:multiLevelType w:val="multilevel"/>
    <w:tmpl w:val="4476DA8E"/>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4">
    <w:nsid w:val="7F675731"/>
    <w:multiLevelType w:val="hybridMultilevel"/>
    <w:tmpl w:val="7F02F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4"/>
  </w:num>
  <w:num w:numId="4">
    <w:abstractNumId w:val="13"/>
  </w:num>
  <w:num w:numId="5">
    <w:abstractNumId w:val="27"/>
  </w:num>
  <w:num w:numId="6">
    <w:abstractNumId w:val="25"/>
  </w:num>
  <w:num w:numId="7">
    <w:abstractNumId w:val="18"/>
  </w:num>
  <w:num w:numId="8">
    <w:abstractNumId w:val="32"/>
  </w:num>
  <w:num w:numId="9">
    <w:abstractNumId w:val="0"/>
  </w:num>
  <w:num w:numId="10">
    <w:abstractNumId w:val="2"/>
  </w:num>
  <w:num w:numId="11">
    <w:abstractNumId w:val="7"/>
  </w:num>
  <w:num w:numId="12">
    <w:abstractNumId w:val="30"/>
  </w:num>
  <w:num w:numId="13">
    <w:abstractNumId w:val="28"/>
  </w:num>
  <w:num w:numId="14">
    <w:abstractNumId w:val="23"/>
  </w:num>
  <w:num w:numId="15">
    <w:abstractNumId w:val="19"/>
  </w:num>
  <w:num w:numId="16">
    <w:abstractNumId w:val="20"/>
  </w:num>
  <w:num w:numId="17">
    <w:abstractNumId w:val="1"/>
  </w:num>
  <w:num w:numId="18">
    <w:abstractNumId w:val="29"/>
  </w:num>
  <w:num w:numId="19">
    <w:abstractNumId w:val="34"/>
  </w:num>
  <w:num w:numId="20">
    <w:abstractNumId w:val="17"/>
  </w:num>
  <w:num w:numId="21">
    <w:abstractNumId w:val="16"/>
  </w:num>
  <w:num w:numId="22">
    <w:abstractNumId w:val="3"/>
  </w:num>
  <w:num w:numId="23">
    <w:abstractNumId w:val="4"/>
  </w:num>
  <w:num w:numId="24">
    <w:abstractNumId w:val="31"/>
  </w:num>
  <w:num w:numId="25">
    <w:abstractNumId w:val="14"/>
  </w:num>
  <w:num w:numId="26">
    <w:abstractNumId w:val="12"/>
  </w:num>
  <w:num w:numId="27">
    <w:abstractNumId w:val="21"/>
  </w:num>
  <w:num w:numId="28">
    <w:abstractNumId w:val="6"/>
  </w:num>
  <w:num w:numId="29">
    <w:abstractNumId w:val="22"/>
  </w:num>
  <w:num w:numId="30">
    <w:abstractNumId w:val="9"/>
  </w:num>
  <w:num w:numId="31">
    <w:abstractNumId w:val="33"/>
  </w:num>
  <w:num w:numId="32">
    <w:abstractNumId w:val="26"/>
  </w:num>
  <w:num w:numId="33">
    <w:abstractNumId w:val="11"/>
  </w:num>
  <w:num w:numId="34">
    <w:abstractNumId w:val="15"/>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rsids>
    <w:rsidRoot w:val="000715E1"/>
    <w:rsid w:val="00000FEA"/>
    <w:rsid w:val="000017A8"/>
    <w:rsid w:val="00015F2C"/>
    <w:rsid w:val="00026B3D"/>
    <w:rsid w:val="00035D08"/>
    <w:rsid w:val="000460FB"/>
    <w:rsid w:val="00050B99"/>
    <w:rsid w:val="0005296D"/>
    <w:rsid w:val="0005386C"/>
    <w:rsid w:val="0005557C"/>
    <w:rsid w:val="00063B0D"/>
    <w:rsid w:val="0006548D"/>
    <w:rsid w:val="000715E1"/>
    <w:rsid w:val="0007324D"/>
    <w:rsid w:val="000748F4"/>
    <w:rsid w:val="000765DC"/>
    <w:rsid w:val="00083065"/>
    <w:rsid w:val="00093298"/>
    <w:rsid w:val="00094936"/>
    <w:rsid w:val="000959C2"/>
    <w:rsid w:val="000A2C89"/>
    <w:rsid w:val="000A4BCD"/>
    <w:rsid w:val="000B1FE9"/>
    <w:rsid w:val="000B2659"/>
    <w:rsid w:val="000B2EB8"/>
    <w:rsid w:val="000D7CA3"/>
    <w:rsid w:val="000E382B"/>
    <w:rsid w:val="000E4B42"/>
    <w:rsid w:val="000E6A7F"/>
    <w:rsid w:val="000E7531"/>
    <w:rsid w:val="000E77A7"/>
    <w:rsid w:val="00103D78"/>
    <w:rsid w:val="0011093B"/>
    <w:rsid w:val="00110E95"/>
    <w:rsid w:val="00112630"/>
    <w:rsid w:val="00112949"/>
    <w:rsid w:val="001140B5"/>
    <w:rsid w:val="001244B0"/>
    <w:rsid w:val="0013181B"/>
    <w:rsid w:val="001408A9"/>
    <w:rsid w:val="00141EE9"/>
    <w:rsid w:val="001436AA"/>
    <w:rsid w:val="0015018E"/>
    <w:rsid w:val="00150AF0"/>
    <w:rsid w:val="00152EA6"/>
    <w:rsid w:val="00153539"/>
    <w:rsid w:val="00153ABA"/>
    <w:rsid w:val="00157388"/>
    <w:rsid w:val="00161B3B"/>
    <w:rsid w:val="00174B31"/>
    <w:rsid w:val="00177C18"/>
    <w:rsid w:val="00183C4A"/>
    <w:rsid w:val="001845D0"/>
    <w:rsid w:val="00187E10"/>
    <w:rsid w:val="00190679"/>
    <w:rsid w:val="0019307E"/>
    <w:rsid w:val="001A3EAB"/>
    <w:rsid w:val="001B6D3C"/>
    <w:rsid w:val="001C2160"/>
    <w:rsid w:val="001C5DE9"/>
    <w:rsid w:val="001C6C88"/>
    <w:rsid w:val="001D0292"/>
    <w:rsid w:val="001D50FD"/>
    <w:rsid w:val="001D6718"/>
    <w:rsid w:val="001F2A64"/>
    <w:rsid w:val="001F569F"/>
    <w:rsid w:val="001F578D"/>
    <w:rsid w:val="00202020"/>
    <w:rsid w:val="00210260"/>
    <w:rsid w:val="00211B90"/>
    <w:rsid w:val="00211BD3"/>
    <w:rsid w:val="002138D5"/>
    <w:rsid w:val="00214CEF"/>
    <w:rsid w:val="00217A7F"/>
    <w:rsid w:val="00217CA9"/>
    <w:rsid w:val="0022003D"/>
    <w:rsid w:val="002227EB"/>
    <w:rsid w:val="00235741"/>
    <w:rsid w:val="00236BA2"/>
    <w:rsid w:val="002370D3"/>
    <w:rsid w:val="00241C09"/>
    <w:rsid w:val="002542C1"/>
    <w:rsid w:val="00254866"/>
    <w:rsid w:val="0025712B"/>
    <w:rsid w:val="0026326F"/>
    <w:rsid w:val="002758A7"/>
    <w:rsid w:val="00280BF3"/>
    <w:rsid w:val="0029256B"/>
    <w:rsid w:val="00293CDC"/>
    <w:rsid w:val="00296A9B"/>
    <w:rsid w:val="002B1DC7"/>
    <w:rsid w:val="002B2923"/>
    <w:rsid w:val="002C05F0"/>
    <w:rsid w:val="002C15D5"/>
    <w:rsid w:val="002C5E60"/>
    <w:rsid w:val="002C7058"/>
    <w:rsid w:val="002C7A4A"/>
    <w:rsid w:val="002D212B"/>
    <w:rsid w:val="002F3653"/>
    <w:rsid w:val="002F3A90"/>
    <w:rsid w:val="002F6B7C"/>
    <w:rsid w:val="00300370"/>
    <w:rsid w:val="003058CB"/>
    <w:rsid w:val="00310766"/>
    <w:rsid w:val="00320BB7"/>
    <w:rsid w:val="00323E0D"/>
    <w:rsid w:val="00337448"/>
    <w:rsid w:val="00350333"/>
    <w:rsid w:val="0035094F"/>
    <w:rsid w:val="003553D5"/>
    <w:rsid w:val="00366A53"/>
    <w:rsid w:val="0038365A"/>
    <w:rsid w:val="00396CBB"/>
    <w:rsid w:val="003A6D31"/>
    <w:rsid w:val="003B6C02"/>
    <w:rsid w:val="003B7B9B"/>
    <w:rsid w:val="003C7AD0"/>
    <w:rsid w:val="003D1D7E"/>
    <w:rsid w:val="003E1CF3"/>
    <w:rsid w:val="003E3373"/>
    <w:rsid w:val="003E71DF"/>
    <w:rsid w:val="003F0247"/>
    <w:rsid w:val="00400A5D"/>
    <w:rsid w:val="00403631"/>
    <w:rsid w:val="00410A53"/>
    <w:rsid w:val="00411C42"/>
    <w:rsid w:val="00412B61"/>
    <w:rsid w:val="00417878"/>
    <w:rsid w:val="00417C09"/>
    <w:rsid w:val="00421D00"/>
    <w:rsid w:val="0042561F"/>
    <w:rsid w:val="00441561"/>
    <w:rsid w:val="00441E8A"/>
    <w:rsid w:val="00443DE2"/>
    <w:rsid w:val="0045268B"/>
    <w:rsid w:val="0046198B"/>
    <w:rsid w:val="00464ED8"/>
    <w:rsid w:val="00466789"/>
    <w:rsid w:val="004712FE"/>
    <w:rsid w:val="0047182C"/>
    <w:rsid w:val="004735CD"/>
    <w:rsid w:val="00482E32"/>
    <w:rsid w:val="00487B7A"/>
    <w:rsid w:val="00491EC0"/>
    <w:rsid w:val="004B10ED"/>
    <w:rsid w:val="004B44CE"/>
    <w:rsid w:val="004B5B3B"/>
    <w:rsid w:val="004C608D"/>
    <w:rsid w:val="004D0A99"/>
    <w:rsid w:val="004E26CF"/>
    <w:rsid w:val="004E46ED"/>
    <w:rsid w:val="004F1A75"/>
    <w:rsid w:val="005033A4"/>
    <w:rsid w:val="00503C91"/>
    <w:rsid w:val="00505320"/>
    <w:rsid w:val="0050766F"/>
    <w:rsid w:val="0051203C"/>
    <w:rsid w:val="005301AE"/>
    <w:rsid w:val="005407C6"/>
    <w:rsid w:val="005414A1"/>
    <w:rsid w:val="00542DC6"/>
    <w:rsid w:val="00543FDD"/>
    <w:rsid w:val="0055123A"/>
    <w:rsid w:val="00554973"/>
    <w:rsid w:val="00554AE9"/>
    <w:rsid w:val="00556891"/>
    <w:rsid w:val="00556921"/>
    <w:rsid w:val="00561F19"/>
    <w:rsid w:val="005634CC"/>
    <w:rsid w:val="00570E00"/>
    <w:rsid w:val="00573395"/>
    <w:rsid w:val="00577E62"/>
    <w:rsid w:val="005915F2"/>
    <w:rsid w:val="00592F7D"/>
    <w:rsid w:val="005931A5"/>
    <w:rsid w:val="00596B71"/>
    <w:rsid w:val="00597433"/>
    <w:rsid w:val="005A4F73"/>
    <w:rsid w:val="005A5562"/>
    <w:rsid w:val="005A753A"/>
    <w:rsid w:val="005B3F23"/>
    <w:rsid w:val="005B3F86"/>
    <w:rsid w:val="005B412E"/>
    <w:rsid w:val="005B7564"/>
    <w:rsid w:val="005C1A11"/>
    <w:rsid w:val="005D05EF"/>
    <w:rsid w:val="005D0D5B"/>
    <w:rsid w:val="005D2043"/>
    <w:rsid w:val="005E29DD"/>
    <w:rsid w:val="005E61FA"/>
    <w:rsid w:val="005F4615"/>
    <w:rsid w:val="005F5746"/>
    <w:rsid w:val="0060130A"/>
    <w:rsid w:val="00610A9E"/>
    <w:rsid w:val="006136E9"/>
    <w:rsid w:val="0061683D"/>
    <w:rsid w:val="00621C30"/>
    <w:rsid w:val="006240C0"/>
    <w:rsid w:val="00625378"/>
    <w:rsid w:val="0063164B"/>
    <w:rsid w:val="00631EE3"/>
    <w:rsid w:val="00644374"/>
    <w:rsid w:val="006519DD"/>
    <w:rsid w:val="006555C7"/>
    <w:rsid w:val="00656F7D"/>
    <w:rsid w:val="00663358"/>
    <w:rsid w:val="00670912"/>
    <w:rsid w:val="00671854"/>
    <w:rsid w:val="0067264F"/>
    <w:rsid w:val="00683247"/>
    <w:rsid w:val="006836C7"/>
    <w:rsid w:val="00686A7F"/>
    <w:rsid w:val="00690FED"/>
    <w:rsid w:val="006971B1"/>
    <w:rsid w:val="006A1E11"/>
    <w:rsid w:val="006A22C4"/>
    <w:rsid w:val="006A48F6"/>
    <w:rsid w:val="006A6696"/>
    <w:rsid w:val="006B4DDC"/>
    <w:rsid w:val="006B5194"/>
    <w:rsid w:val="006B5EF5"/>
    <w:rsid w:val="006B714B"/>
    <w:rsid w:val="006B7D2E"/>
    <w:rsid w:val="006C01BF"/>
    <w:rsid w:val="006C1E78"/>
    <w:rsid w:val="006C2A86"/>
    <w:rsid w:val="006C5F5D"/>
    <w:rsid w:val="006C6895"/>
    <w:rsid w:val="006D036C"/>
    <w:rsid w:val="006D0C4F"/>
    <w:rsid w:val="006D5335"/>
    <w:rsid w:val="006D7665"/>
    <w:rsid w:val="006E40B8"/>
    <w:rsid w:val="006E6FAC"/>
    <w:rsid w:val="006F2713"/>
    <w:rsid w:val="007026FF"/>
    <w:rsid w:val="00703112"/>
    <w:rsid w:val="0070442C"/>
    <w:rsid w:val="00704EE5"/>
    <w:rsid w:val="007075F9"/>
    <w:rsid w:val="007125EF"/>
    <w:rsid w:val="0072057D"/>
    <w:rsid w:val="007277FF"/>
    <w:rsid w:val="00730C71"/>
    <w:rsid w:val="00732D00"/>
    <w:rsid w:val="00740CFF"/>
    <w:rsid w:val="00741AA9"/>
    <w:rsid w:val="0075108F"/>
    <w:rsid w:val="00765550"/>
    <w:rsid w:val="00766419"/>
    <w:rsid w:val="00767D42"/>
    <w:rsid w:val="0077417B"/>
    <w:rsid w:val="00775E8F"/>
    <w:rsid w:val="007771DF"/>
    <w:rsid w:val="0077730D"/>
    <w:rsid w:val="00780AAB"/>
    <w:rsid w:val="00782CCE"/>
    <w:rsid w:val="00785F21"/>
    <w:rsid w:val="0078780F"/>
    <w:rsid w:val="00792BB4"/>
    <w:rsid w:val="00792EE3"/>
    <w:rsid w:val="00795C74"/>
    <w:rsid w:val="0079682D"/>
    <w:rsid w:val="007A2FF3"/>
    <w:rsid w:val="007A684A"/>
    <w:rsid w:val="007A6D0B"/>
    <w:rsid w:val="007B13D0"/>
    <w:rsid w:val="007B7F11"/>
    <w:rsid w:val="007F3DFE"/>
    <w:rsid w:val="007F6C7C"/>
    <w:rsid w:val="00806FE3"/>
    <w:rsid w:val="00807510"/>
    <w:rsid w:val="00810115"/>
    <w:rsid w:val="00813813"/>
    <w:rsid w:val="00813A31"/>
    <w:rsid w:val="00815AFF"/>
    <w:rsid w:val="0082323E"/>
    <w:rsid w:val="00824290"/>
    <w:rsid w:val="008330B6"/>
    <w:rsid w:val="00834CAE"/>
    <w:rsid w:val="0083599B"/>
    <w:rsid w:val="008479E3"/>
    <w:rsid w:val="008613BE"/>
    <w:rsid w:val="0086568F"/>
    <w:rsid w:val="00872B54"/>
    <w:rsid w:val="00883B79"/>
    <w:rsid w:val="00891804"/>
    <w:rsid w:val="00894B20"/>
    <w:rsid w:val="008A5087"/>
    <w:rsid w:val="008B3FDB"/>
    <w:rsid w:val="008C3FE8"/>
    <w:rsid w:val="008D4589"/>
    <w:rsid w:val="008D50C6"/>
    <w:rsid w:val="008E4B40"/>
    <w:rsid w:val="008E5B29"/>
    <w:rsid w:val="008F7D61"/>
    <w:rsid w:val="00903DB6"/>
    <w:rsid w:val="00906476"/>
    <w:rsid w:val="00906F4F"/>
    <w:rsid w:val="00912E4E"/>
    <w:rsid w:val="00915A58"/>
    <w:rsid w:val="00915D61"/>
    <w:rsid w:val="0092076E"/>
    <w:rsid w:val="00920CE3"/>
    <w:rsid w:val="009210AD"/>
    <w:rsid w:val="00927922"/>
    <w:rsid w:val="009318BC"/>
    <w:rsid w:val="00932726"/>
    <w:rsid w:val="00940005"/>
    <w:rsid w:val="00944719"/>
    <w:rsid w:val="00951B8A"/>
    <w:rsid w:val="00952F4A"/>
    <w:rsid w:val="00954053"/>
    <w:rsid w:val="009553AA"/>
    <w:rsid w:val="00961159"/>
    <w:rsid w:val="0096220F"/>
    <w:rsid w:val="0096523F"/>
    <w:rsid w:val="00967EC2"/>
    <w:rsid w:val="009705FA"/>
    <w:rsid w:val="00972803"/>
    <w:rsid w:val="00977687"/>
    <w:rsid w:val="009863D3"/>
    <w:rsid w:val="00996298"/>
    <w:rsid w:val="00997F82"/>
    <w:rsid w:val="009B3632"/>
    <w:rsid w:val="009C2FD6"/>
    <w:rsid w:val="009D55C3"/>
    <w:rsid w:val="009E0221"/>
    <w:rsid w:val="009E36AB"/>
    <w:rsid w:val="009E67D9"/>
    <w:rsid w:val="009F0CEE"/>
    <w:rsid w:val="009F1CE8"/>
    <w:rsid w:val="009F3436"/>
    <w:rsid w:val="009F57C6"/>
    <w:rsid w:val="00A0572F"/>
    <w:rsid w:val="00A063D2"/>
    <w:rsid w:val="00A0731B"/>
    <w:rsid w:val="00A11899"/>
    <w:rsid w:val="00A13110"/>
    <w:rsid w:val="00A234E4"/>
    <w:rsid w:val="00A36699"/>
    <w:rsid w:val="00A373BB"/>
    <w:rsid w:val="00A40E69"/>
    <w:rsid w:val="00A413A2"/>
    <w:rsid w:val="00A43DA0"/>
    <w:rsid w:val="00A509CA"/>
    <w:rsid w:val="00A50D18"/>
    <w:rsid w:val="00A629CD"/>
    <w:rsid w:val="00A65D8D"/>
    <w:rsid w:val="00A727CE"/>
    <w:rsid w:val="00A81B6B"/>
    <w:rsid w:val="00A91900"/>
    <w:rsid w:val="00A94CCD"/>
    <w:rsid w:val="00A97547"/>
    <w:rsid w:val="00AB1FF3"/>
    <w:rsid w:val="00AB5D58"/>
    <w:rsid w:val="00AC03EB"/>
    <w:rsid w:val="00AC046F"/>
    <w:rsid w:val="00AC7A60"/>
    <w:rsid w:val="00AC7CCF"/>
    <w:rsid w:val="00AE528A"/>
    <w:rsid w:val="00AF2E35"/>
    <w:rsid w:val="00AF3A86"/>
    <w:rsid w:val="00AF4320"/>
    <w:rsid w:val="00AF4F94"/>
    <w:rsid w:val="00B01817"/>
    <w:rsid w:val="00B04727"/>
    <w:rsid w:val="00B04E73"/>
    <w:rsid w:val="00B10078"/>
    <w:rsid w:val="00B11ACE"/>
    <w:rsid w:val="00B1204C"/>
    <w:rsid w:val="00B13379"/>
    <w:rsid w:val="00B14DB9"/>
    <w:rsid w:val="00B14E33"/>
    <w:rsid w:val="00B2197B"/>
    <w:rsid w:val="00B241E6"/>
    <w:rsid w:val="00B24AFA"/>
    <w:rsid w:val="00B338D1"/>
    <w:rsid w:val="00B41575"/>
    <w:rsid w:val="00B80947"/>
    <w:rsid w:val="00B858F7"/>
    <w:rsid w:val="00BA5675"/>
    <w:rsid w:val="00BA7071"/>
    <w:rsid w:val="00BC4F44"/>
    <w:rsid w:val="00BC6F24"/>
    <w:rsid w:val="00BD11D5"/>
    <w:rsid w:val="00BD3372"/>
    <w:rsid w:val="00BD3690"/>
    <w:rsid w:val="00BD74D2"/>
    <w:rsid w:val="00BD77F2"/>
    <w:rsid w:val="00BE1BD9"/>
    <w:rsid w:val="00BE1D23"/>
    <w:rsid w:val="00BF1131"/>
    <w:rsid w:val="00BF55E4"/>
    <w:rsid w:val="00BF5D4D"/>
    <w:rsid w:val="00BF7EAC"/>
    <w:rsid w:val="00C044DA"/>
    <w:rsid w:val="00C04CC2"/>
    <w:rsid w:val="00C1778F"/>
    <w:rsid w:val="00C20B65"/>
    <w:rsid w:val="00C21077"/>
    <w:rsid w:val="00C233C3"/>
    <w:rsid w:val="00C26AC9"/>
    <w:rsid w:val="00C34104"/>
    <w:rsid w:val="00C37206"/>
    <w:rsid w:val="00C3792B"/>
    <w:rsid w:val="00C43D3E"/>
    <w:rsid w:val="00C532A4"/>
    <w:rsid w:val="00C56336"/>
    <w:rsid w:val="00C63D43"/>
    <w:rsid w:val="00C721E2"/>
    <w:rsid w:val="00C72946"/>
    <w:rsid w:val="00C76829"/>
    <w:rsid w:val="00C80FA9"/>
    <w:rsid w:val="00C8194E"/>
    <w:rsid w:val="00C8499A"/>
    <w:rsid w:val="00C91A36"/>
    <w:rsid w:val="00C9350E"/>
    <w:rsid w:val="00C9427E"/>
    <w:rsid w:val="00C95E59"/>
    <w:rsid w:val="00CA38BD"/>
    <w:rsid w:val="00CA5C6C"/>
    <w:rsid w:val="00CA7674"/>
    <w:rsid w:val="00CB0FFC"/>
    <w:rsid w:val="00CB1143"/>
    <w:rsid w:val="00CB76AD"/>
    <w:rsid w:val="00CC0407"/>
    <w:rsid w:val="00CC0FAD"/>
    <w:rsid w:val="00CC2196"/>
    <w:rsid w:val="00CF311D"/>
    <w:rsid w:val="00D0211B"/>
    <w:rsid w:val="00D02E0D"/>
    <w:rsid w:val="00D03DE4"/>
    <w:rsid w:val="00D03F6E"/>
    <w:rsid w:val="00D046F4"/>
    <w:rsid w:val="00D11324"/>
    <w:rsid w:val="00D11881"/>
    <w:rsid w:val="00D13315"/>
    <w:rsid w:val="00D2244E"/>
    <w:rsid w:val="00D2250F"/>
    <w:rsid w:val="00D226E4"/>
    <w:rsid w:val="00D232EC"/>
    <w:rsid w:val="00D31ADF"/>
    <w:rsid w:val="00D32E48"/>
    <w:rsid w:val="00D40FFC"/>
    <w:rsid w:val="00D415B0"/>
    <w:rsid w:val="00D51B6D"/>
    <w:rsid w:val="00D537A2"/>
    <w:rsid w:val="00D553BD"/>
    <w:rsid w:val="00D56441"/>
    <w:rsid w:val="00D61A12"/>
    <w:rsid w:val="00D636E9"/>
    <w:rsid w:val="00D63ADB"/>
    <w:rsid w:val="00D64D30"/>
    <w:rsid w:val="00D6702A"/>
    <w:rsid w:val="00D81BF3"/>
    <w:rsid w:val="00D92375"/>
    <w:rsid w:val="00DA608A"/>
    <w:rsid w:val="00DB2CF8"/>
    <w:rsid w:val="00DB38B7"/>
    <w:rsid w:val="00DC1784"/>
    <w:rsid w:val="00DC53A6"/>
    <w:rsid w:val="00DC54AA"/>
    <w:rsid w:val="00DD5F3F"/>
    <w:rsid w:val="00DE01CE"/>
    <w:rsid w:val="00DE2091"/>
    <w:rsid w:val="00DE494D"/>
    <w:rsid w:val="00DF2145"/>
    <w:rsid w:val="00DF377F"/>
    <w:rsid w:val="00DF71B8"/>
    <w:rsid w:val="00E00577"/>
    <w:rsid w:val="00E0108B"/>
    <w:rsid w:val="00E019C6"/>
    <w:rsid w:val="00E0427E"/>
    <w:rsid w:val="00E0588E"/>
    <w:rsid w:val="00E10581"/>
    <w:rsid w:val="00E17421"/>
    <w:rsid w:val="00E20D90"/>
    <w:rsid w:val="00E21E17"/>
    <w:rsid w:val="00E21E69"/>
    <w:rsid w:val="00E35B7C"/>
    <w:rsid w:val="00E402BE"/>
    <w:rsid w:val="00E44CDB"/>
    <w:rsid w:val="00E4588B"/>
    <w:rsid w:val="00E458CD"/>
    <w:rsid w:val="00E517B6"/>
    <w:rsid w:val="00E53604"/>
    <w:rsid w:val="00E67CAB"/>
    <w:rsid w:val="00E70947"/>
    <w:rsid w:val="00E7702D"/>
    <w:rsid w:val="00E80CFE"/>
    <w:rsid w:val="00E8366B"/>
    <w:rsid w:val="00E83A36"/>
    <w:rsid w:val="00E83E23"/>
    <w:rsid w:val="00E93ADC"/>
    <w:rsid w:val="00E94C9B"/>
    <w:rsid w:val="00EA763B"/>
    <w:rsid w:val="00EB59F3"/>
    <w:rsid w:val="00EB5FEC"/>
    <w:rsid w:val="00EC1A4C"/>
    <w:rsid w:val="00EC5CAF"/>
    <w:rsid w:val="00EC7385"/>
    <w:rsid w:val="00ED15B2"/>
    <w:rsid w:val="00ED2ED5"/>
    <w:rsid w:val="00EE5B29"/>
    <w:rsid w:val="00EF1090"/>
    <w:rsid w:val="00EF4D29"/>
    <w:rsid w:val="00F106CC"/>
    <w:rsid w:val="00F21DE4"/>
    <w:rsid w:val="00F24002"/>
    <w:rsid w:val="00F24F3A"/>
    <w:rsid w:val="00F255A9"/>
    <w:rsid w:val="00F308F9"/>
    <w:rsid w:val="00F378E3"/>
    <w:rsid w:val="00F464D7"/>
    <w:rsid w:val="00F50C94"/>
    <w:rsid w:val="00F53D3D"/>
    <w:rsid w:val="00F60E88"/>
    <w:rsid w:val="00F6181A"/>
    <w:rsid w:val="00F640C9"/>
    <w:rsid w:val="00F66287"/>
    <w:rsid w:val="00F6671B"/>
    <w:rsid w:val="00F70E34"/>
    <w:rsid w:val="00F71BC2"/>
    <w:rsid w:val="00F74672"/>
    <w:rsid w:val="00F76376"/>
    <w:rsid w:val="00F8517E"/>
    <w:rsid w:val="00F9342D"/>
    <w:rsid w:val="00FA0240"/>
    <w:rsid w:val="00FA429E"/>
    <w:rsid w:val="00FB0431"/>
    <w:rsid w:val="00FB0CF7"/>
    <w:rsid w:val="00FB1FDF"/>
    <w:rsid w:val="00FC1FE8"/>
    <w:rsid w:val="00FC34B8"/>
    <w:rsid w:val="00FC4134"/>
    <w:rsid w:val="00FD0FAB"/>
    <w:rsid w:val="00FD59DA"/>
    <w:rsid w:val="00FD74C2"/>
    <w:rsid w:val="00FE73F1"/>
    <w:rsid w:val="00FE7BA2"/>
    <w:rsid w:val="00FF2195"/>
    <w:rsid w:val="00FF30F9"/>
    <w:rsid w:val="00FF3416"/>
    <w:rsid w:val="00FF4967"/>
    <w:rsid w:val="00FF58E0"/>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AE528A"/>
    <w:rPr>
      <w:rFonts w:ascii="Tahoma" w:hAnsi="Tahoma" w:cs="Tahoma"/>
      <w:sz w:val="16"/>
      <w:szCs w:val="16"/>
    </w:rPr>
  </w:style>
  <w:style w:type="character" w:customStyle="1" w:styleId="BalloonTextChar">
    <w:name w:val="Balloon Text Char"/>
    <w:basedOn w:val="DefaultParagraphFont"/>
    <w:link w:val="BalloonText"/>
    <w:uiPriority w:val="99"/>
    <w:semiHidden/>
    <w:rsid w:val="00B776BF"/>
    <w:rPr>
      <w:rFonts w:ascii="Lucida Grande" w:hAnsi="Lucida Grande"/>
      <w:sz w:val="18"/>
      <w:szCs w:val="18"/>
    </w:rPr>
  </w:style>
  <w:style w:type="character" w:customStyle="1" w:styleId="BalloonTextChar0">
    <w:name w:val="Balloon Text Char"/>
    <w:basedOn w:val="DefaultParagraphFont"/>
    <w:link w:val="BalloonText"/>
    <w:uiPriority w:val="99"/>
    <w:semiHidden/>
    <w:locked/>
    <w:rsid w:val="00AC03EB"/>
    <w:rPr>
      <w:rFonts w:ascii="Lucida Grande" w:hAnsi="Lucida Grande" w:cs="Times New Roman"/>
      <w:sz w:val="18"/>
      <w:szCs w:val="18"/>
    </w:rPr>
  </w:style>
  <w:style w:type="character" w:customStyle="1" w:styleId="BalloonTextChar2">
    <w:name w:val="Balloon Text Char2"/>
    <w:basedOn w:val="DefaultParagraphFont"/>
    <w:link w:val="BalloonText"/>
    <w:uiPriority w:val="99"/>
    <w:semiHidden/>
    <w:locked/>
    <w:rsid w:val="00AC03EB"/>
    <w:rPr>
      <w:rFonts w:ascii="Lucida Grande" w:hAnsi="Lucida Grande" w:cs="Times New Roman"/>
      <w:sz w:val="18"/>
      <w:szCs w:val="18"/>
    </w:rPr>
  </w:style>
  <w:style w:type="paragraph" w:styleId="Header">
    <w:name w:val="header"/>
    <w:basedOn w:val="Normal"/>
    <w:link w:val="HeaderChar"/>
    <w:uiPriority w:val="99"/>
    <w:rsid w:val="000715E1"/>
    <w:pPr>
      <w:tabs>
        <w:tab w:val="center" w:pos="4320"/>
        <w:tab w:val="right" w:pos="8640"/>
      </w:tabs>
    </w:pPr>
  </w:style>
  <w:style w:type="character" w:customStyle="1" w:styleId="HeaderChar">
    <w:name w:val="Header Char"/>
    <w:basedOn w:val="DefaultParagraphFont"/>
    <w:link w:val="Header"/>
    <w:uiPriority w:val="99"/>
    <w:locked/>
    <w:rsid w:val="000715E1"/>
    <w:rPr>
      <w:rFonts w:cs="Times New Roman"/>
      <w:sz w:val="24"/>
      <w:szCs w:val="24"/>
    </w:rPr>
  </w:style>
  <w:style w:type="paragraph" w:styleId="Footer">
    <w:name w:val="footer"/>
    <w:basedOn w:val="Normal"/>
    <w:link w:val="FooterChar"/>
    <w:uiPriority w:val="99"/>
    <w:rsid w:val="000715E1"/>
    <w:pPr>
      <w:tabs>
        <w:tab w:val="center" w:pos="4320"/>
        <w:tab w:val="right" w:pos="8640"/>
      </w:tabs>
    </w:pPr>
  </w:style>
  <w:style w:type="character" w:customStyle="1" w:styleId="FooterChar">
    <w:name w:val="Footer Char"/>
    <w:basedOn w:val="DefaultParagraphFont"/>
    <w:link w:val="Footer"/>
    <w:uiPriority w:val="99"/>
    <w:locked/>
    <w:rsid w:val="000715E1"/>
    <w:rPr>
      <w:rFonts w:cs="Times New Roman"/>
      <w:sz w:val="24"/>
      <w:szCs w:val="24"/>
    </w:rPr>
  </w:style>
  <w:style w:type="character" w:styleId="PageNumber">
    <w:name w:val="page number"/>
    <w:basedOn w:val="DefaultParagraphFont"/>
    <w:uiPriority w:val="99"/>
    <w:rsid w:val="000715E1"/>
    <w:rPr>
      <w:rFonts w:cs="Times New Roman"/>
    </w:rPr>
  </w:style>
  <w:style w:type="paragraph" w:styleId="ListParagraph">
    <w:name w:val="List Paragraph"/>
    <w:basedOn w:val="Normal"/>
    <w:uiPriority w:val="99"/>
    <w:qFormat/>
    <w:rsid w:val="000715E1"/>
    <w:pPr>
      <w:ind w:left="720"/>
    </w:pPr>
  </w:style>
  <w:style w:type="paragraph" w:styleId="FootnoteText">
    <w:name w:val="footnote text"/>
    <w:basedOn w:val="Normal"/>
    <w:link w:val="FootnoteTextChar"/>
    <w:uiPriority w:val="99"/>
    <w:rsid w:val="000E7531"/>
    <w:rPr>
      <w:sz w:val="20"/>
      <w:szCs w:val="20"/>
    </w:rPr>
  </w:style>
  <w:style w:type="character" w:customStyle="1" w:styleId="FootnoteTextChar">
    <w:name w:val="Footnote Text Char"/>
    <w:basedOn w:val="DefaultParagraphFont"/>
    <w:link w:val="FootnoteText"/>
    <w:uiPriority w:val="99"/>
    <w:locked/>
    <w:rsid w:val="000E7531"/>
    <w:rPr>
      <w:rFonts w:cs="Times New Roman"/>
    </w:rPr>
  </w:style>
  <w:style w:type="character" w:styleId="FootnoteReference">
    <w:name w:val="footnote reference"/>
    <w:basedOn w:val="DefaultParagraphFont"/>
    <w:uiPriority w:val="99"/>
    <w:rsid w:val="000E7531"/>
    <w:rPr>
      <w:rFonts w:cs="Times New Roman"/>
      <w:vertAlign w:val="superscript"/>
    </w:rPr>
  </w:style>
  <w:style w:type="character" w:customStyle="1" w:styleId="BalloonTextChar1">
    <w:name w:val="Balloon Text Char1"/>
    <w:basedOn w:val="DefaultParagraphFont"/>
    <w:link w:val="BalloonText"/>
    <w:uiPriority w:val="99"/>
    <w:locked/>
    <w:rsid w:val="00AE528A"/>
    <w:rPr>
      <w:rFonts w:ascii="Tahoma" w:hAnsi="Tahoma" w:cs="Tahoma"/>
      <w:sz w:val="16"/>
      <w:szCs w:val="16"/>
    </w:rPr>
  </w:style>
  <w:style w:type="paragraph" w:styleId="BodyText">
    <w:name w:val="Body Text"/>
    <w:aliases w:val="b"/>
    <w:basedOn w:val="Normal"/>
    <w:link w:val="BodyTextChar"/>
    <w:uiPriority w:val="99"/>
    <w:rsid w:val="00BA7071"/>
    <w:pPr>
      <w:spacing w:after="240"/>
    </w:pPr>
  </w:style>
  <w:style w:type="character" w:customStyle="1" w:styleId="BodyTextChar">
    <w:name w:val="Body Text Char"/>
    <w:aliases w:val="b Char"/>
    <w:basedOn w:val="DefaultParagraphFont"/>
    <w:link w:val="BodyText"/>
    <w:uiPriority w:val="99"/>
    <w:locked/>
    <w:rsid w:val="00BA7071"/>
    <w:rPr>
      <w:rFonts w:cs="Times New Roman"/>
      <w:sz w:val="24"/>
      <w:szCs w:val="24"/>
    </w:rPr>
  </w:style>
  <w:style w:type="character" w:styleId="Hyperlink">
    <w:name w:val="Hyperlink"/>
    <w:basedOn w:val="DefaultParagraphFont"/>
    <w:uiPriority w:val="99"/>
    <w:rsid w:val="005D05EF"/>
    <w:rPr>
      <w:rFonts w:cs="Times New Roman"/>
      <w:color w:val="0000FF"/>
      <w:u w:val="single"/>
    </w:rPr>
  </w:style>
  <w:style w:type="paragraph" w:styleId="EndnoteText">
    <w:name w:val="endnote text"/>
    <w:basedOn w:val="Normal"/>
    <w:link w:val="EndnoteTextChar"/>
    <w:uiPriority w:val="99"/>
    <w:semiHidden/>
    <w:rsid w:val="006519DD"/>
    <w:rPr>
      <w:sz w:val="20"/>
      <w:szCs w:val="20"/>
    </w:rPr>
  </w:style>
  <w:style w:type="character" w:customStyle="1" w:styleId="EndnoteTextChar">
    <w:name w:val="Endnote Text Char"/>
    <w:basedOn w:val="DefaultParagraphFont"/>
    <w:link w:val="EndnoteText"/>
    <w:uiPriority w:val="99"/>
    <w:semiHidden/>
    <w:locked/>
    <w:rsid w:val="006519DD"/>
    <w:rPr>
      <w:rFonts w:cs="Times New Roman"/>
      <w:sz w:val="20"/>
      <w:szCs w:val="20"/>
    </w:rPr>
  </w:style>
  <w:style w:type="character" w:styleId="EndnoteReference">
    <w:name w:val="endnote reference"/>
    <w:basedOn w:val="DefaultParagraphFont"/>
    <w:uiPriority w:val="99"/>
    <w:semiHidden/>
    <w:rsid w:val="006519D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84407476">
      <w:marLeft w:val="0"/>
      <w:marRight w:val="0"/>
      <w:marTop w:val="0"/>
      <w:marBottom w:val="0"/>
      <w:divBdr>
        <w:top w:val="none" w:sz="0" w:space="0" w:color="auto"/>
        <w:left w:val="none" w:sz="0" w:space="0" w:color="auto"/>
        <w:bottom w:val="none" w:sz="0" w:space="0" w:color="auto"/>
        <w:right w:val="none" w:sz="0" w:space="0" w:color="auto"/>
      </w:divBdr>
    </w:div>
    <w:div w:id="9777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0B33-4EFD-47AB-99FF-68027385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BRUEGGEMAN, JEFF (ATTSI)</dc:creator>
  <cp:keywords/>
  <dc:description/>
  <cp:lastModifiedBy>CDT User</cp:lastModifiedBy>
  <cp:revision>2</cp:revision>
  <cp:lastPrinted>2010-07-21T02:31:00Z</cp:lastPrinted>
  <dcterms:created xsi:type="dcterms:W3CDTF">2010-12-10T04:43:00Z</dcterms:created>
  <dcterms:modified xsi:type="dcterms:W3CDTF">2010-12-10T04:43:00Z</dcterms:modified>
</cp:coreProperties>
</file>