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CF" w:rsidRDefault="009958A0" w:rsidP="00BB338C">
      <w:pPr>
        <w:jc w:val="center"/>
        <w:rPr>
          <w:rFonts w:ascii="Times New Roman" w:hAnsi="Times New Roman"/>
          <w:b/>
          <w:sz w:val="24"/>
        </w:rPr>
      </w:pPr>
      <w:r w:rsidRPr="00BB338C">
        <w:rPr>
          <w:rFonts w:ascii="Times New Roman" w:hAnsi="Times New Roman"/>
          <w:b/>
          <w:sz w:val="24"/>
        </w:rPr>
        <w:t xml:space="preserve">USG Submission to the GAC Scorecard re New </w:t>
      </w:r>
      <w:proofErr w:type="spellStart"/>
      <w:r w:rsidRPr="00BB338C">
        <w:rPr>
          <w:rFonts w:ascii="Times New Roman" w:hAnsi="Times New Roman"/>
          <w:b/>
          <w:sz w:val="24"/>
        </w:rPr>
        <w:t>gTLDs</w:t>
      </w:r>
      <w:proofErr w:type="spellEnd"/>
    </w:p>
    <w:p w:rsidR="00FF7F69" w:rsidRPr="00FF7F69" w:rsidRDefault="00FF7F69" w:rsidP="00216EB9">
      <w:pPr>
        <w:spacing w:after="0" w:line="240" w:lineRule="auto"/>
        <w:rPr>
          <w:rFonts w:ascii="Times New Roman" w:hAnsi="Times New Roman"/>
          <w:b/>
          <w:i/>
          <w:sz w:val="24"/>
          <w:szCs w:val="24"/>
        </w:rPr>
      </w:pPr>
      <w:r w:rsidRPr="00FF7F69">
        <w:rPr>
          <w:rFonts w:ascii="Times New Roman" w:hAnsi="Times New Roman"/>
          <w:b/>
          <w:i/>
          <w:sz w:val="24"/>
          <w:szCs w:val="24"/>
        </w:rPr>
        <w:t>1. Objections Procedures</w:t>
      </w:r>
    </w:p>
    <w:p w:rsidR="0042119A" w:rsidRDefault="0042119A" w:rsidP="00216EB9">
      <w:pPr>
        <w:spacing w:after="0" w:line="240" w:lineRule="auto"/>
        <w:rPr>
          <w:rFonts w:ascii="Times New Roman" w:hAnsi="Times New Roman"/>
          <w:sz w:val="24"/>
          <w:szCs w:val="24"/>
        </w:rPr>
      </w:pPr>
    </w:p>
    <w:p w:rsidR="004B49CF" w:rsidRDefault="004B49CF" w:rsidP="00216EB9">
      <w:pPr>
        <w:spacing w:after="0" w:line="240" w:lineRule="auto"/>
        <w:rPr>
          <w:rFonts w:ascii="Times New Roman" w:hAnsi="Times New Roman"/>
          <w:sz w:val="24"/>
          <w:szCs w:val="24"/>
        </w:rPr>
      </w:pPr>
      <w:r>
        <w:rPr>
          <w:rFonts w:ascii="Times New Roman" w:hAnsi="Times New Roman"/>
          <w:sz w:val="24"/>
          <w:szCs w:val="24"/>
        </w:rPr>
        <w:t>Currently, the Proposed Final Applicant Guidebook contains a “Limited Public Interest Objection”</w:t>
      </w:r>
      <w:r w:rsidR="00BB338C">
        <w:rPr>
          <w:rFonts w:ascii="Times New Roman" w:hAnsi="Times New Roman"/>
          <w:sz w:val="24"/>
          <w:szCs w:val="24"/>
        </w:rPr>
        <w:t xml:space="preserve"> meant to provide </w:t>
      </w:r>
      <w:r w:rsidR="002744D4">
        <w:rPr>
          <w:rFonts w:ascii="Times New Roman" w:hAnsi="Times New Roman"/>
          <w:sz w:val="24"/>
          <w:szCs w:val="24"/>
        </w:rPr>
        <w:t xml:space="preserve">dispute </w:t>
      </w:r>
      <w:r w:rsidR="00BB338C">
        <w:rPr>
          <w:rFonts w:ascii="Times New Roman" w:hAnsi="Times New Roman"/>
          <w:sz w:val="24"/>
          <w:szCs w:val="24"/>
        </w:rPr>
        <w:t xml:space="preserve">resolution for </w:t>
      </w:r>
      <w:r w:rsidR="00F64AC3">
        <w:rPr>
          <w:rFonts w:ascii="Times New Roman" w:hAnsi="Times New Roman"/>
          <w:sz w:val="24"/>
          <w:szCs w:val="24"/>
        </w:rPr>
        <w:t>proposed</w:t>
      </w:r>
      <w:r w:rsidR="00BB338C">
        <w:rPr>
          <w:rFonts w:ascii="Times New Roman" w:hAnsi="Times New Roman"/>
          <w:sz w:val="24"/>
          <w:szCs w:val="24"/>
        </w:rPr>
        <w:t xml:space="preserve"> strings that could </w:t>
      </w:r>
      <w:r w:rsidR="00F64AC3">
        <w:rPr>
          <w:rFonts w:ascii="Times New Roman" w:hAnsi="Times New Roman"/>
          <w:sz w:val="24"/>
          <w:szCs w:val="24"/>
        </w:rPr>
        <w:t>be considered contrary to general principles of international law for morality and public order.  The GAC proposes that</w:t>
      </w:r>
      <w:r>
        <w:rPr>
          <w:rFonts w:ascii="Times New Roman" w:hAnsi="Times New Roman"/>
          <w:sz w:val="24"/>
          <w:szCs w:val="24"/>
        </w:rPr>
        <w:t xml:space="preserve">: 1) </w:t>
      </w:r>
      <w:r w:rsidR="00BB338C">
        <w:rPr>
          <w:rFonts w:ascii="Times New Roman" w:hAnsi="Times New Roman"/>
          <w:sz w:val="24"/>
          <w:szCs w:val="24"/>
        </w:rPr>
        <w:t>the “Limited Public Interest Objection” procedure be deleted; 2)</w:t>
      </w:r>
      <w:r>
        <w:rPr>
          <w:rFonts w:ascii="Times New Roman" w:hAnsi="Times New Roman"/>
          <w:sz w:val="24"/>
          <w:szCs w:val="24"/>
        </w:rPr>
        <w:t xml:space="preserve"> the “Initial Evaluation” procedures be augmented to include a GAC review; and 3) the current “Community-Based” objection procedures be clarified to</w:t>
      </w:r>
      <w:r w:rsidR="00BB338C">
        <w:rPr>
          <w:rFonts w:ascii="Times New Roman" w:hAnsi="Times New Roman"/>
          <w:sz w:val="24"/>
          <w:szCs w:val="24"/>
        </w:rPr>
        <w:t xml:space="preserve"> include </w:t>
      </w:r>
      <w:r w:rsidR="00BB338C" w:rsidRPr="007761AE">
        <w:rPr>
          <w:rFonts w:ascii="Times New Roman" w:hAnsi="Times New Roman"/>
          <w:sz w:val="24"/>
        </w:rPr>
        <w:t xml:space="preserve">those </w:t>
      </w:r>
      <w:r w:rsidR="00F64AC3">
        <w:rPr>
          <w:rFonts w:ascii="Times New Roman" w:hAnsi="Times New Roman"/>
          <w:sz w:val="24"/>
        </w:rPr>
        <w:t xml:space="preserve">strings </w:t>
      </w:r>
      <w:r w:rsidR="00BB338C" w:rsidRPr="007761AE">
        <w:rPr>
          <w:rFonts w:ascii="Times New Roman" w:hAnsi="Times New Roman"/>
          <w:sz w:val="24"/>
        </w:rPr>
        <w:t>that purport to represent or that embody a particular group of people or interests based on historical components of identity</w:t>
      </w:r>
      <w:r>
        <w:rPr>
          <w:rFonts w:ascii="Times New Roman" w:hAnsi="Times New Roman"/>
          <w:sz w:val="24"/>
          <w:szCs w:val="24"/>
        </w:rPr>
        <w:t xml:space="preserve"> </w:t>
      </w:r>
      <w:r w:rsidR="00BB338C">
        <w:rPr>
          <w:rFonts w:ascii="Times New Roman" w:hAnsi="Times New Roman"/>
          <w:sz w:val="24"/>
          <w:szCs w:val="24"/>
        </w:rPr>
        <w:t xml:space="preserve">as well as </w:t>
      </w:r>
      <w:r w:rsidR="00BB338C" w:rsidRPr="007761AE">
        <w:rPr>
          <w:rFonts w:ascii="Times New Roman" w:hAnsi="Times New Roman"/>
          <w:sz w:val="24"/>
        </w:rPr>
        <w:t>particular subject to national regulation</w:t>
      </w:r>
      <w:r>
        <w:rPr>
          <w:rFonts w:ascii="Times New Roman" w:hAnsi="Times New Roman"/>
          <w:sz w:val="24"/>
          <w:szCs w:val="24"/>
        </w:rPr>
        <w:t xml:space="preserve">.  </w:t>
      </w:r>
      <w:r w:rsidR="00AE77ED">
        <w:rPr>
          <w:rFonts w:ascii="Times New Roman" w:hAnsi="Times New Roman"/>
          <w:sz w:val="24"/>
          <w:szCs w:val="24"/>
        </w:rPr>
        <w:t>Specific details</w:t>
      </w:r>
      <w:r w:rsidR="0042119A">
        <w:rPr>
          <w:rFonts w:ascii="Times New Roman" w:hAnsi="Times New Roman"/>
          <w:sz w:val="24"/>
          <w:szCs w:val="24"/>
        </w:rPr>
        <w:t xml:space="preserve"> and explanations for each step</w:t>
      </w:r>
      <w:r w:rsidR="00AE77ED">
        <w:rPr>
          <w:rFonts w:ascii="Times New Roman" w:hAnsi="Times New Roman"/>
          <w:sz w:val="24"/>
          <w:szCs w:val="24"/>
        </w:rPr>
        <w:t xml:space="preserve"> are below.</w:t>
      </w:r>
    </w:p>
    <w:p w:rsidR="00216EB9" w:rsidRDefault="00216EB9" w:rsidP="00216EB9">
      <w:pPr>
        <w:spacing w:after="0" w:line="240" w:lineRule="auto"/>
        <w:rPr>
          <w:rFonts w:ascii="Times New Roman" w:hAnsi="Times New Roman"/>
          <w:sz w:val="24"/>
          <w:szCs w:val="24"/>
        </w:rPr>
      </w:pPr>
    </w:p>
    <w:p w:rsidR="009958A0" w:rsidRDefault="00F64AC3" w:rsidP="009958A0">
      <w:pPr>
        <w:spacing w:after="0" w:line="240" w:lineRule="auto"/>
        <w:rPr>
          <w:rFonts w:ascii="Times New Roman" w:hAnsi="Times New Roman"/>
          <w:sz w:val="24"/>
        </w:rPr>
      </w:pPr>
      <w:r>
        <w:rPr>
          <w:rFonts w:ascii="Times New Roman" w:hAnsi="Times New Roman"/>
          <w:b/>
          <w:sz w:val="24"/>
        </w:rPr>
        <w:t xml:space="preserve">Limited Public Interest Objection: </w:t>
      </w:r>
      <w:r w:rsidR="009958A0">
        <w:rPr>
          <w:rFonts w:ascii="Times New Roman" w:hAnsi="Times New Roman"/>
          <w:sz w:val="24"/>
        </w:rPr>
        <w:t>T</w:t>
      </w:r>
      <w:r w:rsidR="009958A0" w:rsidRPr="00D66D18">
        <w:rPr>
          <w:rFonts w:ascii="Times New Roman" w:hAnsi="Times New Roman"/>
          <w:sz w:val="24"/>
        </w:rPr>
        <w:t>he GAC advises the ICANN Board to instruct ICANN staff to delete the procedures related to “Limited Public Interest Objections” in Module 3</w:t>
      </w:r>
      <w:r w:rsidR="009958A0">
        <w:rPr>
          <w:rFonts w:ascii="Times New Roman" w:hAnsi="Times New Roman"/>
          <w:sz w:val="24"/>
        </w:rPr>
        <w:t>.</w:t>
      </w:r>
    </w:p>
    <w:p w:rsidR="009958A0" w:rsidRDefault="009958A0" w:rsidP="009958A0">
      <w:pPr>
        <w:spacing w:after="0" w:line="240" w:lineRule="auto"/>
        <w:ind w:left="720" w:hanging="720"/>
        <w:rPr>
          <w:rFonts w:ascii="Times New Roman" w:hAnsi="Times New Roman"/>
          <w:b/>
          <w:sz w:val="24"/>
        </w:rPr>
      </w:pPr>
      <w:r>
        <w:rPr>
          <w:rFonts w:ascii="Times New Roman" w:hAnsi="Times New Roman"/>
          <w:b/>
          <w:sz w:val="24"/>
        </w:rPr>
        <w:tab/>
      </w:r>
    </w:p>
    <w:p w:rsidR="009958A0" w:rsidRDefault="009958A0" w:rsidP="009958A0">
      <w:pPr>
        <w:spacing w:after="0" w:line="240" w:lineRule="auto"/>
        <w:ind w:left="720" w:hanging="720"/>
        <w:rPr>
          <w:rFonts w:ascii="Times New Roman" w:hAnsi="Times New Roman"/>
          <w:sz w:val="24"/>
        </w:rPr>
      </w:pPr>
      <w:r>
        <w:rPr>
          <w:rFonts w:ascii="Times New Roman" w:hAnsi="Times New Roman"/>
          <w:b/>
          <w:sz w:val="24"/>
        </w:rPr>
        <w:tab/>
      </w:r>
      <w:r w:rsidRPr="00EA2389">
        <w:rPr>
          <w:rFonts w:ascii="Times New Roman" w:hAnsi="Times New Roman"/>
          <w:b/>
          <w:sz w:val="24"/>
        </w:rPr>
        <w:t>Explanation:</w:t>
      </w:r>
      <w:r>
        <w:rPr>
          <w:rFonts w:ascii="Times New Roman" w:hAnsi="Times New Roman"/>
          <w:sz w:val="24"/>
        </w:rPr>
        <w:t xml:space="preserve"> Although the new heading has been renamed from “Morality and Public Order Objections”, the body of the text remains unchanged and contains the same fundamental flaws which can only be remedied through deletion.  </w:t>
      </w:r>
    </w:p>
    <w:p w:rsidR="009958A0" w:rsidRDefault="009958A0" w:rsidP="009958A0">
      <w:pPr>
        <w:spacing w:after="0" w:line="240" w:lineRule="auto"/>
        <w:ind w:left="720" w:hanging="720"/>
        <w:rPr>
          <w:rFonts w:ascii="Times New Roman" w:hAnsi="Times New Roman"/>
          <w:sz w:val="24"/>
        </w:rPr>
      </w:pPr>
    </w:p>
    <w:p w:rsidR="009958A0" w:rsidRDefault="009958A0" w:rsidP="009958A0">
      <w:pPr>
        <w:spacing w:after="0" w:line="240" w:lineRule="auto"/>
        <w:ind w:left="720"/>
        <w:rPr>
          <w:rFonts w:ascii="Times New Roman" w:hAnsi="Times New Roman"/>
          <w:sz w:val="24"/>
        </w:rPr>
      </w:pPr>
      <w:r>
        <w:rPr>
          <w:rFonts w:ascii="Times New Roman" w:hAnsi="Times New Roman"/>
          <w:sz w:val="24"/>
        </w:rPr>
        <w:t xml:space="preserve">Specifically, the requirement that governments pay fees and must be bound by determinations by the International Centre for Expertise of the International Chamber of Commerce, which will in turn be guided by the findings of “three experts recognized as eminent jurists of international reputation”, is contrary to the sovereign right of governments to interpret and apply principles of international law on a country-by-country basis.  Governments cannot be bound by the determinations of private individuals or organizations on matters that pertain to national law. </w:t>
      </w:r>
    </w:p>
    <w:p w:rsidR="009958A0" w:rsidRDefault="009958A0" w:rsidP="009958A0">
      <w:pPr>
        <w:spacing w:after="0" w:line="240" w:lineRule="auto"/>
        <w:ind w:left="720"/>
        <w:rPr>
          <w:rFonts w:ascii="Times New Roman" w:hAnsi="Times New Roman"/>
          <w:sz w:val="24"/>
        </w:rPr>
      </w:pPr>
    </w:p>
    <w:p w:rsidR="009958A0" w:rsidRDefault="009958A0" w:rsidP="009958A0">
      <w:pPr>
        <w:spacing w:after="0" w:line="240" w:lineRule="auto"/>
        <w:ind w:left="720"/>
        <w:rPr>
          <w:rFonts w:ascii="Times New Roman" w:hAnsi="Times New Roman"/>
          <w:sz w:val="24"/>
        </w:rPr>
      </w:pPr>
      <w:r w:rsidRPr="00EA2389">
        <w:rPr>
          <w:rFonts w:ascii="Times New Roman" w:hAnsi="Times New Roman"/>
          <w:sz w:val="24"/>
        </w:rPr>
        <w:t xml:space="preserve">The requirement is also inconsistent with the provisions in ICANN’s Bylaws that call for governments to provide public policy advice to the ICANN Board through the Governmental Advisory Committee.  </w:t>
      </w:r>
    </w:p>
    <w:p w:rsidR="009958A0" w:rsidRDefault="009958A0" w:rsidP="009958A0">
      <w:pPr>
        <w:spacing w:after="0" w:line="240" w:lineRule="auto"/>
        <w:ind w:left="720"/>
        <w:rPr>
          <w:rFonts w:ascii="Times New Roman" w:hAnsi="Times New Roman"/>
          <w:sz w:val="24"/>
        </w:rPr>
      </w:pPr>
    </w:p>
    <w:p w:rsidR="009958A0" w:rsidRDefault="009958A0" w:rsidP="009958A0">
      <w:pPr>
        <w:spacing w:after="0" w:line="240" w:lineRule="auto"/>
        <w:ind w:left="720"/>
        <w:rPr>
          <w:rFonts w:ascii="Times New Roman" w:hAnsi="Times New Roman"/>
          <w:sz w:val="24"/>
        </w:rPr>
      </w:pPr>
      <w:r w:rsidRPr="00EA2389">
        <w:rPr>
          <w:rFonts w:ascii="Times New Roman" w:hAnsi="Times New Roman"/>
          <w:sz w:val="24"/>
        </w:rPr>
        <w:t xml:space="preserve">Lastly, there are no “generally accepted legal norms relating to morality and public order that are recognized under international principles of law” (Module 3, Article 2, e, iii), nor is it feasible to expect that any panel of “experts” could reach a determination whether a particular proposed new </w:t>
      </w:r>
      <w:proofErr w:type="spellStart"/>
      <w:r w:rsidRPr="00EA2389">
        <w:rPr>
          <w:rFonts w:ascii="Times New Roman" w:hAnsi="Times New Roman"/>
          <w:sz w:val="24"/>
        </w:rPr>
        <w:t>gTLD</w:t>
      </w:r>
      <w:proofErr w:type="spellEnd"/>
      <w:r w:rsidRPr="00EA2389">
        <w:rPr>
          <w:rFonts w:ascii="Times New Roman" w:hAnsi="Times New Roman"/>
          <w:sz w:val="24"/>
        </w:rPr>
        <w:t xml:space="preserve"> string would be considered objectionable on such grounds.</w:t>
      </w:r>
    </w:p>
    <w:p w:rsidR="009958A0" w:rsidRDefault="009958A0" w:rsidP="009958A0">
      <w:pPr>
        <w:spacing w:after="0" w:line="240" w:lineRule="auto"/>
        <w:ind w:left="360"/>
        <w:rPr>
          <w:rFonts w:ascii="Times New Roman" w:hAnsi="Times New Roman"/>
          <w:sz w:val="24"/>
        </w:rPr>
      </w:pPr>
    </w:p>
    <w:p w:rsidR="009958A0" w:rsidRDefault="009958A0" w:rsidP="009958A0">
      <w:pPr>
        <w:pStyle w:val="ListParagraph"/>
        <w:spacing w:after="0" w:line="240" w:lineRule="auto"/>
        <w:ind w:left="0"/>
        <w:rPr>
          <w:rFonts w:ascii="Times New Roman" w:hAnsi="Times New Roman"/>
          <w:sz w:val="24"/>
        </w:rPr>
      </w:pPr>
      <w:r>
        <w:rPr>
          <w:rFonts w:ascii="Times New Roman" w:hAnsi="Times New Roman"/>
          <w:b/>
          <w:sz w:val="24"/>
        </w:rPr>
        <w:t xml:space="preserve">String Evaluation:  </w:t>
      </w:r>
      <w:r>
        <w:rPr>
          <w:rFonts w:ascii="Times New Roman" w:hAnsi="Times New Roman"/>
          <w:sz w:val="24"/>
        </w:rPr>
        <w:t>The GAC advises the ICANN Board to instruct ICANN staff to amend the following procedures related to the Initial Evaluation called for in Module 2 to include review by</w:t>
      </w:r>
      <w:r w:rsidRPr="00551455">
        <w:rPr>
          <w:rFonts w:ascii="Times New Roman" w:hAnsi="Times New Roman"/>
          <w:sz w:val="24"/>
        </w:rPr>
        <w:t xml:space="preserve"> </w:t>
      </w:r>
      <w:r>
        <w:rPr>
          <w:rFonts w:ascii="Times New Roman" w:hAnsi="Times New Roman"/>
          <w:sz w:val="24"/>
        </w:rPr>
        <w:t xml:space="preserve">governments, via the GAC.  </w:t>
      </w:r>
      <w:r w:rsidR="007A7546">
        <w:rPr>
          <w:rFonts w:ascii="Times New Roman" w:hAnsi="Times New Roman"/>
          <w:sz w:val="24"/>
        </w:rPr>
        <w:t xml:space="preserve">Any GAC member may raise an objection to a proposed string for any reason.  If it is the consensus position of the GAC not to oppose objection raised by a GAC </w:t>
      </w:r>
      <w:r w:rsidR="007A7546">
        <w:rPr>
          <w:rFonts w:ascii="Times New Roman" w:hAnsi="Times New Roman"/>
          <w:sz w:val="24"/>
        </w:rPr>
        <w:lastRenderedPageBreak/>
        <w:t>member or members, ICANN shall reject the application.</w:t>
      </w:r>
      <w:r w:rsidDel="004150C7">
        <w:rPr>
          <w:rStyle w:val="FootnoteReference"/>
          <w:rFonts w:ascii="Times New Roman" w:hAnsi="Times New Roman"/>
          <w:sz w:val="24"/>
        </w:rPr>
        <w:footnoteReference w:id="1"/>
      </w:r>
      <w:r>
        <w:rPr>
          <w:rFonts w:ascii="Times New Roman" w:hAnsi="Times New Roman"/>
          <w:sz w:val="24"/>
        </w:rPr>
        <w:t xml:space="preserve">  (Note that the application fees should be refunded to the applicant).</w:t>
      </w:r>
    </w:p>
    <w:p w:rsidR="009958A0" w:rsidRDefault="009958A0" w:rsidP="009958A0">
      <w:pPr>
        <w:pStyle w:val="ListParagraph"/>
        <w:spacing w:after="0" w:line="240" w:lineRule="auto"/>
        <w:ind w:left="360"/>
        <w:rPr>
          <w:rFonts w:ascii="Times New Roman" w:hAnsi="Times New Roman"/>
          <w:sz w:val="24"/>
        </w:rPr>
      </w:pPr>
    </w:p>
    <w:p w:rsidR="009958A0" w:rsidRDefault="009958A0" w:rsidP="009958A0">
      <w:pPr>
        <w:pStyle w:val="ListParagraph"/>
        <w:spacing w:after="0" w:line="240" w:lineRule="auto"/>
        <w:ind w:left="360"/>
        <w:rPr>
          <w:rFonts w:ascii="Times New Roman" w:hAnsi="Times New Roman"/>
          <w:sz w:val="24"/>
        </w:rPr>
      </w:pPr>
      <w:r>
        <w:rPr>
          <w:rFonts w:ascii="Times New Roman" w:hAnsi="Times New Roman"/>
          <w:b/>
          <w:sz w:val="24"/>
        </w:rPr>
        <w:t xml:space="preserve">Explanation:  </w:t>
      </w:r>
      <w:r w:rsidR="007A7546" w:rsidRPr="007A7546">
        <w:rPr>
          <w:rFonts w:ascii="Times New Roman" w:hAnsi="Times New Roman"/>
          <w:sz w:val="24"/>
        </w:rPr>
        <w:t xml:space="preserve">This proposal meets a </w:t>
      </w:r>
      <w:r w:rsidR="00197F26">
        <w:rPr>
          <w:rFonts w:ascii="Times New Roman" w:hAnsi="Times New Roman"/>
          <w:sz w:val="24"/>
        </w:rPr>
        <w:t>number of compelling goals.  F</w:t>
      </w:r>
      <w:r w:rsidR="007A7546" w:rsidRPr="007A7546">
        <w:rPr>
          <w:rFonts w:ascii="Times New Roman" w:hAnsi="Times New Roman"/>
          <w:sz w:val="24"/>
        </w:rPr>
        <w:t>irst it will</w:t>
      </w:r>
      <w:r w:rsidR="007A7546">
        <w:rPr>
          <w:rFonts w:ascii="Times New Roman" w:hAnsi="Times New Roman"/>
          <w:b/>
          <w:sz w:val="24"/>
        </w:rPr>
        <w:t xml:space="preserve"> </w:t>
      </w:r>
      <w:r w:rsidR="007A7546" w:rsidRPr="007761AE">
        <w:rPr>
          <w:rFonts w:ascii="Times New Roman" w:hAnsi="Times New Roman"/>
          <w:sz w:val="24"/>
        </w:rPr>
        <w:t xml:space="preserve">diminish the potential for blocking of </w:t>
      </w:r>
      <w:r w:rsidR="007A7546">
        <w:rPr>
          <w:rFonts w:ascii="Times New Roman" w:hAnsi="Times New Roman"/>
          <w:sz w:val="24"/>
        </w:rPr>
        <w:t xml:space="preserve">top level domain </w:t>
      </w:r>
      <w:r w:rsidR="007A7546" w:rsidRPr="007761AE">
        <w:rPr>
          <w:rFonts w:ascii="Times New Roman" w:hAnsi="Times New Roman"/>
          <w:sz w:val="24"/>
        </w:rPr>
        <w:t>strings considered objectionable by governments, which harms the architecture of the DNS and undermines the goal of universal resolvability.</w:t>
      </w:r>
      <w:r w:rsidR="007A7546">
        <w:rPr>
          <w:rFonts w:ascii="Times New Roman" w:hAnsi="Times New Roman"/>
          <w:sz w:val="24"/>
        </w:rPr>
        <w:t xml:space="preserve">  Second, a</w:t>
      </w:r>
      <w:r>
        <w:rPr>
          <w:rFonts w:ascii="Times New Roman" w:hAnsi="Times New Roman"/>
          <w:sz w:val="24"/>
        </w:rPr>
        <w:t xml:space="preserve">ffording governments the opportunity, through the GAC, to advise the ICANN Board that there is consensus GAC advice regarding particular proposed strings that should not be processed is supportive of ICANN’s commitment to ensure that its decision are in the global public interest.  </w:t>
      </w:r>
    </w:p>
    <w:p w:rsidR="009958A0" w:rsidRDefault="009958A0" w:rsidP="009958A0">
      <w:pPr>
        <w:pStyle w:val="ListParagraph"/>
        <w:spacing w:after="0" w:line="240" w:lineRule="auto"/>
        <w:ind w:left="360"/>
        <w:rPr>
          <w:rFonts w:ascii="Times New Roman" w:hAnsi="Times New Roman"/>
          <w:sz w:val="24"/>
        </w:rPr>
      </w:pPr>
    </w:p>
    <w:p w:rsidR="009958A0" w:rsidRDefault="009958A0" w:rsidP="009958A0">
      <w:pPr>
        <w:pStyle w:val="ListParagraph"/>
        <w:spacing w:after="0" w:line="240" w:lineRule="auto"/>
        <w:ind w:left="0"/>
        <w:rPr>
          <w:rFonts w:ascii="Times New Roman" w:hAnsi="Times New Roman"/>
          <w:sz w:val="24"/>
        </w:rPr>
      </w:pPr>
      <w:r>
        <w:rPr>
          <w:rFonts w:ascii="Times New Roman" w:hAnsi="Times New Roman"/>
          <w:b/>
          <w:sz w:val="24"/>
        </w:rPr>
        <w:t>Categories of Community-based Strings:</w:t>
      </w:r>
      <w:r>
        <w:rPr>
          <w:rFonts w:ascii="Times New Roman" w:hAnsi="Times New Roman"/>
          <w:sz w:val="24"/>
        </w:rPr>
        <w:t xml:space="preserve">  The GAC advises the ICANN Board to instruct ICANN staff to amend the provisions and procedures contained in Modules 1 and 3 to clarify the following:</w:t>
      </w:r>
    </w:p>
    <w:p w:rsidR="009958A0" w:rsidRDefault="009958A0" w:rsidP="009958A0">
      <w:pPr>
        <w:pStyle w:val="ListParagraph"/>
        <w:spacing w:after="0" w:line="240" w:lineRule="auto"/>
        <w:ind w:left="0"/>
        <w:rPr>
          <w:rFonts w:ascii="Times New Roman" w:hAnsi="Times New Roman"/>
          <w:sz w:val="24"/>
        </w:rPr>
      </w:pPr>
    </w:p>
    <w:p w:rsidR="009958A0" w:rsidRDefault="009958A0" w:rsidP="009958A0">
      <w:pPr>
        <w:pStyle w:val="ListParagraph"/>
        <w:numPr>
          <w:ilvl w:val="0"/>
          <w:numId w:val="1"/>
        </w:numPr>
        <w:spacing w:after="0" w:line="240" w:lineRule="auto"/>
        <w:rPr>
          <w:rFonts w:ascii="Times New Roman" w:hAnsi="Times New Roman"/>
          <w:sz w:val="24"/>
        </w:rPr>
      </w:pPr>
      <w:r w:rsidRPr="007761AE">
        <w:rPr>
          <w:rFonts w:ascii="Times New Roman" w:hAnsi="Times New Roman"/>
          <w:sz w:val="24"/>
        </w:rPr>
        <w:t xml:space="preserve">“Community-based strings” include those that purport to represent or </w:t>
      </w:r>
      <w:proofErr w:type="gramStart"/>
      <w:r w:rsidRPr="007761AE">
        <w:rPr>
          <w:rFonts w:ascii="Times New Roman" w:hAnsi="Times New Roman"/>
          <w:sz w:val="24"/>
        </w:rPr>
        <w:t>that embody</w:t>
      </w:r>
      <w:proofErr w:type="gramEnd"/>
      <w:r w:rsidRPr="007761AE">
        <w:rPr>
          <w:rFonts w:ascii="Times New Roman" w:hAnsi="Times New Roman"/>
          <w:sz w:val="24"/>
        </w:rPr>
        <w:t xml:space="preserve"> a particular group of people or interests based on historical components of identity (such as nationality, race or ethnicity, religion or religious affiliation, culture or particular social group, and/or a language or linguistic group).  In addition, those strings that refer to particular sectors, in particular those subject to national regulation (such as .bank, .pharmacy) are also “community-based” strings.  </w:t>
      </w:r>
    </w:p>
    <w:p w:rsidR="009958A0" w:rsidRDefault="009958A0" w:rsidP="009958A0">
      <w:pPr>
        <w:pStyle w:val="ListParagraph"/>
        <w:numPr>
          <w:ilvl w:val="0"/>
          <w:numId w:val="1"/>
        </w:numPr>
        <w:spacing w:after="0" w:line="240" w:lineRule="auto"/>
        <w:rPr>
          <w:rFonts w:ascii="Times New Roman" w:hAnsi="Times New Roman"/>
          <w:sz w:val="24"/>
        </w:rPr>
      </w:pPr>
      <w:r w:rsidRPr="00074E97">
        <w:rPr>
          <w:rFonts w:ascii="Times New Roman" w:hAnsi="Times New Roman"/>
          <w:sz w:val="24"/>
        </w:rPr>
        <w:t>Applicants seeking such strings should be required to affirmatively identify them as “community-based strings” and must demonstrate their affiliation with the affected community, the specific purpose of the proposed TLD, and evidence of support or non-objection from the relevant authority/</w:t>
      </w:r>
      <w:proofErr w:type="spellStart"/>
      <w:r w:rsidRPr="00074E97">
        <w:rPr>
          <w:rFonts w:ascii="Times New Roman" w:hAnsi="Times New Roman"/>
          <w:sz w:val="24"/>
        </w:rPr>
        <w:t>ies</w:t>
      </w:r>
      <w:proofErr w:type="spellEnd"/>
      <w:r w:rsidRPr="00074E97">
        <w:rPr>
          <w:rFonts w:ascii="Times New Roman" w:hAnsi="Times New Roman"/>
          <w:sz w:val="24"/>
        </w:rPr>
        <w:t xml:space="preserve"> that the applicant is the appropriate or agreed entity for purposes of managing the TLD.  </w:t>
      </w:r>
    </w:p>
    <w:p w:rsidR="009958A0" w:rsidRDefault="009958A0" w:rsidP="009958A0">
      <w:pPr>
        <w:pStyle w:val="ListParagraph"/>
        <w:numPr>
          <w:ilvl w:val="0"/>
          <w:numId w:val="1"/>
        </w:numPr>
        <w:spacing w:after="0" w:line="240" w:lineRule="auto"/>
        <w:rPr>
          <w:rFonts w:ascii="Times New Roman" w:hAnsi="Times New Roman"/>
          <w:sz w:val="24"/>
        </w:rPr>
      </w:pPr>
      <w:r w:rsidRPr="00074E97">
        <w:rPr>
          <w:rFonts w:ascii="Times New Roman" w:hAnsi="Times New Roman"/>
          <w:sz w:val="24"/>
        </w:rPr>
        <w:t>In the event the</w:t>
      </w:r>
      <w:r>
        <w:rPr>
          <w:rFonts w:ascii="Times New Roman" w:hAnsi="Times New Roman"/>
          <w:sz w:val="24"/>
        </w:rPr>
        <w:t xml:space="preserve"> proposed string is either too broad to effectively identify a single entity as the relevant authority or appropriate manager, or is sufficiently contentious that an appropriate manager cannot be identified and/or agreed, </w:t>
      </w:r>
      <w:r w:rsidRPr="00074E97">
        <w:rPr>
          <w:rFonts w:ascii="Times New Roman" w:hAnsi="Times New Roman"/>
          <w:sz w:val="24"/>
        </w:rPr>
        <w:t xml:space="preserve">the </w:t>
      </w:r>
      <w:r>
        <w:rPr>
          <w:rFonts w:ascii="Times New Roman" w:hAnsi="Times New Roman"/>
          <w:sz w:val="24"/>
        </w:rPr>
        <w:t>application should be rejected.</w:t>
      </w:r>
    </w:p>
    <w:p w:rsidR="009958A0" w:rsidRDefault="009958A0" w:rsidP="009958A0">
      <w:pPr>
        <w:pStyle w:val="ListParagraph"/>
        <w:numPr>
          <w:ilvl w:val="0"/>
          <w:numId w:val="1"/>
        </w:numPr>
        <w:spacing w:after="0" w:line="240" w:lineRule="auto"/>
        <w:rPr>
          <w:rFonts w:ascii="Times New Roman" w:hAnsi="Times New Roman"/>
          <w:sz w:val="24"/>
        </w:rPr>
      </w:pPr>
      <w:r w:rsidRPr="00BD6D08">
        <w:rPr>
          <w:rFonts w:ascii="Times New Roman" w:hAnsi="Times New Roman"/>
          <w:sz w:val="24"/>
        </w:rPr>
        <w:t>Individual governments that choose to file objections to any proposed “community-based” string should not be required to pay fees.</w:t>
      </w:r>
    </w:p>
    <w:p w:rsidR="009958A0" w:rsidRDefault="009958A0" w:rsidP="009958A0">
      <w:pPr>
        <w:pStyle w:val="ListParagraph"/>
        <w:spacing w:after="0" w:line="240" w:lineRule="auto"/>
        <w:ind w:left="360"/>
        <w:rPr>
          <w:rFonts w:ascii="Times New Roman" w:hAnsi="Times New Roman"/>
          <w:sz w:val="24"/>
        </w:rPr>
      </w:pPr>
    </w:p>
    <w:p w:rsidR="009958A0" w:rsidRDefault="009958A0" w:rsidP="009958A0">
      <w:pPr>
        <w:pStyle w:val="ListParagraph"/>
        <w:spacing w:after="0" w:line="240" w:lineRule="auto"/>
        <w:ind w:left="360"/>
        <w:rPr>
          <w:rFonts w:ascii="Times New Roman" w:hAnsi="Times New Roman"/>
          <w:sz w:val="24"/>
        </w:rPr>
      </w:pPr>
      <w:r>
        <w:rPr>
          <w:rFonts w:ascii="Times New Roman" w:hAnsi="Times New Roman"/>
          <w:b/>
          <w:sz w:val="24"/>
        </w:rPr>
        <w:t>Explanation:</w:t>
      </w:r>
      <w:r>
        <w:rPr>
          <w:rFonts w:ascii="Times New Roman" w:hAnsi="Times New Roman"/>
          <w:sz w:val="24"/>
        </w:rPr>
        <w:t xml:space="preserve">  The proposed approach would remedy the failure in the draft Applicant Guidebook to incorporate the GAC’s previous advice that ICANN’s new </w:t>
      </w:r>
      <w:proofErr w:type="spellStart"/>
      <w:r>
        <w:rPr>
          <w:rFonts w:ascii="Times New Roman" w:hAnsi="Times New Roman"/>
          <w:sz w:val="24"/>
        </w:rPr>
        <w:t>gTLD</w:t>
      </w:r>
      <w:proofErr w:type="spellEnd"/>
      <w:r>
        <w:rPr>
          <w:rFonts w:ascii="Times New Roman" w:hAnsi="Times New Roman"/>
          <w:sz w:val="24"/>
        </w:rPr>
        <w:t xml:space="preserve"> process should respect the legitimate interests of governments regarding terms with national, cultural, geographic and religious significance.  It also anticipates the strong possibility that there will be proposed new </w:t>
      </w:r>
      <w:proofErr w:type="spellStart"/>
      <w:r>
        <w:rPr>
          <w:rFonts w:ascii="Times New Roman" w:hAnsi="Times New Roman"/>
          <w:sz w:val="24"/>
        </w:rPr>
        <w:t>gTLD</w:t>
      </w:r>
      <w:proofErr w:type="spellEnd"/>
      <w:r>
        <w:rPr>
          <w:rFonts w:ascii="Times New Roman" w:hAnsi="Times New Roman"/>
          <w:sz w:val="24"/>
        </w:rPr>
        <w:t xml:space="preserve"> strings for which an appropriate manager cannot be identified and/or agreed, which should cause the application to be rejected.  It also recognizes the right of governments to protect their perceived national interests through the Community objections process without the obligation to pay fees.</w:t>
      </w:r>
      <w:r w:rsidRPr="00BD6D08">
        <w:rPr>
          <w:rFonts w:ascii="Times New Roman" w:hAnsi="Times New Roman"/>
          <w:sz w:val="24"/>
        </w:rPr>
        <w:t xml:space="preserve">  </w:t>
      </w:r>
    </w:p>
    <w:p w:rsidR="009958A0" w:rsidRDefault="009958A0" w:rsidP="009958A0">
      <w:pPr>
        <w:pStyle w:val="ListParagraph"/>
        <w:spacing w:after="0" w:line="240" w:lineRule="auto"/>
        <w:ind w:left="360"/>
        <w:rPr>
          <w:rFonts w:ascii="Times New Roman" w:hAnsi="Times New Roman"/>
          <w:sz w:val="24"/>
        </w:rPr>
      </w:pPr>
    </w:p>
    <w:p w:rsidR="00FF7F69" w:rsidRDefault="00FF7F69" w:rsidP="009958A0">
      <w:pPr>
        <w:pStyle w:val="ListParagraph"/>
        <w:spacing w:after="0" w:line="240" w:lineRule="auto"/>
        <w:ind w:left="0"/>
        <w:rPr>
          <w:rFonts w:ascii="Times New Roman" w:hAnsi="Times New Roman"/>
          <w:b/>
          <w:sz w:val="24"/>
        </w:rPr>
      </w:pPr>
    </w:p>
    <w:p w:rsidR="00E5518D" w:rsidRDefault="00E5518D" w:rsidP="00E5518D">
      <w:pPr>
        <w:pStyle w:val="ListParagraph"/>
        <w:spacing w:after="0" w:line="240" w:lineRule="auto"/>
        <w:ind w:left="0"/>
        <w:rPr>
          <w:rFonts w:ascii="Times New Roman" w:hAnsi="Times New Roman"/>
          <w:b/>
          <w:sz w:val="24"/>
        </w:rPr>
      </w:pPr>
      <w:r>
        <w:rPr>
          <w:rFonts w:ascii="Times New Roman" w:hAnsi="Times New Roman"/>
          <w:b/>
          <w:sz w:val="24"/>
        </w:rPr>
        <w:lastRenderedPageBreak/>
        <w:t xml:space="preserve">2.  </w:t>
      </w:r>
      <w:r w:rsidRPr="00FF7F69">
        <w:rPr>
          <w:rFonts w:ascii="Times New Roman" w:hAnsi="Times New Roman"/>
          <w:b/>
          <w:i/>
          <w:sz w:val="24"/>
        </w:rPr>
        <w:t>Market and Economic Impacts</w:t>
      </w:r>
    </w:p>
    <w:p w:rsidR="00E5518D" w:rsidRDefault="00E5518D" w:rsidP="009958A0">
      <w:pPr>
        <w:pStyle w:val="ListParagraph"/>
        <w:spacing w:after="0" w:line="240" w:lineRule="auto"/>
        <w:ind w:left="0"/>
        <w:rPr>
          <w:rFonts w:ascii="Times New Roman" w:hAnsi="Times New Roman"/>
          <w:sz w:val="24"/>
        </w:rPr>
      </w:pPr>
    </w:p>
    <w:p w:rsidR="009958A0" w:rsidRDefault="009958A0" w:rsidP="009958A0">
      <w:pPr>
        <w:pStyle w:val="ListParagraph"/>
        <w:spacing w:after="0" w:line="240" w:lineRule="auto"/>
        <w:ind w:left="0"/>
        <w:rPr>
          <w:rFonts w:ascii="Times New Roman" w:hAnsi="Times New Roman"/>
          <w:sz w:val="24"/>
        </w:rPr>
      </w:pPr>
      <w:r>
        <w:rPr>
          <w:rFonts w:ascii="Times New Roman" w:hAnsi="Times New Roman"/>
          <w:sz w:val="24"/>
        </w:rPr>
        <w:t>The GAC advises the ICANN Board to instruct ICANN staff to amend the final Draft Applicant Guidebook to incorporate the following:</w:t>
      </w:r>
    </w:p>
    <w:p w:rsidR="009958A0" w:rsidRDefault="009958A0" w:rsidP="009958A0">
      <w:pPr>
        <w:pStyle w:val="ListParagraph"/>
        <w:spacing w:after="0" w:line="240" w:lineRule="auto"/>
        <w:ind w:left="0"/>
        <w:rPr>
          <w:rFonts w:ascii="Times New Roman" w:hAnsi="Times New Roman"/>
          <w:sz w:val="24"/>
        </w:rPr>
      </w:pPr>
    </w:p>
    <w:p w:rsidR="009958A0" w:rsidRDefault="009958A0" w:rsidP="009958A0">
      <w:pPr>
        <w:pStyle w:val="ListParagraph"/>
        <w:numPr>
          <w:ilvl w:val="0"/>
          <w:numId w:val="2"/>
        </w:numPr>
        <w:spacing w:after="0" w:line="240" w:lineRule="auto"/>
        <w:rPr>
          <w:rFonts w:ascii="Times New Roman" w:hAnsi="Times New Roman"/>
          <w:sz w:val="24"/>
        </w:rPr>
      </w:pPr>
      <w:r>
        <w:rPr>
          <w:rFonts w:ascii="Times New Roman" w:hAnsi="Times New Roman"/>
          <w:sz w:val="24"/>
        </w:rPr>
        <w:t xml:space="preserve">Criteria to facilitate the weighing of the potential costs and benefits to the public in the evaluation and award of new </w:t>
      </w:r>
      <w:proofErr w:type="spellStart"/>
      <w:r>
        <w:rPr>
          <w:rFonts w:ascii="Times New Roman" w:hAnsi="Times New Roman"/>
          <w:sz w:val="24"/>
        </w:rPr>
        <w:t>gTLDs</w:t>
      </w:r>
      <w:proofErr w:type="spellEnd"/>
      <w:r>
        <w:rPr>
          <w:rFonts w:ascii="Times New Roman" w:hAnsi="Times New Roman"/>
          <w:sz w:val="24"/>
        </w:rPr>
        <w:t>.</w:t>
      </w:r>
    </w:p>
    <w:p w:rsidR="009958A0" w:rsidRDefault="009958A0" w:rsidP="009958A0">
      <w:pPr>
        <w:pStyle w:val="ListParagraph"/>
        <w:numPr>
          <w:ilvl w:val="0"/>
          <w:numId w:val="2"/>
        </w:numPr>
        <w:spacing w:after="0" w:line="240" w:lineRule="auto"/>
        <w:rPr>
          <w:rFonts w:ascii="Times New Roman" w:hAnsi="Times New Roman"/>
          <w:sz w:val="24"/>
        </w:rPr>
      </w:pPr>
      <w:r>
        <w:rPr>
          <w:rFonts w:ascii="Times New Roman" w:hAnsi="Times New Roman"/>
          <w:sz w:val="24"/>
        </w:rPr>
        <w:t xml:space="preserve">A requirement that new </w:t>
      </w:r>
      <w:proofErr w:type="spellStart"/>
      <w:r>
        <w:rPr>
          <w:rFonts w:ascii="Times New Roman" w:hAnsi="Times New Roman"/>
          <w:sz w:val="24"/>
        </w:rPr>
        <w:t>gTLD</w:t>
      </w:r>
      <w:proofErr w:type="spellEnd"/>
      <w:r>
        <w:rPr>
          <w:rFonts w:ascii="Times New Roman" w:hAnsi="Times New Roman"/>
          <w:sz w:val="24"/>
        </w:rPr>
        <w:t xml:space="preserve"> applicants provide information on the expected benefits of the proposed </w:t>
      </w:r>
      <w:proofErr w:type="spellStart"/>
      <w:r>
        <w:rPr>
          <w:rFonts w:ascii="Times New Roman" w:hAnsi="Times New Roman"/>
          <w:sz w:val="24"/>
        </w:rPr>
        <w:t>gTLD</w:t>
      </w:r>
      <w:proofErr w:type="spellEnd"/>
      <w:r>
        <w:rPr>
          <w:rFonts w:ascii="Times New Roman" w:hAnsi="Times New Roman"/>
          <w:sz w:val="24"/>
        </w:rPr>
        <w:t>, as well as information and proposed operating terms to eliminate or minimize costs to registrants and consumers.</w:t>
      </w:r>
    </w:p>
    <w:p w:rsidR="009958A0" w:rsidRDefault="009958A0" w:rsidP="009958A0">
      <w:pPr>
        <w:pStyle w:val="ListParagraph"/>
        <w:numPr>
          <w:ilvl w:val="0"/>
          <w:numId w:val="2"/>
        </w:numPr>
        <w:spacing w:after="0" w:line="240" w:lineRule="auto"/>
        <w:rPr>
          <w:rFonts w:ascii="Times New Roman" w:hAnsi="Times New Roman"/>
          <w:sz w:val="24"/>
        </w:rPr>
      </w:pPr>
      <w:r>
        <w:rPr>
          <w:rFonts w:ascii="Times New Roman" w:hAnsi="Times New Roman"/>
          <w:sz w:val="24"/>
        </w:rPr>
        <w:t xml:space="preserve">Due diligence or other operating restrictions to ensure that </w:t>
      </w:r>
      <w:r w:rsidRPr="00C10AC0">
        <w:rPr>
          <w:rFonts w:ascii="Times New Roman" w:hAnsi="Times New Roman"/>
          <w:sz w:val="24"/>
        </w:rPr>
        <w:t xml:space="preserve">Community-based </w:t>
      </w:r>
      <w:proofErr w:type="spellStart"/>
      <w:r w:rsidRPr="00C10AC0">
        <w:rPr>
          <w:rFonts w:ascii="Times New Roman" w:hAnsi="Times New Roman"/>
          <w:sz w:val="24"/>
        </w:rPr>
        <w:t>gTLDs</w:t>
      </w:r>
      <w:proofErr w:type="spellEnd"/>
      <w:r w:rsidRPr="00C10AC0">
        <w:rPr>
          <w:rFonts w:ascii="Times New Roman" w:hAnsi="Times New Roman"/>
          <w:sz w:val="24"/>
        </w:rPr>
        <w:t xml:space="preserve"> will in fact serve their targeted communities</w:t>
      </w:r>
      <w:r>
        <w:rPr>
          <w:rFonts w:ascii="Times New Roman" w:hAnsi="Times New Roman"/>
          <w:sz w:val="24"/>
        </w:rPr>
        <w:t xml:space="preserve"> and will not broaden their operations in a manner that makes it more likely for the registries to impose costs on existing domain owners in other TLDs.</w:t>
      </w:r>
    </w:p>
    <w:p w:rsidR="009958A0" w:rsidRDefault="009958A0" w:rsidP="009958A0">
      <w:pPr>
        <w:pStyle w:val="ListParagraph"/>
        <w:spacing w:after="0" w:line="240" w:lineRule="auto"/>
        <w:ind w:left="360"/>
        <w:rPr>
          <w:rFonts w:ascii="Times New Roman" w:hAnsi="Times New Roman"/>
          <w:sz w:val="24"/>
        </w:rPr>
      </w:pPr>
    </w:p>
    <w:p w:rsidR="009958A0" w:rsidRDefault="009958A0" w:rsidP="009958A0">
      <w:pPr>
        <w:pStyle w:val="ListParagraph"/>
        <w:spacing w:after="0" w:line="240" w:lineRule="auto"/>
        <w:ind w:left="360"/>
        <w:rPr>
          <w:rFonts w:ascii="Times New Roman" w:hAnsi="Times New Roman"/>
          <w:sz w:val="24"/>
        </w:rPr>
      </w:pPr>
      <w:r>
        <w:rPr>
          <w:rFonts w:ascii="Times New Roman" w:hAnsi="Times New Roman"/>
          <w:b/>
          <w:sz w:val="24"/>
        </w:rPr>
        <w:t>Explanation:</w:t>
      </w:r>
      <w:r>
        <w:rPr>
          <w:rFonts w:ascii="Times New Roman" w:hAnsi="Times New Roman"/>
          <w:sz w:val="24"/>
        </w:rPr>
        <w:t xml:space="preserve">  The economic studies conducted by Katz, </w:t>
      </w:r>
      <w:proofErr w:type="spellStart"/>
      <w:r>
        <w:rPr>
          <w:rFonts w:ascii="Times New Roman" w:hAnsi="Times New Roman"/>
          <w:sz w:val="24"/>
        </w:rPr>
        <w:t>Rosston</w:t>
      </w:r>
      <w:proofErr w:type="spellEnd"/>
      <w:r>
        <w:rPr>
          <w:rFonts w:ascii="Times New Roman" w:hAnsi="Times New Roman"/>
          <w:sz w:val="24"/>
        </w:rPr>
        <w:t xml:space="preserve"> and Sullivan contain important findings that the past introduction of new </w:t>
      </w:r>
      <w:proofErr w:type="spellStart"/>
      <w:r>
        <w:rPr>
          <w:rFonts w:ascii="Times New Roman" w:hAnsi="Times New Roman"/>
          <w:sz w:val="24"/>
        </w:rPr>
        <w:t>gTLDs</w:t>
      </w:r>
      <w:proofErr w:type="spellEnd"/>
      <w:r>
        <w:rPr>
          <w:rFonts w:ascii="Times New Roman" w:hAnsi="Times New Roman"/>
          <w:sz w:val="24"/>
        </w:rPr>
        <w:t xml:space="preserve"> provided minimal public benefits in terms of competition for existing </w:t>
      </w:r>
      <w:proofErr w:type="spellStart"/>
      <w:r>
        <w:rPr>
          <w:rFonts w:ascii="Times New Roman" w:hAnsi="Times New Roman"/>
          <w:sz w:val="24"/>
        </w:rPr>
        <w:t>gTLDs</w:t>
      </w:r>
      <w:proofErr w:type="spellEnd"/>
      <w:r>
        <w:rPr>
          <w:rFonts w:ascii="Times New Roman" w:hAnsi="Times New Roman"/>
          <w:sz w:val="24"/>
        </w:rPr>
        <w:t xml:space="preserve"> and relieving name scarcity.  The studies further state clearly that the introduction of new </w:t>
      </w:r>
      <w:proofErr w:type="spellStart"/>
      <w:r>
        <w:rPr>
          <w:rFonts w:ascii="Times New Roman" w:hAnsi="Times New Roman"/>
          <w:sz w:val="24"/>
        </w:rPr>
        <w:t>gTLDs</w:t>
      </w:r>
      <w:proofErr w:type="spellEnd"/>
      <w:r>
        <w:rPr>
          <w:rFonts w:ascii="Times New Roman" w:hAnsi="Times New Roman"/>
          <w:sz w:val="24"/>
        </w:rPr>
        <w:t xml:space="preserve"> had imposed costs on intellectual property owners in diluted brand strength, defensive registrations, and other costs associated with protecting their brands.  </w:t>
      </w:r>
    </w:p>
    <w:p w:rsidR="00AE77ED" w:rsidRDefault="00AE77ED" w:rsidP="00AE77ED">
      <w:pPr>
        <w:pStyle w:val="ListParagraph"/>
        <w:spacing w:after="0" w:line="240" w:lineRule="auto"/>
        <w:ind w:left="360"/>
        <w:rPr>
          <w:rFonts w:ascii="Times New Roman" w:hAnsi="Times New Roman"/>
          <w:b/>
          <w:sz w:val="24"/>
        </w:rPr>
      </w:pPr>
    </w:p>
    <w:p w:rsidR="00AE77ED" w:rsidRPr="00AE77ED" w:rsidRDefault="00AE77ED" w:rsidP="00AE77ED">
      <w:pPr>
        <w:pStyle w:val="ListParagraph"/>
        <w:numPr>
          <w:ilvl w:val="0"/>
          <w:numId w:val="8"/>
        </w:numPr>
        <w:tabs>
          <w:tab w:val="left" w:pos="360"/>
        </w:tabs>
        <w:spacing w:after="0" w:line="240" w:lineRule="auto"/>
        <w:ind w:left="360"/>
        <w:rPr>
          <w:rFonts w:ascii="Times New Roman" w:hAnsi="Times New Roman"/>
          <w:b/>
          <w:i/>
          <w:sz w:val="24"/>
        </w:rPr>
      </w:pPr>
      <w:r w:rsidRPr="00AE77ED">
        <w:rPr>
          <w:rFonts w:ascii="Times New Roman" w:hAnsi="Times New Roman"/>
          <w:b/>
          <w:i/>
          <w:sz w:val="24"/>
        </w:rPr>
        <w:t xml:space="preserve"> Vertical Integration (Registry-Registrar Separation)</w:t>
      </w:r>
      <w:r w:rsidRPr="00AE77ED">
        <w:rPr>
          <w:rFonts w:ascii="Times New Roman" w:hAnsi="Times New Roman"/>
          <w:i/>
          <w:sz w:val="24"/>
        </w:rPr>
        <w:t xml:space="preserve">  </w:t>
      </w:r>
    </w:p>
    <w:p w:rsidR="00AE77ED" w:rsidRDefault="00AE77ED" w:rsidP="00AE77ED">
      <w:pPr>
        <w:pStyle w:val="ListParagraph"/>
        <w:spacing w:after="0" w:line="240" w:lineRule="auto"/>
        <w:ind w:left="360"/>
        <w:rPr>
          <w:rFonts w:ascii="Times New Roman" w:hAnsi="Times New Roman"/>
          <w:b/>
          <w:sz w:val="24"/>
        </w:rPr>
      </w:pPr>
    </w:p>
    <w:p w:rsidR="009958A0" w:rsidRDefault="009958A0" w:rsidP="009958A0">
      <w:pPr>
        <w:pStyle w:val="ListParagraph"/>
        <w:spacing w:after="0" w:line="240" w:lineRule="auto"/>
        <w:ind w:left="0"/>
        <w:rPr>
          <w:rFonts w:ascii="Times New Roman" w:hAnsi="Times New Roman"/>
          <w:sz w:val="24"/>
        </w:rPr>
      </w:pPr>
      <w:r>
        <w:rPr>
          <w:rFonts w:ascii="Times New Roman" w:hAnsi="Times New Roman"/>
          <w:sz w:val="24"/>
        </w:rPr>
        <w:t xml:space="preserve">The GAC advises the ICANN Board to instruct ICANN staff to amend the proposed new registry agreement to restrict cross-ownership between registries and registries, except in those cases where ICANN has determined that the registry does not have, or is unlikely to obtain, market power.  The GAC further advises the ICANN Board that it considers the absence of a </w:t>
      </w:r>
      <w:r w:rsidRPr="00EA2389">
        <w:rPr>
          <w:rFonts w:ascii="Times New Roman" w:hAnsi="Times New Roman"/>
          <w:sz w:val="24"/>
        </w:rPr>
        <w:t xml:space="preserve">thorough and reasoned explanation of </w:t>
      </w:r>
      <w:r>
        <w:rPr>
          <w:rFonts w:ascii="Times New Roman" w:hAnsi="Times New Roman"/>
          <w:sz w:val="24"/>
        </w:rPr>
        <w:t>its</w:t>
      </w:r>
      <w:r w:rsidRPr="00EA2389">
        <w:rPr>
          <w:rFonts w:ascii="Times New Roman" w:hAnsi="Times New Roman"/>
          <w:sz w:val="24"/>
        </w:rPr>
        <w:t xml:space="preserve"> decision, the rationale thereof and the sources of dat</w:t>
      </w:r>
      <w:r>
        <w:rPr>
          <w:rFonts w:ascii="Times New Roman" w:hAnsi="Times New Roman"/>
          <w:sz w:val="24"/>
        </w:rPr>
        <w:t>a and information on which the Board</w:t>
      </w:r>
      <w:r w:rsidRPr="00EA2389">
        <w:rPr>
          <w:rFonts w:ascii="Times New Roman" w:hAnsi="Times New Roman"/>
          <w:sz w:val="24"/>
        </w:rPr>
        <w:t xml:space="preserve"> relied with respect to vertical integration</w:t>
      </w:r>
      <w:r>
        <w:rPr>
          <w:rFonts w:ascii="Times New Roman" w:hAnsi="Times New Roman"/>
          <w:sz w:val="24"/>
        </w:rPr>
        <w:t xml:space="preserve"> to be inconsistent with its commitments under the Affirmation of Commitments.</w:t>
      </w:r>
    </w:p>
    <w:p w:rsidR="009958A0" w:rsidRDefault="009958A0" w:rsidP="009958A0">
      <w:pPr>
        <w:pStyle w:val="ListParagraph"/>
        <w:spacing w:after="0" w:line="240" w:lineRule="auto"/>
        <w:ind w:left="0"/>
        <w:rPr>
          <w:rFonts w:ascii="Times New Roman" w:hAnsi="Times New Roman"/>
          <w:sz w:val="24"/>
        </w:rPr>
      </w:pPr>
    </w:p>
    <w:p w:rsidR="009958A0" w:rsidRDefault="009958A0" w:rsidP="009958A0">
      <w:pPr>
        <w:pStyle w:val="ListParagraph"/>
        <w:spacing w:after="0" w:line="240" w:lineRule="auto"/>
        <w:rPr>
          <w:rFonts w:ascii="Times New Roman" w:hAnsi="Times New Roman"/>
          <w:sz w:val="24"/>
        </w:rPr>
      </w:pPr>
      <w:r>
        <w:rPr>
          <w:rFonts w:ascii="Times New Roman" w:hAnsi="Times New Roman"/>
          <w:b/>
          <w:sz w:val="24"/>
        </w:rPr>
        <w:t>Explanation:</w:t>
      </w:r>
      <w:r>
        <w:rPr>
          <w:rFonts w:ascii="Times New Roman" w:hAnsi="Times New Roman"/>
          <w:sz w:val="24"/>
        </w:rPr>
        <w:t xml:space="preserve">  The CRA International report commissioned by ICANN noted that vertical integration between registries and registrars could foster both precompetitive and anticompetitive outcomes.  As the key issue is whether a </w:t>
      </w:r>
      <w:proofErr w:type="spellStart"/>
      <w:r>
        <w:rPr>
          <w:rFonts w:ascii="Times New Roman" w:hAnsi="Times New Roman"/>
          <w:sz w:val="24"/>
        </w:rPr>
        <w:t>gTLD</w:t>
      </w:r>
      <w:proofErr w:type="spellEnd"/>
      <w:r>
        <w:rPr>
          <w:rFonts w:ascii="Times New Roman" w:hAnsi="Times New Roman"/>
          <w:sz w:val="24"/>
        </w:rPr>
        <w:t xml:space="preserve"> has market power, it would only be appropriate for ICANN to relax or lift restrictions on vertical integration in cases where ICANN determines that a </w:t>
      </w:r>
      <w:proofErr w:type="spellStart"/>
      <w:r>
        <w:rPr>
          <w:rFonts w:ascii="Times New Roman" w:hAnsi="Times New Roman"/>
          <w:sz w:val="24"/>
        </w:rPr>
        <w:t>gTLD</w:t>
      </w:r>
      <w:proofErr w:type="spellEnd"/>
      <w:r>
        <w:rPr>
          <w:rFonts w:ascii="Times New Roman" w:hAnsi="Times New Roman"/>
          <w:sz w:val="24"/>
        </w:rPr>
        <w:t xml:space="preserve"> faces or will face substantial competition.</w:t>
      </w:r>
      <w:r w:rsidRPr="00AE052B">
        <w:rPr>
          <w:rFonts w:ascii="Times New Roman" w:hAnsi="Times New Roman"/>
          <w:sz w:val="24"/>
        </w:rPr>
        <w:t xml:space="preserve"> </w:t>
      </w:r>
    </w:p>
    <w:p w:rsidR="009958A0" w:rsidRDefault="009958A0" w:rsidP="009958A0">
      <w:pPr>
        <w:pStyle w:val="ListParagraph"/>
        <w:spacing w:after="0" w:line="240" w:lineRule="auto"/>
        <w:rPr>
          <w:rFonts w:ascii="Times New Roman" w:hAnsi="Times New Roman"/>
          <w:sz w:val="24"/>
        </w:rPr>
      </w:pPr>
    </w:p>
    <w:p w:rsidR="009958A0" w:rsidRDefault="009958A0" w:rsidP="009958A0">
      <w:pPr>
        <w:pStyle w:val="ListParagraph"/>
        <w:spacing w:after="0" w:line="240" w:lineRule="auto"/>
        <w:rPr>
          <w:rFonts w:ascii="Times New Roman" w:hAnsi="Times New Roman"/>
          <w:sz w:val="24"/>
        </w:rPr>
      </w:pPr>
      <w:r>
        <w:rPr>
          <w:rFonts w:ascii="Times New Roman" w:hAnsi="Times New Roman"/>
          <w:sz w:val="24"/>
        </w:rPr>
        <w:t xml:space="preserve">Further, ICANN has committed to </w:t>
      </w:r>
      <w:r w:rsidRPr="00EA2389">
        <w:rPr>
          <w:rFonts w:ascii="Times New Roman" w:hAnsi="Times New Roman"/>
          <w:sz w:val="24"/>
        </w:rPr>
        <w:t xml:space="preserve">provide a thorough and reasoned explanation of ICANN decisions, the rationale thereof and the sources of data and information on which ICANN relies.  This has not been done yet to explain how the Board moved from a position in March 2010, as articulated in a Board resolution, of no cross ownership, to the May 31, 2010 staff proposal contained in draft Applicant Guidebook, version 4 of de </w:t>
      </w:r>
      <w:proofErr w:type="spellStart"/>
      <w:r w:rsidRPr="00EA2389">
        <w:rPr>
          <w:rFonts w:ascii="Times New Roman" w:hAnsi="Times New Roman"/>
          <w:sz w:val="24"/>
        </w:rPr>
        <w:t>minimus</w:t>
      </w:r>
      <w:proofErr w:type="spellEnd"/>
      <w:r w:rsidRPr="00EA2389">
        <w:rPr>
          <w:rFonts w:ascii="Times New Roman" w:hAnsi="Times New Roman"/>
          <w:sz w:val="24"/>
        </w:rPr>
        <w:t xml:space="preserve"> (i.e., no more than 2%) cross ownership, to the November 5, 2010 decision allowing full cross ownership</w:t>
      </w:r>
      <w:r>
        <w:rPr>
          <w:rFonts w:ascii="Times New Roman" w:hAnsi="Times New Roman"/>
          <w:sz w:val="24"/>
        </w:rPr>
        <w:t>.</w:t>
      </w:r>
      <w:r w:rsidRPr="00EA2389">
        <w:rPr>
          <w:rFonts w:ascii="Times New Roman" w:hAnsi="Times New Roman"/>
          <w:sz w:val="24"/>
        </w:rPr>
        <w:t xml:space="preserve">  </w:t>
      </w:r>
    </w:p>
    <w:p w:rsidR="009958A0" w:rsidRDefault="009958A0" w:rsidP="009958A0">
      <w:pPr>
        <w:pStyle w:val="ListParagraph"/>
        <w:spacing w:after="0" w:line="240" w:lineRule="auto"/>
        <w:ind w:left="0"/>
        <w:rPr>
          <w:rFonts w:ascii="Times New Roman" w:hAnsi="Times New Roman"/>
          <w:b/>
          <w:sz w:val="24"/>
        </w:rPr>
      </w:pPr>
    </w:p>
    <w:p w:rsidR="009958A0" w:rsidRPr="00AE77ED" w:rsidRDefault="00AE77ED" w:rsidP="00AE77ED">
      <w:pPr>
        <w:pStyle w:val="ListParagraph"/>
        <w:numPr>
          <w:ilvl w:val="0"/>
          <w:numId w:val="2"/>
        </w:numPr>
        <w:spacing w:after="0" w:line="240" w:lineRule="auto"/>
        <w:rPr>
          <w:rFonts w:ascii="Times New Roman" w:hAnsi="Times New Roman"/>
          <w:b/>
          <w:i/>
          <w:sz w:val="24"/>
        </w:rPr>
      </w:pPr>
      <w:r w:rsidRPr="00AE77ED">
        <w:rPr>
          <w:rFonts w:ascii="Times New Roman" w:hAnsi="Times New Roman"/>
          <w:b/>
          <w:i/>
          <w:sz w:val="24"/>
        </w:rPr>
        <w:lastRenderedPageBreak/>
        <w:t>Intellectual Property Protection</w:t>
      </w:r>
    </w:p>
    <w:p w:rsidR="009958A0" w:rsidRDefault="009958A0" w:rsidP="009958A0">
      <w:pPr>
        <w:pStyle w:val="ListParagraph"/>
        <w:spacing w:after="0" w:line="240" w:lineRule="auto"/>
        <w:ind w:left="0"/>
        <w:rPr>
          <w:rFonts w:ascii="Times New Roman" w:hAnsi="Times New Roman"/>
          <w:b/>
          <w:sz w:val="24"/>
        </w:rPr>
      </w:pPr>
    </w:p>
    <w:p w:rsidR="009958A0" w:rsidRDefault="009958A0" w:rsidP="009958A0">
      <w:pPr>
        <w:pStyle w:val="ListParagraph"/>
        <w:spacing w:after="0" w:line="240" w:lineRule="auto"/>
        <w:ind w:left="0"/>
        <w:rPr>
          <w:rFonts w:ascii="Times New Roman" w:hAnsi="Times New Roman"/>
          <w:sz w:val="24"/>
        </w:rPr>
      </w:pPr>
      <w:r>
        <w:rPr>
          <w:rFonts w:ascii="Times New Roman" w:hAnsi="Times New Roman"/>
          <w:sz w:val="24"/>
        </w:rPr>
        <w:t>The GAC advises the ICANN Board to instruct ICANN staff to amend the provisions related to intellectual property protection as follows:</w:t>
      </w:r>
    </w:p>
    <w:p w:rsidR="009958A0" w:rsidRDefault="009958A0" w:rsidP="009958A0">
      <w:pPr>
        <w:pStyle w:val="ListParagraph"/>
        <w:spacing w:after="0" w:line="240" w:lineRule="auto"/>
        <w:ind w:left="0"/>
        <w:rPr>
          <w:rFonts w:ascii="Times New Roman" w:hAnsi="Times New Roman"/>
          <w:sz w:val="24"/>
        </w:rPr>
      </w:pPr>
    </w:p>
    <w:p w:rsidR="009958A0" w:rsidRDefault="009958A0" w:rsidP="009958A0">
      <w:pPr>
        <w:spacing w:after="0" w:line="240" w:lineRule="auto"/>
        <w:ind w:left="720"/>
        <w:rPr>
          <w:rFonts w:ascii="Times New Roman" w:hAnsi="Times New Roman"/>
          <w:b/>
          <w:sz w:val="24"/>
        </w:rPr>
      </w:pPr>
      <w:r w:rsidRPr="0047330C">
        <w:rPr>
          <w:rFonts w:ascii="Times New Roman" w:hAnsi="Times New Roman"/>
          <w:b/>
          <w:sz w:val="24"/>
        </w:rPr>
        <w:t xml:space="preserve">Trademark Clearinghouse:  </w:t>
      </w:r>
    </w:p>
    <w:p w:rsidR="009958A0" w:rsidRDefault="009958A0" w:rsidP="009958A0">
      <w:pPr>
        <w:pStyle w:val="ListParagraph"/>
        <w:numPr>
          <w:ilvl w:val="0"/>
          <w:numId w:val="3"/>
        </w:numPr>
        <w:spacing w:after="0" w:line="240" w:lineRule="auto"/>
        <w:rPr>
          <w:rFonts w:ascii="Times New Roman" w:hAnsi="Times New Roman"/>
          <w:sz w:val="24"/>
        </w:rPr>
      </w:pPr>
      <w:r w:rsidRPr="0047330C">
        <w:rPr>
          <w:rFonts w:ascii="Times New Roman" w:hAnsi="Times New Roman"/>
          <w:sz w:val="24"/>
        </w:rPr>
        <w:t>Delete the definition of “substantive evaluation” to make it clear that any trademark registration, regardless of whether examined on substantive or relative grounds, can qualify for participation in the pre-launch sunrise mechanisms.</w:t>
      </w:r>
    </w:p>
    <w:p w:rsidR="009958A0" w:rsidRDefault="009958A0" w:rsidP="009958A0">
      <w:pPr>
        <w:pStyle w:val="ListParagraph"/>
        <w:numPr>
          <w:ilvl w:val="0"/>
          <w:numId w:val="3"/>
        </w:numPr>
        <w:spacing w:after="0" w:line="240" w:lineRule="auto"/>
        <w:rPr>
          <w:rFonts w:ascii="Times New Roman" w:hAnsi="Times New Roman"/>
          <w:sz w:val="24"/>
        </w:rPr>
      </w:pPr>
      <w:r>
        <w:rPr>
          <w:rFonts w:ascii="Times New Roman" w:hAnsi="Times New Roman"/>
          <w:sz w:val="24"/>
        </w:rPr>
        <w:t>Expand the Trademark Clearinghouse to cover “trademark + keyword” or typographical variations specified by the right</w:t>
      </w:r>
      <w:r w:rsidR="00197F26">
        <w:rPr>
          <w:rFonts w:ascii="Times New Roman" w:hAnsi="Times New Roman"/>
          <w:sz w:val="24"/>
        </w:rPr>
        <w:t>s</w:t>
      </w:r>
      <w:r>
        <w:rPr>
          <w:rFonts w:ascii="Times New Roman" w:hAnsi="Times New Roman"/>
          <w:sz w:val="24"/>
        </w:rPr>
        <w:t xml:space="preserve"> holder.</w:t>
      </w:r>
    </w:p>
    <w:p w:rsidR="009958A0" w:rsidRDefault="009958A0" w:rsidP="009958A0">
      <w:pPr>
        <w:pStyle w:val="ListParagraph"/>
        <w:numPr>
          <w:ilvl w:val="0"/>
          <w:numId w:val="3"/>
        </w:numPr>
        <w:spacing w:after="0" w:line="240" w:lineRule="auto"/>
        <w:rPr>
          <w:rFonts w:ascii="Times New Roman" w:hAnsi="Times New Roman"/>
          <w:sz w:val="24"/>
        </w:rPr>
      </w:pPr>
      <w:r>
        <w:rPr>
          <w:rFonts w:ascii="Times New Roman" w:hAnsi="Times New Roman"/>
          <w:sz w:val="24"/>
        </w:rPr>
        <w:t>Ensure that the Trademark Clearinghouse protection mechanism continues after initial launch.</w:t>
      </w:r>
    </w:p>
    <w:p w:rsidR="009958A0" w:rsidRDefault="009958A0" w:rsidP="009958A0">
      <w:pPr>
        <w:pStyle w:val="ListParagraph"/>
        <w:spacing w:after="0" w:line="240" w:lineRule="auto"/>
        <w:ind w:left="1080"/>
        <w:rPr>
          <w:rFonts w:ascii="Times New Roman" w:hAnsi="Times New Roman"/>
          <w:sz w:val="24"/>
        </w:rPr>
      </w:pPr>
    </w:p>
    <w:p w:rsidR="009958A0" w:rsidRDefault="009958A0" w:rsidP="009958A0">
      <w:pPr>
        <w:pStyle w:val="ListParagraph"/>
        <w:spacing w:after="0" w:line="240" w:lineRule="auto"/>
        <w:rPr>
          <w:rFonts w:ascii="Times New Roman" w:hAnsi="Times New Roman"/>
          <w:b/>
          <w:sz w:val="24"/>
        </w:rPr>
      </w:pPr>
      <w:r>
        <w:rPr>
          <w:rFonts w:ascii="Times New Roman" w:hAnsi="Times New Roman"/>
          <w:b/>
          <w:sz w:val="24"/>
        </w:rPr>
        <w:t>Uniform Rapid Suspension (URS):</w:t>
      </w:r>
    </w:p>
    <w:p w:rsidR="009958A0" w:rsidRDefault="009958A0" w:rsidP="009958A0">
      <w:pPr>
        <w:pStyle w:val="ListParagraph"/>
        <w:numPr>
          <w:ilvl w:val="0"/>
          <w:numId w:val="4"/>
        </w:numPr>
        <w:spacing w:after="0" w:line="240" w:lineRule="auto"/>
        <w:rPr>
          <w:rFonts w:ascii="Times New Roman" w:hAnsi="Times New Roman"/>
          <w:sz w:val="24"/>
        </w:rPr>
      </w:pPr>
      <w:r>
        <w:rPr>
          <w:rFonts w:ascii="Times New Roman" w:hAnsi="Times New Roman"/>
          <w:sz w:val="24"/>
        </w:rPr>
        <w:t>Shorten the time for filing an appeal in default cases from the current 2 year review period to a considerably shorter time.</w:t>
      </w:r>
    </w:p>
    <w:p w:rsidR="009958A0" w:rsidRDefault="009958A0" w:rsidP="009958A0">
      <w:pPr>
        <w:pStyle w:val="ListParagraph"/>
        <w:numPr>
          <w:ilvl w:val="0"/>
          <w:numId w:val="4"/>
        </w:numPr>
        <w:spacing w:after="0" w:line="240" w:lineRule="auto"/>
        <w:rPr>
          <w:rFonts w:ascii="Times New Roman" w:hAnsi="Times New Roman"/>
          <w:sz w:val="24"/>
        </w:rPr>
      </w:pPr>
      <w:r>
        <w:rPr>
          <w:rFonts w:ascii="Times New Roman" w:hAnsi="Times New Roman"/>
          <w:sz w:val="24"/>
        </w:rPr>
        <w:t>Add a “loser pays” model applicable to domain name registrants.</w:t>
      </w:r>
    </w:p>
    <w:p w:rsidR="009958A0" w:rsidRDefault="009958A0" w:rsidP="009958A0">
      <w:pPr>
        <w:pStyle w:val="ListParagraph"/>
        <w:numPr>
          <w:ilvl w:val="0"/>
          <w:numId w:val="4"/>
        </w:numPr>
        <w:spacing w:after="0" w:line="240" w:lineRule="auto"/>
        <w:rPr>
          <w:rFonts w:ascii="Times New Roman" w:hAnsi="Times New Roman"/>
          <w:sz w:val="24"/>
        </w:rPr>
      </w:pPr>
      <w:r>
        <w:rPr>
          <w:rFonts w:ascii="Times New Roman" w:hAnsi="Times New Roman"/>
          <w:sz w:val="24"/>
        </w:rPr>
        <w:t>Include the ability to transfer a domain name, so that the complainant is not forced to pursue a further UDRP proceeding to secure the transfer.</w:t>
      </w:r>
    </w:p>
    <w:p w:rsidR="009958A0" w:rsidRDefault="009958A0" w:rsidP="009958A0">
      <w:pPr>
        <w:spacing w:after="0" w:line="240" w:lineRule="auto"/>
        <w:ind w:left="720"/>
        <w:rPr>
          <w:rFonts w:ascii="Times New Roman" w:hAnsi="Times New Roman"/>
          <w:sz w:val="24"/>
        </w:rPr>
      </w:pPr>
    </w:p>
    <w:p w:rsidR="009958A0" w:rsidRDefault="009958A0" w:rsidP="009958A0">
      <w:pPr>
        <w:spacing w:after="0" w:line="240" w:lineRule="auto"/>
        <w:ind w:left="720"/>
        <w:rPr>
          <w:rFonts w:ascii="Times New Roman" w:hAnsi="Times New Roman"/>
          <w:sz w:val="24"/>
        </w:rPr>
      </w:pPr>
      <w:r>
        <w:rPr>
          <w:rFonts w:ascii="Times New Roman" w:hAnsi="Times New Roman"/>
          <w:b/>
          <w:sz w:val="24"/>
        </w:rPr>
        <w:t xml:space="preserve">Post-delegation Dispute Resolution Procedure (PDDRP):  </w:t>
      </w:r>
      <w:r w:rsidRPr="0072681F">
        <w:rPr>
          <w:rFonts w:ascii="Times New Roman" w:hAnsi="Times New Roman"/>
          <w:sz w:val="24"/>
        </w:rPr>
        <w:t>Amend the standard of proof from “clear and convincing evidence” to a “preponderance of evidence”</w:t>
      </w:r>
      <w:r>
        <w:rPr>
          <w:rFonts w:ascii="Times New Roman" w:hAnsi="Times New Roman"/>
          <w:sz w:val="24"/>
        </w:rPr>
        <w:t>.</w:t>
      </w:r>
    </w:p>
    <w:p w:rsidR="009958A0" w:rsidRDefault="009958A0" w:rsidP="009958A0">
      <w:pPr>
        <w:spacing w:after="0" w:line="240" w:lineRule="auto"/>
        <w:ind w:left="720"/>
        <w:rPr>
          <w:rFonts w:ascii="Times New Roman" w:hAnsi="Times New Roman"/>
          <w:sz w:val="24"/>
        </w:rPr>
      </w:pPr>
    </w:p>
    <w:p w:rsidR="009958A0" w:rsidRDefault="009958A0" w:rsidP="009958A0">
      <w:pPr>
        <w:spacing w:after="0" w:line="240" w:lineRule="auto"/>
        <w:ind w:left="720"/>
        <w:rPr>
          <w:rFonts w:ascii="Times New Roman" w:hAnsi="Times New Roman"/>
          <w:sz w:val="24"/>
        </w:rPr>
      </w:pPr>
      <w:r>
        <w:rPr>
          <w:rFonts w:ascii="Times New Roman" w:hAnsi="Times New Roman"/>
          <w:b/>
          <w:sz w:val="24"/>
        </w:rPr>
        <w:t>Explanation:</w:t>
      </w:r>
      <w:r>
        <w:rPr>
          <w:rFonts w:ascii="Times New Roman" w:hAnsi="Times New Roman"/>
          <w:sz w:val="24"/>
        </w:rPr>
        <w:t xml:space="preserve">  These amendments would ensure that all trademark registrations could qualify for participation in the pre-launch sunrise mechanism, and would be consistent with existing best practices (see e.g. the policies for .</w:t>
      </w:r>
      <w:proofErr w:type="spellStart"/>
      <w:r>
        <w:rPr>
          <w:rFonts w:ascii="Times New Roman" w:hAnsi="Times New Roman"/>
          <w:sz w:val="24"/>
        </w:rPr>
        <w:t>eu</w:t>
      </w:r>
      <w:proofErr w:type="spellEnd"/>
      <w:r>
        <w:rPr>
          <w:rFonts w:ascii="Times New Roman" w:hAnsi="Times New Roman"/>
          <w:sz w:val="24"/>
        </w:rPr>
        <w:t>, .</w:t>
      </w:r>
      <w:proofErr w:type="spellStart"/>
      <w:r>
        <w:rPr>
          <w:rFonts w:ascii="Times New Roman" w:hAnsi="Times New Roman"/>
          <w:sz w:val="24"/>
        </w:rPr>
        <w:t>tel</w:t>
      </w:r>
      <w:proofErr w:type="spellEnd"/>
      <w:r>
        <w:rPr>
          <w:rFonts w:ascii="Times New Roman" w:hAnsi="Times New Roman"/>
          <w:sz w:val="24"/>
        </w:rPr>
        <w:t>, and .</w:t>
      </w:r>
      <w:proofErr w:type="spellStart"/>
      <w:r>
        <w:rPr>
          <w:rFonts w:ascii="Times New Roman" w:hAnsi="Times New Roman"/>
          <w:sz w:val="24"/>
        </w:rPr>
        <w:t>asia</w:t>
      </w:r>
      <w:proofErr w:type="spellEnd"/>
      <w:r>
        <w:rPr>
          <w:rFonts w:ascii="Times New Roman" w:hAnsi="Times New Roman"/>
          <w:sz w:val="24"/>
        </w:rPr>
        <w:t xml:space="preserve">).  They will also ensure that the URS provides an effective remedy, and that the PDDRP is consistent with requirements in a civil action for contributory trademark infringement action or unfair competition.  Finally, these amendments are necessary to ameliorate the high costs for brand owners, as outlined in the economic analyses by Katz, </w:t>
      </w:r>
      <w:proofErr w:type="spellStart"/>
      <w:r>
        <w:rPr>
          <w:rFonts w:ascii="Times New Roman" w:hAnsi="Times New Roman"/>
          <w:sz w:val="24"/>
        </w:rPr>
        <w:t>Rosston</w:t>
      </w:r>
      <w:proofErr w:type="spellEnd"/>
      <w:r>
        <w:rPr>
          <w:rFonts w:ascii="Times New Roman" w:hAnsi="Times New Roman"/>
          <w:sz w:val="24"/>
        </w:rPr>
        <w:t xml:space="preserve"> and Sullivan.</w:t>
      </w:r>
    </w:p>
    <w:p w:rsidR="009958A0" w:rsidRDefault="009958A0" w:rsidP="009958A0">
      <w:pPr>
        <w:spacing w:after="0" w:line="240" w:lineRule="auto"/>
        <w:ind w:left="720"/>
        <w:rPr>
          <w:rFonts w:ascii="Times New Roman" w:hAnsi="Times New Roman"/>
          <w:sz w:val="24"/>
        </w:rPr>
      </w:pPr>
    </w:p>
    <w:p w:rsidR="009958A0" w:rsidRDefault="00AE77ED" w:rsidP="009958A0">
      <w:pPr>
        <w:pStyle w:val="ListParagraph"/>
        <w:spacing w:after="0" w:line="240" w:lineRule="auto"/>
        <w:ind w:left="0"/>
        <w:rPr>
          <w:rFonts w:ascii="Times New Roman" w:hAnsi="Times New Roman"/>
          <w:b/>
          <w:sz w:val="24"/>
        </w:rPr>
      </w:pPr>
      <w:r>
        <w:rPr>
          <w:rFonts w:ascii="Times New Roman" w:hAnsi="Times New Roman"/>
          <w:b/>
          <w:sz w:val="24"/>
        </w:rPr>
        <w:t>5</w:t>
      </w:r>
      <w:r w:rsidRPr="00AE77ED">
        <w:rPr>
          <w:rFonts w:ascii="Times New Roman" w:hAnsi="Times New Roman"/>
          <w:b/>
          <w:i/>
          <w:sz w:val="24"/>
        </w:rPr>
        <w:t>.   LEA Recommendations</w:t>
      </w:r>
    </w:p>
    <w:p w:rsidR="009958A0" w:rsidRDefault="009958A0" w:rsidP="009958A0">
      <w:pPr>
        <w:spacing w:after="0" w:line="240" w:lineRule="auto"/>
        <w:rPr>
          <w:rFonts w:ascii="Times New Roman" w:hAnsi="Times New Roman"/>
          <w:b/>
          <w:sz w:val="24"/>
        </w:rPr>
      </w:pPr>
    </w:p>
    <w:p w:rsidR="009958A0" w:rsidRDefault="009958A0" w:rsidP="009958A0">
      <w:pPr>
        <w:spacing w:after="0" w:line="240" w:lineRule="auto"/>
        <w:rPr>
          <w:rFonts w:ascii="Times New Roman" w:hAnsi="Times New Roman"/>
          <w:sz w:val="24"/>
        </w:rPr>
      </w:pPr>
      <w:r>
        <w:rPr>
          <w:rFonts w:ascii="Times New Roman" w:hAnsi="Times New Roman"/>
          <w:sz w:val="24"/>
        </w:rPr>
        <w:t>The GAC advises the ICANN Board to instruct ICANN staff to amend the final Draft Applicant Guidebook as follows:</w:t>
      </w:r>
    </w:p>
    <w:p w:rsidR="009958A0" w:rsidRDefault="009958A0" w:rsidP="009958A0">
      <w:pPr>
        <w:spacing w:after="0" w:line="240" w:lineRule="auto"/>
        <w:rPr>
          <w:rFonts w:ascii="Times New Roman" w:hAnsi="Times New Roman"/>
          <w:sz w:val="24"/>
        </w:rPr>
      </w:pPr>
    </w:p>
    <w:p w:rsidR="009958A0" w:rsidRDefault="009958A0" w:rsidP="009958A0">
      <w:pPr>
        <w:spacing w:after="0" w:line="240" w:lineRule="auto"/>
        <w:ind w:left="720"/>
        <w:rPr>
          <w:rFonts w:ascii="Times New Roman" w:hAnsi="Times New Roman"/>
          <w:b/>
          <w:sz w:val="24"/>
        </w:rPr>
      </w:pPr>
      <w:r>
        <w:rPr>
          <w:rFonts w:ascii="Times New Roman" w:hAnsi="Times New Roman"/>
          <w:b/>
          <w:sz w:val="24"/>
        </w:rPr>
        <w:t>Module 1:</w:t>
      </w:r>
    </w:p>
    <w:p w:rsidR="009958A0" w:rsidRDefault="009958A0" w:rsidP="009958A0">
      <w:pPr>
        <w:pStyle w:val="ListParagraph"/>
        <w:numPr>
          <w:ilvl w:val="0"/>
          <w:numId w:val="5"/>
        </w:numPr>
        <w:spacing w:after="0" w:line="240" w:lineRule="auto"/>
        <w:rPr>
          <w:rFonts w:ascii="Times New Roman" w:hAnsi="Times New Roman"/>
          <w:sz w:val="24"/>
        </w:rPr>
      </w:pPr>
      <w:r>
        <w:rPr>
          <w:rFonts w:ascii="Times New Roman" w:hAnsi="Times New Roman"/>
          <w:sz w:val="24"/>
        </w:rPr>
        <w:t>I</w:t>
      </w:r>
      <w:r w:rsidRPr="00284F1B">
        <w:rPr>
          <w:rFonts w:ascii="Times New Roman" w:hAnsi="Times New Roman"/>
          <w:sz w:val="24"/>
        </w:rPr>
        <w:t>nclude other criminal convictions as criteria for disqualification, such as Internet-related crimes (felony or misdemeanor) or drugs.</w:t>
      </w:r>
    </w:p>
    <w:p w:rsidR="009958A0" w:rsidRDefault="009958A0" w:rsidP="009958A0">
      <w:pPr>
        <w:pStyle w:val="ListParagraph"/>
        <w:numPr>
          <w:ilvl w:val="0"/>
          <w:numId w:val="5"/>
        </w:numPr>
        <w:spacing w:after="0" w:line="240" w:lineRule="auto"/>
        <w:rPr>
          <w:rFonts w:ascii="Times New Roman" w:hAnsi="Times New Roman"/>
          <w:sz w:val="24"/>
        </w:rPr>
      </w:pPr>
      <w:r>
        <w:rPr>
          <w:rFonts w:ascii="Times New Roman" w:hAnsi="Times New Roman"/>
          <w:sz w:val="24"/>
        </w:rPr>
        <w:t>Assign higher weight to applicants offering the highest levels of security to minimize the potential for malicious activity, particularly for those strings that present a higher risk of serving as venues for criminal, fraudulent or illegal conduct (e.g. such as those related to children, health-care, financial services, etc.)</w:t>
      </w:r>
    </w:p>
    <w:p w:rsidR="0098383C" w:rsidRDefault="0098383C" w:rsidP="009958A0">
      <w:pPr>
        <w:pStyle w:val="ListParagraph"/>
        <w:spacing w:after="0" w:line="240" w:lineRule="auto"/>
        <w:rPr>
          <w:rFonts w:ascii="Times New Roman" w:hAnsi="Times New Roman"/>
          <w:b/>
          <w:sz w:val="24"/>
        </w:rPr>
      </w:pPr>
    </w:p>
    <w:p w:rsidR="0098383C" w:rsidRDefault="0098383C" w:rsidP="009958A0">
      <w:pPr>
        <w:pStyle w:val="ListParagraph"/>
        <w:spacing w:after="0" w:line="240" w:lineRule="auto"/>
        <w:rPr>
          <w:rFonts w:ascii="Times New Roman" w:hAnsi="Times New Roman"/>
          <w:b/>
          <w:sz w:val="24"/>
        </w:rPr>
      </w:pPr>
    </w:p>
    <w:p w:rsidR="009958A0" w:rsidRPr="00047E27" w:rsidRDefault="009958A0" w:rsidP="009958A0">
      <w:pPr>
        <w:pStyle w:val="ListParagraph"/>
        <w:spacing w:after="0" w:line="240" w:lineRule="auto"/>
        <w:rPr>
          <w:rFonts w:ascii="Times New Roman" w:hAnsi="Times New Roman"/>
          <w:b/>
          <w:sz w:val="24"/>
        </w:rPr>
      </w:pPr>
      <w:r w:rsidRPr="00047E27">
        <w:rPr>
          <w:rFonts w:ascii="Times New Roman" w:hAnsi="Times New Roman"/>
          <w:b/>
          <w:sz w:val="24"/>
        </w:rPr>
        <w:lastRenderedPageBreak/>
        <w:t>Module 2:</w:t>
      </w:r>
    </w:p>
    <w:p w:rsidR="009958A0" w:rsidRDefault="009958A0" w:rsidP="009958A0">
      <w:pPr>
        <w:pStyle w:val="ListParagraph"/>
        <w:numPr>
          <w:ilvl w:val="0"/>
          <w:numId w:val="6"/>
        </w:numPr>
        <w:spacing w:after="0" w:line="240" w:lineRule="auto"/>
        <w:rPr>
          <w:rFonts w:ascii="Times New Roman" w:hAnsi="Times New Roman"/>
          <w:sz w:val="24"/>
        </w:rPr>
      </w:pPr>
      <w:r w:rsidRPr="00047E27">
        <w:rPr>
          <w:rFonts w:ascii="Times New Roman" w:hAnsi="Times New Roman"/>
          <w:sz w:val="24"/>
        </w:rPr>
        <w:t xml:space="preserve">Add domestic screening services, local to the applicant, to the international </w:t>
      </w:r>
      <w:r>
        <w:rPr>
          <w:rFonts w:ascii="Times New Roman" w:hAnsi="Times New Roman"/>
          <w:sz w:val="24"/>
        </w:rPr>
        <w:t>screening services.</w:t>
      </w:r>
    </w:p>
    <w:p w:rsidR="009958A0" w:rsidRDefault="009958A0" w:rsidP="009958A0">
      <w:pPr>
        <w:pStyle w:val="ListParagraph"/>
        <w:numPr>
          <w:ilvl w:val="0"/>
          <w:numId w:val="6"/>
        </w:numPr>
        <w:spacing w:after="0" w:line="240" w:lineRule="auto"/>
        <w:rPr>
          <w:rFonts w:ascii="Times New Roman" w:hAnsi="Times New Roman"/>
          <w:sz w:val="24"/>
        </w:rPr>
      </w:pPr>
      <w:r>
        <w:rPr>
          <w:rFonts w:ascii="Times New Roman" w:hAnsi="Times New Roman"/>
          <w:sz w:val="24"/>
        </w:rPr>
        <w:t>Add criminal background checks to the Initial Evaluation.</w:t>
      </w:r>
    </w:p>
    <w:p w:rsidR="009958A0" w:rsidRDefault="009958A0" w:rsidP="009958A0">
      <w:pPr>
        <w:pStyle w:val="ListParagraph"/>
        <w:numPr>
          <w:ilvl w:val="0"/>
          <w:numId w:val="6"/>
        </w:numPr>
        <w:spacing w:after="0" w:line="240" w:lineRule="auto"/>
        <w:rPr>
          <w:rFonts w:ascii="Times New Roman" w:hAnsi="Times New Roman"/>
          <w:sz w:val="24"/>
        </w:rPr>
      </w:pPr>
      <w:r>
        <w:rPr>
          <w:rFonts w:ascii="Times New Roman" w:hAnsi="Times New Roman"/>
          <w:sz w:val="24"/>
        </w:rPr>
        <w:t xml:space="preserve">Amend the statement that the results of due diligence efforts will not be posted to a positive commitment to make such results publicly available </w:t>
      </w:r>
    </w:p>
    <w:p w:rsidR="009958A0" w:rsidRDefault="009958A0" w:rsidP="009958A0">
      <w:pPr>
        <w:pStyle w:val="ListParagraph"/>
        <w:numPr>
          <w:ilvl w:val="0"/>
          <w:numId w:val="6"/>
        </w:numPr>
        <w:spacing w:after="0" w:line="240" w:lineRule="auto"/>
        <w:rPr>
          <w:rFonts w:ascii="Times New Roman" w:hAnsi="Times New Roman"/>
          <w:sz w:val="24"/>
        </w:rPr>
      </w:pPr>
      <w:r>
        <w:rPr>
          <w:rFonts w:ascii="Times New Roman" w:hAnsi="Times New Roman"/>
          <w:sz w:val="24"/>
        </w:rPr>
        <w:t>Maintain requirements that WHOIS data be accurate and publicly available.</w:t>
      </w:r>
    </w:p>
    <w:p w:rsidR="009958A0" w:rsidRDefault="009958A0" w:rsidP="009958A0">
      <w:pPr>
        <w:pStyle w:val="ListParagraph"/>
        <w:spacing w:after="0" w:line="240" w:lineRule="auto"/>
        <w:ind w:left="1080"/>
        <w:rPr>
          <w:rFonts w:ascii="Times New Roman" w:hAnsi="Times New Roman"/>
          <w:sz w:val="24"/>
        </w:rPr>
      </w:pPr>
    </w:p>
    <w:p w:rsidR="009958A0" w:rsidRDefault="009958A0" w:rsidP="009958A0">
      <w:pPr>
        <w:pStyle w:val="ListParagraph"/>
        <w:spacing w:after="0" w:line="240" w:lineRule="auto"/>
        <w:rPr>
          <w:rFonts w:ascii="Times New Roman" w:hAnsi="Times New Roman"/>
          <w:sz w:val="24"/>
        </w:rPr>
      </w:pPr>
      <w:r>
        <w:rPr>
          <w:rFonts w:ascii="Times New Roman" w:hAnsi="Times New Roman"/>
          <w:b/>
          <w:sz w:val="24"/>
        </w:rPr>
        <w:t>Explanation:</w:t>
      </w:r>
      <w:r>
        <w:rPr>
          <w:rFonts w:ascii="Times New Roman" w:hAnsi="Times New Roman"/>
          <w:sz w:val="24"/>
        </w:rPr>
        <w:t xml:space="preserve">  These amendments will improve the prospects for mitigating malicious conduct and ensuring that criminal elements are hindered from using the DNS for criminal and illegal activities.  The GAC also strongly encourages, and will contribute LEA expertise to this activity, further work on the high level security zone requirements.</w:t>
      </w:r>
    </w:p>
    <w:p w:rsidR="009958A0" w:rsidRPr="003439A7" w:rsidRDefault="009958A0" w:rsidP="009958A0">
      <w:pPr>
        <w:pStyle w:val="ListParagraph"/>
        <w:spacing w:after="0" w:line="240" w:lineRule="auto"/>
        <w:rPr>
          <w:rFonts w:ascii="Times New Roman" w:hAnsi="Times New Roman"/>
          <w:sz w:val="24"/>
        </w:rPr>
      </w:pPr>
    </w:p>
    <w:p w:rsidR="00263923" w:rsidRDefault="00263923"/>
    <w:sectPr w:rsidR="00263923" w:rsidSect="006A05E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1F" w:rsidRDefault="00DA161F" w:rsidP="009958A0">
      <w:pPr>
        <w:spacing w:after="0" w:line="240" w:lineRule="auto"/>
      </w:pPr>
      <w:r>
        <w:separator/>
      </w:r>
    </w:p>
  </w:endnote>
  <w:endnote w:type="continuationSeparator" w:id="0">
    <w:p w:rsidR="00DA161F" w:rsidRDefault="00DA161F" w:rsidP="00995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2891"/>
      <w:docPartObj>
        <w:docPartGallery w:val="Page Numbers (Bottom of Page)"/>
        <w:docPartUnique/>
      </w:docPartObj>
    </w:sdtPr>
    <w:sdtContent>
      <w:p w:rsidR="0098383C" w:rsidRDefault="00AB6576">
        <w:pPr>
          <w:pStyle w:val="Footer"/>
          <w:jc w:val="center"/>
        </w:pPr>
        <w:r w:rsidRPr="0098383C">
          <w:rPr>
            <w:rFonts w:ascii="Times New Roman" w:hAnsi="Times New Roman"/>
            <w:sz w:val="24"/>
            <w:szCs w:val="24"/>
          </w:rPr>
          <w:fldChar w:fldCharType="begin"/>
        </w:r>
        <w:r w:rsidR="0098383C" w:rsidRPr="0098383C">
          <w:rPr>
            <w:rFonts w:ascii="Times New Roman" w:hAnsi="Times New Roman"/>
            <w:sz w:val="24"/>
            <w:szCs w:val="24"/>
          </w:rPr>
          <w:instrText xml:space="preserve"> PAGE   \* MERGEFORMAT </w:instrText>
        </w:r>
        <w:r w:rsidRPr="0098383C">
          <w:rPr>
            <w:rFonts w:ascii="Times New Roman" w:hAnsi="Times New Roman"/>
            <w:sz w:val="24"/>
            <w:szCs w:val="24"/>
          </w:rPr>
          <w:fldChar w:fldCharType="separate"/>
        </w:r>
        <w:r w:rsidR="00F64AC3">
          <w:rPr>
            <w:rFonts w:ascii="Times New Roman" w:hAnsi="Times New Roman"/>
            <w:noProof/>
            <w:sz w:val="24"/>
            <w:szCs w:val="24"/>
          </w:rPr>
          <w:t>5</w:t>
        </w:r>
        <w:r w:rsidRPr="0098383C">
          <w:rPr>
            <w:rFonts w:ascii="Times New Roman" w:hAnsi="Times New Roman"/>
            <w:sz w:val="24"/>
            <w:szCs w:val="24"/>
          </w:rPr>
          <w:fldChar w:fldCharType="end"/>
        </w:r>
      </w:p>
    </w:sdtContent>
  </w:sdt>
  <w:p w:rsidR="0098383C" w:rsidRDefault="00983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1F" w:rsidRDefault="00DA161F" w:rsidP="009958A0">
      <w:pPr>
        <w:spacing w:after="0" w:line="240" w:lineRule="auto"/>
      </w:pPr>
      <w:r>
        <w:separator/>
      </w:r>
    </w:p>
  </w:footnote>
  <w:footnote w:type="continuationSeparator" w:id="0">
    <w:p w:rsidR="00DA161F" w:rsidRDefault="00DA161F" w:rsidP="009958A0">
      <w:pPr>
        <w:spacing w:after="0" w:line="240" w:lineRule="auto"/>
      </w:pPr>
      <w:r>
        <w:continuationSeparator/>
      </w:r>
    </w:p>
  </w:footnote>
  <w:footnote w:id="1">
    <w:p w:rsidR="009958A0" w:rsidRDefault="009958A0" w:rsidP="009958A0">
      <w:pPr>
        <w:pStyle w:val="FootnoteText"/>
      </w:pPr>
      <w:r w:rsidRPr="004150C7">
        <w:rPr>
          <w:rStyle w:val="FootnoteReference"/>
        </w:rPr>
        <w:footnoteRef/>
      </w:r>
      <w:r w:rsidRPr="00F84104">
        <w:rPr>
          <w:rFonts w:ascii="Times New Roman" w:hAnsi="Times New Roman"/>
        </w:rPr>
        <w:t xml:space="preserve"> The GAC views consensus </w:t>
      </w:r>
      <w:r w:rsidRPr="004150C7">
        <w:rPr>
          <w:rFonts w:ascii="Times New Roman" w:hAnsi="Times New Roman"/>
        </w:rPr>
        <w:t xml:space="preserve">as a position voiced by one </w:t>
      </w:r>
      <w:r w:rsidR="007A7546">
        <w:rPr>
          <w:rFonts w:ascii="Times New Roman" w:hAnsi="Times New Roman"/>
        </w:rPr>
        <w:t xml:space="preserve">or more </w:t>
      </w:r>
      <w:r w:rsidRPr="004150C7">
        <w:rPr>
          <w:rFonts w:ascii="Times New Roman" w:hAnsi="Times New Roman"/>
        </w:rPr>
        <w:t>GAC member</w:t>
      </w:r>
      <w:r w:rsidR="007A7546">
        <w:rPr>
          <w:rFonts w:ascii="Times New Roman" w:hAnsi="Times New Roman"/>
        </w:rPr>
        <w:t>(s)</w:t>
      </w:r>
      <w:r w:rsidRPr="004150C7">
        <w:rPr>
          <w:rFonts w:ascii="Times New Roman" w:hAnsi="Times New Roman"/>
        </w:rPr>
        <w:t xml:space="preserve"> not objected to by other GAC</w:t>
      </w:r>
      <w:r w:rsidRPr="00F84104">
        <w:rPr>
          <w:rFonts w:ascii="Times New Roman" w:hAnsi="Times New Roman"/>
        </w:rPr>
        <w:t xml:space="preserve"> member</w:t>
      </w:r>
      <w:r w:rsidRPr="004150C7">
        <w:rPr>
          <w:rFonts w:ascii="Times New Roman" w:hAnsi="Times New Roman"/>
        </w:rPr>
        <w:t>(</w:t>
      </w:r>
      <w:r w:rsidRPr="00F84104">
        <w:rPr>
          <w:rFonts w:ascii="Times New Roman" w:hAnsi="Times New Roman"/>
        </w:rPr>
        <w:t>s</w:t>
      </w:r>
      <w:r w:rsidRPr="004150C7">
        <w:rPr>
          <w:rFonts w:ascii="Times New Roman" w:hAnsi="Times New Roman"/>
        </w:rPr>
        <w:t>)</w:t>
      </w:r>
      <w:r w:rsidRPr="00F84104">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5E68"/>
    <w:multiLevelType w:val="hybridMultilevel"/>
    <w:tmpl w:val="235CC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D1921"/>
    <w:multiLevelType w:val="hybridMultilevel"/>
    <w:tmpl w:val="81262C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D2E96"/>
    <w:multiLevelType w:val="hybridMultilevel"/>
    <w:tmpl w:val="CE9E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62FBF"/>
    <w:multiLevelType w:val="hybridMultilevel"/>
    <w:tmpl w:val="E4D2C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137043"/>
    <w:multiLevelType w:val="hybridMultilevel"/>
    <w:tmpl w:val="64AA3E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2C689E"/>
    <w:multiLevelType w:val="hybridMultilevel"/>
    <w:tmpl w:val="9E220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2C61E3"/>
    <w:multiLevelType w:val="hybridMultilevel"/>
    <w:tmpl w:val="3BD0F8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AA699A"/>
    <w:multiLevelType w:val="hybridMultilevel"/>
    <w:tmpl w:val="1A243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9958A0"/>
    <w:rsid w:val="0000295B"/>
    <w:rsid w:val="00010799"/>
    <w:rsid w:val="0014674A"/>
    <w:rsid w:val="00197F26"/>
    <w:rsid w:val="00216EB9"/>
    <w:rsid w:val="00263923"/>
    <w:rsid w:val="002744D4"/>
    <w:rsid w:val="0042119A"/>
    <w:rsid w:val="004B49CF"/>
    <w:rsid w:val="005D56EB"/>
    <w:rsid w:val="00647676"/>
    <w:rsid w:val="00716BB6"/>
    <w:rsid w:val="007A7546"/>
    <w:rsid w:val="0098383C"/>
    <w:rsid w:val="009958A0"/>
    <w:rsid w:val="00A52D28"/>
    <w:rsid w:val="00AB6576"/>
    <w:rsid w:val="00AE77ED"/>
    <w:rsid w:val="00B759AF"/>
    <w:rsid w:val="00BB338C"/>
    <w:rsid w:val="00DA161F"/>
    <w:rsid w:val="00E5518D"/>
    <w:rsid w:val="00E75D5B"/>
    <w:rsid w:val="00EB704D"/>
    <w:rsid w:val="00F07B4B"/>
    <w:rsid w:val="00F64AC3"/>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A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A0"/>
    <w:pPr>
      <w:ind w:left="720"/>
      <w:contextualSpacing/>
    </w:pPr>
  </w:style>
  <w:style w:type="paragraph" w:styleId="FootnoteText">
    <w:name w:val="footnote text"/>
    <w:basedOn w:val="Normal"/>
    <w:link w:val="FootnoteTextChar"/>
    <w:uiPriority w:val="99"/>
    <w:semiHidden/>
    <w:rsid w:val="009958A0"/>
    <w:rPr>
      <w:sz w:val="24"/>
      <w:szCs w:val="24"/>
    </w:rPr>
  </w:style>
  <w:style w:type="character" w:customStyle="1" w:styleId="FootnoteTextChar">
    <w:name w:val="Footnote Text Char"/>
    <w:basedOn w:val="DefaultParagraphFont"/>
    <w:link w:val="FootnoteText"/>
    <w:uiPriority w:val="99"/>
    <w:semiHidden/>
    <w:rsid w:val="009958A0"/>
    <w:rPr>
      <w:rFonts w:ascii="Calibri" w:eastAsia="Calibri" w:hAnsi="Calibri" w:cs="Times New Roman"/>
      <w:sz w:val="24"/>
      <w:szCs w:val="24"/>
    </w:rPr>
  </w:style>
  <w:style w:type="character" w:styleId="FootnoteReference">
    <w:name w:val="footnote reference"/>
    <w:basedOn w:val="DefaultParagraphFont"/>
    <w:uiPriority w:val="99"/>
    <w:semiHidden/>
    <w:rsid w:val="009958A0"/>
    <w:rPr>
      <w:rFonts w:cs="Times New Roman"/>
      <w:vertAlign w:val="superscript"/>
    </w:rPr>
  </w:style>
  <w:style w:type="paragraph" w:styleId="Header">
    <w:name w:val="header"/>
    <w:basedOn w:val="Normal"/>
    <w:link w:val="HeaderChar"/>
    <w:uiPriority w:val="99"/>
    <w:semiHidden/>
    <w:unhideWhenUsed/>
    <w:rsid w:val="009838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383C"/>
    <w:rPr>
      <w:rFonts w:ascii="Calibri" w:eastAsia="Calibri" w:hAnsi="Calibri" w:cs="Times New Roman"/>
    </w:rPr>
  </w:style>
  <w:style w:type="paragraph" w:styleId="Footer">
    <w:name w:val="footer"/>
    <w:basedOn w:val="Normal"/>
    <w:link w:val="FooterChar"/>
    <w:uiPriority w:val="99"/>
    <w:unhideWhenUsed/>
    <w:rsid w:val="0098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83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9503-0722-4E15-A200-B0B63D23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SSene</dc:creator>
  <cp:keywords/>
  <dc:description/>
  <cp:lastModifiedBy>ssene</cp:lastModifiedBy>
  <cp:revision>2</cp:revision>
  <dcterms:created xsi:type="dcterms:W3CDTF">2011-01-28T19:49:00Z</dcterms:created>
  <dcterms:modified xsi:type="dcterms:W3CDTF">2011-01-28T19:49:00Z</dcterms:modified>
</cp:coreProperties>
</file>