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68" w:rsidRDefault="00EC665B">
      <w:pPr>
        <w:rPr>
          <w:rFonts w:ascii="Calibri" w:eastAsia="Times New Roman" w:hAnsi="Calibri" w:cs="Calibri"/>
          <w:b/>
          <w:bCs/>
          <w:sz w:val="20"/>
          <w:szCs w:val="20"/>
        </w:rPr>
      </w:pPr>
      <w:r>
        <w:rPr>
          <w:rFonts w:ascii="Calibri" w:eastAsia="MS Mincho" w:hAnsi="Calibri" w:cs="Calibri"/>
          <w:b/>
          <w:bCs/>
          <w:sz w:val="20"/>
          <w:szCs w:val="20"/>
        </w:rPr>
        <w:t>Measures of Consumer Trust </w:t>
      </w:r>
    </w:p>
    <w:p w:rsidR="00A13668" w:rsidRDefault="00A13668">
      <w:pPr>
        <w:rPr>
          <w:rFonts w:ascii="Calibri" w:eastAsia="Times New Roman" w:hAnsi="Calibri" w:cs="Calibri"/>
          <w:b/>
          <w:bCs/>
          <w:sz w:val="20"/>
          <w:szCs w:val="20"/>
        </w:rPr>
      </w:pPr>
    </w:p>
    <w:p w:rsidR="00A13668" w:rsidRDefault="00EC665B">
      <w:pPr>
        <w:rPr>
          <w:rFonts w:ascii="Calibri" w:eastAsia="Times New Roman" w:hAnsi="Calibri" w:cs="Calibri"/>
          <w:sz w:val="20"/>
          <w:szCs w:val="20"/>
        </w:rPr>
      </w:pPr>
      <w:r>
        <w:rPr>
          <w:rFonts w:ascii="Calibri" w:eastAsia="MS Mincho" w:hAnsi="Calibri" w:cs="Calibri"/>
          <w:sz w:val="20"/>
          <w:szCs w:val="20"/>
        </w:rPr>
        <w:t>For reference, the definitions of Consumer and Consumer Trust are repeated here:</w:t>
      </w:r>
    </w:p>
    <w:p w:rsidR="00A13668" w:rsidRDefault="00A13668">
      <w:pPr>
        <w:rPr>
          <w:rFonts w:ascii="Calibri" w:eastAsia="Times New Roman" w:hAnsi="Calibri" w:cs="Calibri"/>
          <w:sz w:val="20"/>
          <w:szCs w:val="20"/>
        </w:rPr>
      </w:pPr>
    </w:p>
    <w:p w:rsidR="00A13668" w:rsidRDefault="00EC665B">
      <w:pPr>
        <w:ind w:left="720"/>
        <w:rPr>
          <w:rFonts w:ascii="Calibri" w:eastAsia="Times New Roman" w:hAnsi="Calibri" w:cs="Calibri"/>
          <w:color w:val="000000"/>
          <w:sz w:val="20"/>
          <w:szCs w:val="20"/>
        </w:rPr>
      </w:pPr>
      <w:r>
        <w:rPr>
          <w:rFonts w:ascii="Calibri" w:eastAsia="MS Mincho" w:hAnsi="Calibri" w:cs="Calibri"/>
          <w:b/>
          <w:bCs/>
          <w:color w:val="000000"/>
          <w:sz w:val="20"/>
          <w:szCs w:val="20"/>
        </w:rPr>
        <w:t>Consumer</w:t>
      </w:r>
      <w:r>
        <w:rPr>
          <w:rFonts w:ascii="Calibri" w:eastAsia="MS Mincho" w:hAnsi="Calibri" w:cs="Calibri"/>
          <w:color w:val="000000"/>
          <w:sz w:val="20"/>
          <w:szCs w:val="20"/>
        </w:rPr>
        <w:t xml:space="preserve"> is defined as actual and potential Internet users and registrants.</w:t>
      </w:r>
    </w:p>
    <w:p w:rsidR="00A13668" w:rsidRDefault="00A13668">
      <w:pPr>
        <w:rPr>
          <w:rFonts w:ascii="Calibri" w:eastAsia="Times New Roman" w:hAnsi="Calibri" w:cs="Calibri"/>
          <w:b/>
          <w:bCs/>
          <w:sz w:val="20"/>
          <w:szCs w:val="20"/>
        </w:rPr>
      </w:pPr>
    </w:p>
    <w:p w:rsidR="00A13668" w:rsidRDefault="00EC665B">
      <w:pPr>
        <w:ind w:left="720"/>
        <w:rPr>
          <w:rFonts w:ascii="Calibri" w:eastAsia="Times New Roman" w:hAnsi="Calibri" w:cs="Calibri"/>
          <w:sz w:val="20"/>
          <w:szCs w:val="20"/>
        </w:rPr>
      </w:pPr>
      <w:r>
        <w:rPr>
          <w:rFonts w:ascii="Calibri" w:eastAsia="MS Mincho" w:hAnsi="Calibri" w:cs="Calibri"/>
          <w:b/>
          <w:bCs/>
          <w:sz w:val="20"/>
          <w:szCs w:val="20"/>
        </w:rPr>
        <w:t>Consumer Trust </w:t>
      </w:r>
      <w:r>
        <w:rPr>
          <w:rFonts w:ascii="Calibri" w:eastAsia="MS Mincho" w:hAnsi="Calibri" w:cs="Calibri"/>
          <w:sz w:val="20"/>
          <w:szCs w:val="20"/>
        </w:rPr>
        <w:t xml:space="preserve">is defined as the confidence registrants and users have in the consistency of name resolution and the degree of confidence among registrants and users that a TLD registry operator is fulfilling </w:t>
      </w:r>
      <w:proofErr w:type="spellStart"/>
      <w:r>
        <w:rPr>
          <w:rFonts w:ascii="Calibri" w:eastAsia="Times New Roman" w:hAnsi="Calibri" w:cs="Calibri"/>
          <w:strike/>
          <w:color w:val="FF0000"/>
          <w:sz w:val="22"/>
          <w:szCs w:val="22"/>
        </w:rPr>
        <w:t>its</w:t>
      </w:r>
      <w:r>
        <w:rPr>
          <w:rFonts w:ascii="Calibri" w:eastAsia="MS Mincho" w:hAnsi="Calibri" w:cs="Calibri"/>
          <w:color w:val="0000FF"/>
          <w:sz w:val="20"/>
          <w:szCs w:val="20"/>
          <w:u w:val="double" w:color="0000FF"/>
        </w:rPr>
        <w:t>the</w:t>
      </w:r>
      <w:proofErr w:type="spellEnd"/>
      <w:r>
        <w:rPr>
          <w:rFonts w:ascii="Calibri" w:eastAsia="MS Mincho" w:hAnsi="Calibri" w:cs="Calibri"/>
          <w:color w:val="0000FF"/>
          <w:sz w:val="20"/>
          <w:szCs w:val="20"/>
          <w:u w:val="double" w:color="0000FF"/>
        </w:rPr>
        <w:t xml:space="preserve"> Registry’s </w:t>
      </w:r>
      <w:r>
        <w:rPr>
          <w:rFonts w:ascii="Calibri" w:eastAsia="MS Mincho" w:hAnsi="Calibri" w:cs="Calibri"/>
          <w:sz w:val="20"/>
          <w:szCs w:val="20"/>
        </w:rPr>
        <w:t>proposed purpose and is complying with ICANN policies and applicable national laws.</w:t>
      </w:r>
    </w:p>
    <w:p w:rsidR="00A13668" w:rsidRDefault="00A13668">
      <w:pPr>
        <w:ind w:left="720"/>
        <w:rPr>
          <w:rFonts w:ascii="Calibri" w:eastAsia="Times New Roman" w:hAnsi="Calibri" w:cs="Calibri"/>
          <w:sz w:val="20"/>
          <w:szCs w:val="20"/>
        </w:rPr>
      </w:pPr>
    </w:p>
    <w:p w:rsidR="00A13668" w:rsidRDefault="00A13668">
      <w:pPr>
        <w:ind w:left="720"/>
        <w:rPr>
          <w:rFonts w:ascii="Calibri" w:eastAsia="Times New Roman" w:hAnsi="Calibri" w:cs="Calibri"/>
          <w:color w:val="0000FF"/>
          <w:sz w:val="20"/>
          <w:szCs w:val="20"/>
          <w:u w:val="double"/>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2817"/>
        <w:gridCol w:w="1080"/>
        <w:gridCol w:w="2790"/>
        <w:gridCol w:w="1530"/>
        <w:gridCol w:w="4653"/>
      </w:tblGrid>
      <w:tr w:rsidR="00A13668">
        <w:trPr>
          <w:trHeight w:val="690"/>
          <w:tblHeader/>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b/>
                <w:bCs/>
                <w:color w:val="000000"/>
                <w:sz w:val="20"/>
                <w:szCs w:val="20"/>
              </w:rPr>
            </w:pPr>
            <w:r>
              <w:rPr>
                <w:rFonts w:ascii="Calibri" w:eastAsia="MS Mincho" w:hAnsi="Calibri" w:cs="Calibri"/>
                <w:b/>
                <w:bCs/>
                <w:color w:val="000000"/>
                <w:sz w:val="20"/>
                <w:szCs w:val="20"/>
              </w:rPr>
              <w:t>Measure of Consumer Trust</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MS Mincho" w:hAnsi="Calibri" w:cs="Calibri"/>
                <w:b/>
                <w:bCs/>
                <w:color w:val="000000"/>
                <w:sz w:val="20"/>
                <w:szCs w:val="20"/>
              </w:rPr>
              <w:t>Source</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MS Mincho" w:hAnsi="Calibri" w:cs="Calibri"/>
                <w:b/>
                <w:bCs/>
                <w:color w:val="000000"/>
                <w:sz w:val="20"/>
                <w:szCs w:val="20"/>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MS Mincho" w:hAnsi="Calibri" w:cs="Calibri"/>
                <w:b/>
                <w:bCs/>
                <w:color w:val="000000"/>
                <w:sz w:val="20"/>
                <w:szCs w:val="20"/>
              </w:rPr>
            </w:pPr>
            <w:r>
              <w:rPr>
                <w:rFonts w:ascii="Calibri" w:eastAsia="MS Mincho" w:hAnsi="Calibri" w:cs="Calibri"/>
                <w:b/>
                <w:bCs/>
                <w:color w:val="000000"/>
                <w:sz w:val="20"/>
                <w:szCs w:val="20"/>
              </w:rPr>
              <w:t>3-year</w:t>
            </w:r>
          </w:p>
          <w:p w:rsidR="00A13668" w:rsidRDefault="00EC665B">
            <w:pPr>
              <w:widowControl/>
              <w:spacing w:before="60" w:after="60"/>
              <w:jc w:val="center"/>
              <w:rPr>
                <w:rFonts w:ascii="Calibri" w:eastAsia="MS Mincho" w:hAnsi="Calibri" w:cs="Calibri"/>
                <w:b/>
                <w:bCs/>
                <w:color w:val="000000"/>
                <w:sz w:val="20"/>
                <w:szCs w:val="20"/>
              </w:rPr>
            </w:pPr>
            <w:r>
              <w:rPr>
                <w:rFonts w:ascii="Calibri" w:eastAsia="MS Mincho" w:hAnsi="Calibri" w:cs="Calibri"/>
                <w:b/>
                <w:bCs/>
                <w:color w:val="000000"/>
                <w:sz w:val="20"/>
                <w:szCs w:val="20"/>
              </w:rPr>
              <w:t>Target</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b/>
                <w:bCs/>
                <w:color w:val="000000" w:themeColor="text1"/>
                <w:sz w:val="20"/>
                <w:szCs w:val="20"/>
                <w:u w:color="0000FF"/>
              </w:rPr>
            </w:pPr>
            <w:r w:rsidRPr="001A2CB1">
              <w:rPr>
                <w:rFonts w:ascii="Calibri" w:eastAsia="MS Mincho" w:hAnsi="Calibri" w:cs="Calibri"/>
                <w:b/>
                <w:bCs/>
                <w:color w:val="000000" w:themeColor="text1"/>
                <w:sz w:val="20"/>
                <w:szCs w:val="20"/>
                <w:u w:color="0000FF"/>
              </w:rPr>
              <w:t>INTA Internet Committee Comments</w:t>
            </w:r>
          </w:p>
        </w:tc>
      </w:tr>
      <w:tr w:rsidR="00A13668">
        <w:tc>
          <w:tcPr>
            <w:tcW w:w="8217" w:type="dxa"/>
            <w:gridSpan w:val="4"/>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i/>
                <w:iCs/>
                <w:color w:val="000000"/>
                <w:sz w:val="20"/>
                <w:szCs w:val="20"/>
              </w:rPr>
              <w:t>Measures related to confidence in registrations and resolutions:</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A13668">
            <w:pPr>
              <w:widowControl/>
              <w:spacing w:before="60" w:after="60"/>
              <w:rPr>
                <w:rFonts w:ascii="Calibri" w:eastAsia="Times New Roman" w:hAnsi="Calibri" w:cs="Calibri"/>
                <w:i/>
                <w:iCs/>
                <w:color w:val="000000" w:themeColor="text1"/>
                <w:sz w:val="20"/>
                <w:szCs w:val="20"/>
                <w:u w:color="0000FF"/>
              </w:rPr>
            </w:pP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DNS Service Availability (present SLA is 100%)</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ICANN</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100%</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Times New Roman" w:hAnsi="Calibri" w:cs="Calibri"/>
                <w:color w:val="000000" w:themeColor="text1"/>
                <w:sz w:val="20"/>
                <w:szCs w:val="20"/>
                <w:u w:color="0000FF"/>
              </w:rPr>
              <w:t>Support.</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Availability for Registration Data Directory Services (RDDS).   (SLA is 98%)</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ICANN</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98%</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Times New Roman" w:hAnsi="Calibri" w:cs="Calibri"/>
                <w:color w:val="000000" w:themeColor="text1"/>
                <w:sz w:val="20"/>
                <w:szCs w:val="20"/>
                <w:u w:color="0000FF"/>
              </w:rPr>
              <w:t>Support.</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of Service Availability for Extensible Provisioning Protocol (EPP).  (SLA is 98%)</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ICANN</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98%</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Times New Roman" w:hAnsi="Calibri" w:cs="Calibri"/>
                <w:color w:val="000000" w:themeColor="text1"/>
                <w:sz w:val="20"/>
                <w:szCs w:val="20"/>
                <w:u w:color="0000FF"/>
              </w:rPr>
              <w:t>Support.</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xml:space="preserve">Survey of perceived consumer trust in DNS, relative to experiences before the gTLD expansion.  Survey could measure experiences with </w:t>
            </w:r>
            <w:r>
              <w:rPr>
                <w:rFonts w:ascii="Calibri" w:eastAsia="MS Mincho" w:hAnsi="Calibri" w:cs="Calibri"/>
                <w:color w:val="0000FF"/>
                <w:sz w:val="20"/>
                <w:szCs w:val="20"/>
                <w:u w:val="double" w:color="0000FF"/>
              </w:rPr>
              <w:t xml:space="preserve">phishing, parking sites, </w:t>
            </w:r>
            <w:r>
              <w:rPr>
                <w:rFonts w:ascii="Calibri" w:eastAsia="MS Mincho" w:hAnsi="Calibri" w:cs="Calibri"/>
                <w:color w:val="000000"/>
                <w:sz w:val="20"/>
                <w:szCs w:val="20"/>
              </w:rPr>
              <w:t xml:space="preserve">malware and spam; confusion about new </w:t>
            </w:r>
            <w:proofErr w:type="spellStart"/>
            <w:r>
              <w:rPr>
                <w:rFonts w:ascii="Calibri" w:eastAsia="MS Mincho" w:hAnsi="Calibri" w:cs="Calibri"/>
                <w:color w:val="000000"/>
                <w:sz w:val="20"/>
                <w:szCs w:val="20"/>
              </w:rPr>
              <w:t>gTLDs</w:t>
            </w:r>
            <w:proofErr w:type="spellEnd"/>
            <w:r>
              <w:rPr>
                <w:rFonts w:ascii="Calibri" w:eastAsia="MS Mincho" w:hAnsi="Calibri" w:cs="Calibri"/>
                <w:color w:val="000000"/>
                <w:sz w:val="20"/>
                <w:szCs w:val="20"/>
              </w:rPr>
              <w:t xml:space="preserve">;  </w:t>
            </w:r>
            <w:r>
              <w:rPr>
                <w:rFonts w:ascii="Calibri" w:eastAsia="MS Mincho" w:hAnsi="Calibri" w:cs="Calibri"/>
                <w:color w:val="0000FF"/>
                <w:sz w:val="20"/>
                <w:szCs w:val="20"/>
                <w:u w:val="double" w:color="0000FF"/>
              </w:rPr>
              <w:t xml:space="preserve">user experience in reaching meaningful second-level TLDs; registrant experience in being in a different gTLD; trademark </w:t>
            </w:r>
            <w:r>
              <w:rPr>
                <w:rFonts w:ascii="Calibri" w:eastAsia="MS Mincho" w:hAnsi="Calibri" w:cs="Calibri"/>
                <w:color w:val="0000FF"/>
                <w:sz w:val="20"/>
                <w:szCs w:val="20"/>
                <w:u w:val="double" w:color="0000FF"/>
              </w:rPr>
              <w:lastRenderedPageBreak/>
              <w:t xml:space="preserve">owner experience with regard to </w:t>
            </w:r>
            <w:proofErr w:type="spellStart"/>
            <w:r>
              <w:rPr>
                <w:rFonts w:ascii="Calibri" w:eastAsia="MS Mincho" w:hAnsi="Calibri" w:cs="Calibri"/>
                <w:color w:val="0000FF"/>
                <w:sz w:val="20"/>
                <w:szCs w:val="20"/>
                <w:u w:val="double" w:color="0000FF"/>
              </w:rPr>
              <w:t>cybersquatting</w:t>
            </w:r>
            <w:proofErr w:type="spellEnd"/>
            <w:r>
              <w:rPr>
                <w:rFonts w:ascii="Calibri" w:eastAsia="MS Mincho" w:hAnsi="Calibri" w:cs="Calibri"/>
                <w:color w:val="0000FF"/>
                <w:sz w:val="20"/>
                <w:szCs w:val="20"/>
                <w:u w:val="double" w:color="0000FF"/>
              </w:rPr>
              <w:t xml:space="preserve"> (prevalence; cost and satisfaction with results when a resolution is sought)</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lastRenderedPageBreak/>
              <w:t>Survey Vendor</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MS Mincho" w:hAnsi="Calibri" w:cs="Calibri"/>
                <w:color w:val="000000"/>
                <w:sz w:val="20"/>
                <w:szCs w:val="20"/>
              </w:rPr>
            </w:pPr>
            <w:r>
              <w:rPr>
                <w:rFonts w:ascii="Calibri" w:eastAsia="MS Mincho" w:hAnsi="Calibri" w:cs="Calibri"/>
                <w:color w:val="000000"/>
                <w:sz w:val="20"/>
                <w:szCs w:val="20"/>
              </w:rPr>
              <w:t xml:space="preserve">Moderate difficulty to gain consensus on survey questions.  </w:t>
            </w:r>
          </w:p>
          <w:p w:rsidR="00A13668" w:rsidRDefault="00EC665B">
            <w:pPr>
              <w:widowControl/>
              <w:spacing w:before="60" w:after="60"/>
              <w:rPr>
                <w:rFonts w:ascii="Calibri" w:eastAsia="MS Mincho" w:hAnsi="Calibri" w:cs="Calibri"/>
                <w:color w:val="000000"/>
                <w:sz w:val="20"/>
                <w:szCs w:val="20"/>
              </w:rPr>
            </w:pPr>
            <w:r>
              <w:rPr>
                <w:rFonts w:ascii="Calibri" w:eastAsia="MS Mincho" w:hAnsi="Calibri" w:cs="Calibri"/>
                <w:color w:val="000000"/>
                <w:sz w:val="20"/>
                <w:szCs w:val="20"/>
              </w:rPr>
              <w:t>Survey cost is approx. $100K.</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Should show improvement on all survey measures</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Stated survey criteria are far too narrow.  Also, see below for other measures that could be the subject of survey.</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lastRenderedPageBreak/>
              <w:t>% Uptime for Registrar services such as WHOIS, contact info, and complaints, assuming that SLAs are established for these measures in the new RAA</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Registrar</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Doubtful that Registrars will compile and disclose uptime stats unless required by RAA</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SLA in RAA</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A13668">
            <w:pPr>
              <w:widowControl/>
              <w:spacing w:before="60" w:after="60"/>
              <w:jc w:val="center"/>
              <w:rPr>
                <w:rFonts w:ascii="Calibri" w:eastAsia="Times New Roman" w:hAnsi="Calibri" w:cs="Calibri"/>
                <w:color w:val="000000" w:themeColor="text1"/>
                <w:sz w:val="20"/>
                <w:szCs w:val="20"/>
                <w:u w:color="0000FF"/>
              </w:rPr>
            </w:pPr>
          </w:p>
        </w:tc>
      </w:tr>
      <w:tr w:rsidR="00A13668">
        <w:tc>
          <w:tcPr>
            <w:tcW w:w="8217" w:type="dxa"/>
            <w:gridSpan w:val="4"/>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i/>
                <w:iCs/>
                <w:color w:val="000000"/>
                <w:sz w:val="20"/>
                <w:szCs w:val="20"/>
              </w:rPr>
              <w:t>Measures related to confidence that TLD operators are fulfilling promises and complying with ICANN policies and applicable national laws:</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A13668">
            <w:pPr>
              <w:widowControl/>
              <w:spacing w:before="60" w:after="60"/>
              <w:rPr>
                <w:rFonts w:ascii="Calibri" w:eastAsia="Times New Roman" w:hAnsi="Calibri" w:cs="Calibri"/>
                <w:i/>
                <w:iCs/>
                <w:color w:val="000000" w:themeColor="text1"/>
                <w:sz w:val="20"/>
                <w:szCs w:val="20"/>
                <w:u w:color="0000FF"/>
              </w:rPr>
            </w:pP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Relative incidence of notices issued to Registry operators, for contract or policy compliance matters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ICANN</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 xml:space="preserve">Lower than incidence in legacy </w:t>
            </w:r>
            <w:proofErr w:type="spellStart"/>
            <w:r>
              <w:rPr>
                <w:rFonts w:ascii="Calibri" w:eastAsia="MS Mincho" w:hAnsi="Calibri" w:cs="Calibri"/>
                <w:color w:val="000000"/>
                <w:sz w:val="20"/>
                <w:szCs w:val="20"/>
              </w:rPr>
              <w:t>gTLDs</w:t>
            </w:r>
            <w:proofErr w:type="spellEnd"/>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 xml:space="preserve">“Lower than incidence in legacy </w:t>
            </w:r>
            <w:proofErr w:type="spellStart"/>
            <w:r w:rsidRPr="001A2CB1">
              <w:rPr>
                <w:rFonts w:ascii="Calibri" w:eastAsia="MS Mincho" w:hAnsi="Calibri" w:cs="Calibri"/>
                <w:color w:val="000000" w:themeColor="text1"/>
                <w:sz w:val="20"/>
                <w:szCs w:val="20"/>
                <w:u w:color="0000FF"/>
              </w:rPr>
              <w:t>gTLDs</w:t>
            </w:r>
            <w:proofErr w:type="spellEnd"/>
            <w:r w:rsidRPr="001A2CB1">
              <w:rPr>
                <w:rFonts w:ascii="Calibri" w:eastAsia="MS Mincho" w:hAnsi="Calibri" w:cs="Calibri"/>
                <w:color w:val="000000" w:themeColor="text1"/>
                <w:sz w:val="20"/>
                <w:szCs w:val="20"/>
                <w:u w:color="0000FF"/>
              </w:rPr>
              <w:t xml:space="preserve">” is far too low a bar for a target.  This assumes that any improvement over legacy </w:t>
            </w:r>
            <w:proofErr w:type="spellStart"/>
            <w:r w:rsidRPr="001A2CB1">
              <w:rPr>
                <w:rFonts w:ascii="Calibri" w:eastAsia="MS Mincho" w:hAnsi="Calibri" w:cs="Calibri"/>
                <w:color w:val="000000" w:themeColor="text1"/>
                <w:sz w:val="20"/>
                <w:szCs w:val="20"/>
                <w:u w:color="0000FF"/>
              </w:rPr>
              <w:t>gTLDs</w:t>
            </w:r>
            <w:proofErr w:type="spellEnd"/>
            <w:r w:rsidRPr="001A2CB1">
              <w:rPr>
                <w:rFonts w:ascii="Calibri" w:eastAsia="MS Mincho" w:hAnsi="Calibri" w:cs="Calibri"/>
                <w:color w:val="000000" w:themeColor="text1"/>
                <w:sz w:val="20"/>
                <w:szCs w:val="20"/>
                <w:u w:color="0000FF"/>
              </w:rPr>
              <w:t xml:space="preserve"> is a “success.”  For each of these metrics the target should be a stated percentage lower than in legacy </w:t>
            </w:r>
            <w:proofErr w:type="spellStart"/>
            <w:r w:rsidRPr="001A2CB1">
              <w:rPr>
                <w:rFonts w:ascii="Calibri" w:eastAsia="MS Mincho" w:hAnsi="Calibri" w:cs="Calibri"/>
                <w:color w:val="000000" w:themeColor="text1"/>
                <w:sz w:val="20"/>
                <w:szCs w:val="20"/>
                <w:u w:color="0000FF"/>
              </w:rPr>
              <w:t>gTLDs</w:t>
            </w:r>
            <w:proofErr w:type="spellEnd"/>
            <w:r w:rsidRPr="001A2CB1">
              <w:rPr>
                <w:rFonts w:ascii="Calibri" w:eastAsia="MS Mincho" w:hAnsi="Calibri" w:cs="Calibri"/>
                <w:color w:val="000000" w:themeColor="text1"/>
                <w:sz w:val="20"/>
                <w:szCs w:val="20"/>
                <w:u w:color="0000FF"/>
              </w:rPr>
              <w:t xml:space="preserve"> (e.g., 50% lower).</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Relative incidence of breach notices issued to Registrars, for contract or policy compliance matters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ICANN</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 xml:space="preserve">Lower than incidence in legacy </w:t>
            </w:r>
            <w:proofErr w:type="spellStart"/>
            <w:r>
              <w:rPr>
                <w:rFonts w:ascii="Calibri" w:eastAsia="MS Mincho" w:hAnsi="Calibri" w:cs="Calibri"/>
                <w:color w:val="000000"/>
                <w:sz w:val="20"/>
                <w:szCs w:val="20"/>
              </w:rPr>
              <w:t>gTLDs</w:t>
            </w:r>
            <w:proofErr w:type="spellEnd"/>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See above.</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xml:space="preserve">Relative incidence of UDRP </w:t>
            </w:r>
            <w:r>
              <w:rPr>
                <w:rFonts w:ascii="Calibri" w:eastAsia="MS Mincho" w:hAnsi="Calibri" w:cs="Calibri"/>
                <w:i/>
                <w:iCs/>
                <w:color w:val="000000"/>
                <w:sz w:val="20"/>
                <w:szCs w:val="20"/>
              </w:rPr>
              <w:t>Complaints</w:t>
            </w:r>
            <w:r>
              <w:rPr>
                <w:rFonts w:ascii="Calibri" w:eastAsia="MS Mincho" w:hAnsi="Calibri" w:cs="Calibri"/>
                <w:color w:val="000000"/>
                <w:sz w:val="20"/>
                <w:szCs w:val="20"/>
              </w:rPr>
              <w:t>, before and after expansion</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RPM Providers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Moderate difficulty obtaining data</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 xml:space="preserve">Lower than incidence in legacy </w:t>
            </w:r>
            <w:proofErr w:type="spellStart"/>
            <w:r>
              <w:rPr>
                <w:rFonts w:ascii="Calibri" w:eastAsia="MS Mincho" w:hAnsi="Calibri" w:cs="Calibri"/>
                <w:color w:val="000000"/>
                <w:sz w:val="20"/>
                <w:szCs w:val="20"/>
              </w:rPr>
              <w:t>gTLDs</w:t>
            </w:r>
            <w:proofErr w:type="spellEnd"/>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rPr>
                <w:rFonts w:ascii="Calibri" w:eastAsia="MS Mincho" w:hAnsi="Calibri" w:cs="Calibri"/>
                <w:color w:val="000000" w:themeColor="text1"/>
                <w:sz w:val="20"/>
                <w:szCs w:val="20"/>
              </w:rPr>
            </w:pPr>
            <w:r w:rsidRPr="001A2CB1">
              <w:rPr>
                <w:rFonts w:ascii="Calibri" w:eastAsia="MS Mincho" w:hAnsi="Calibri" w:cs="Calibri"/>
                <w:color w:val="000000" w:themeColor="text1"/>
                <w:sz w:val="20"/>
                <w:szCs w:val="20"/>
                <w:u w:color="0000FF"/>
              </w:rPr>
              <w:t>See above.  Also, may need to aggregate with URS (or report both separately and in the aggregate) to compare “apples and apples” (since the availability of the URS is intended to reduce the quantity of UDRP cases even where problems are at a same or higher level).</w:t>
            </w:r>
          </w:p>
          <w:p w:rsidR="00A13668" w:rsidRPr="001A2CB1" w:rsidRDefault="00EC665B">
            <w:pPr>
              <w:widowControl/>
              <w:spacing w:before="60" w:after="60"/>
              <w:rPr>
                <w:rFonts w:ascii="Calibri" w:eastAsia="Times New Roman" w:hAnsi="Calibri" w:cs="Calibri"/>
                <w:color w:val="000000" w:themeColor="text1"/>
                <w:sz w:val="20"/>
                <w:szCs w:val="20"/>
                <w:u w:color="0000FF"/>
              </w:rPr>
            </w:pPr>
            <w:r w:rsidRPr="001A2CB1">
              <w:rPr>
                <w:rFonts w:ascii="Calibri" w:eastAsia="Times New Roman" w:hAnsi="Calibri" w:cs="Calibri"/>
                <w:color w:val="000000" w:themeColor="text1"/>
                <w:sz w:val="20"/>
                <w:szCs w:val="20"/>
                <w:u w:color="0000FF"/>
              </w:rPr>
              <w:t xml:space="preserve">Relative incidence" should be calculated by the total number of UDRP or similar domain name proceedings (e.g., </w:t>
            </w:r>
            <w:proofErr w:type="spellStart"/>
            <w:r w:rsidRPr="001A2CB1">
              <w:rPr>
                <w:rFonts w:ascii="Calibri" w:eastAsia="Times New Roman" w:hAnsi="Calibri" w:cs="Calibri"/>
                <w:color w:val="000000" w:themeColor="text1"/>
                <w:sz w:val="20"/>
                <w:szCs w:val="20"/>
                <w:u w:color="0000FF"/>
              </w:rPr>
              <w:t>usDRP</w:t>
            </w:r>
            <w:proofErr w:type="spellEnd"/>
            <w:r w:rsidRPr="001A2CB1">
              <w:rPr>
                <w:rFonts w:ascii="Calibri" w:eastAsia="Times New Roman" w:hAnsi="Calibri" w:cs="Calibri"/>
                <w:color w:val="000000" w:themeColor="text1"/>
                <w:sz w:val="20"/>
                <w:szCs w:val="20"/>
                <w:u w:color="0000FF"/>
              </w:rPr>
              <w:t xml:space="preserve">) filed in the legacy </w:t>
            </w:r>
            <w:proofErr w:type="spellStart"/>
            <w:r w:rsidRPr="001A2CB1">
              <w:rPr>
                <w:rFonts w:ascii="Calibri" w:eastAsia="Times New Roman" w:hAnsi="Calibri" w:cs="Calibri"/>
                <w:color w:val="000000" w:themeColor="text1"/>
                <w:sz w:val="20"/>
                <w:szCs w:val="20"/>
                <w:u w:color="0000FF"/>
              </w:rPr>
              <w:t>gTLDs</w:t>
            </w:r>
            <w:proofErr w:type="spellEnd"/>
            <w:r w:rsidRPr="001A2CB1">
              <w:rPr>
                <w:rFonts w:ascii="Calibri" w:eastAsia="Times New Roman" w:hAnsi="Calibri" w:cs="Calibri"/>
                <w:color w:val="000000" w:themeColor="text1"/>
                <w:sz w:val="20"/>
                <w:szCs w:val="20"/>
                <w:u w:color="0000FF"/>
              </w:rPr>
              <w:t xml:space="preserve"> from 1/1/2000 over the total number of domain name registrations registered in the legacy </w:t>
            </w:r>
            <w:proofErr w:type="spellStart"/>
            <w:r w:rsidRPr="001A2CB1">
              <w:rPr>
                <w:rFonts w:ascii="Calibri" w:eastAsia="Times New Roman" w:hAnsi="Calibri" w:cs="Calibri"/>
                <w:color w:val="000000" w:themeColor="text1"/>
                <w:sz w:val="20"/>
                <w:szCs w:val="20"/>
                <w:u w:color="0000FF"/>
              </w:rPr>
              <w:t>gTLDs</w:t>
            </w:r>
            <w:proofErr w:type="spellEnd"/>
            <w:r w:rsidRPr="001A2CB1">
              <w:rPr>
                <w:rFonts w:ascii="Calibri" w:eastAsia="Times New Roman" w:hAnsi="Calibri" w:cs="Calibri"/>
                <w:color w:val="000000" w:themeColor="text1"/>
                <w:sz w:val="20"/>
                <w:szCs w:val="20"/>
                <w:u w:color="0000FF"/>
              </w:rPr>
              <w:t xml:space="preserve"> from 1/1/2000.</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lastRenderedPageBreak/>
              <w:t xml:space="preserve">Relative incidence of UDRP </w:t>
            </w:r>
            <w:r>
              <w:rPr>
                <w:rFonts w:ascii="Calibri" w:eastAsia="MS Mincho" w:hAnsi="Calibri" w:cs="Calibri"/>
                <w:i/>
                <w:iCs/>
                <w:color w:val="000000"/>
                <w:sz w:val="20"/>
                <w:szCs w:val="20"/>
              </w:rPr>
              <w:t>Decisions against registrant</w:t>
            </w:r>
            <w:r>
              <w:rPr>
                <w:rFonts w:ascii="Calibri" w:eastAsia="MS Mincho" w:hAnsi="Calibri" w:cs="Calibri"/>
                <w:color w:val="000000"/>
                <w:sz w:val="20"/>
                <w:szCs w:val="20"/>
              </w:rPr>
              <w:t>, before and after expansion</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RPM Providers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Moderate difficulty obtaining data</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 xml:space="preserve">Lower than incidence in legacy </w:t>
            </w:r>
            <w:proofErr w:type="spellStart"/>
            <w:r>
              <w:rPr>
                <w:rFonts w:ascii="Calibri" w:eastAsia="MS Mincho" w:hAnsi="Calibri" w:cs="Calibri"/>
                <w:color w:val="000000"/>
                <w:sz w:val="20"/>
                <w:szCs w:val="20"/>
              </w:rPr>
              <w:t>gTLDs</w:t>
            </w:r>
            <w:proofErr w:type="spellEnd"/>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MS Mincho" w:hAnsi="Calibri" w:cs="Calibri"/>
                <w:color w:val="000000" w:themeColor="text1"/>
                <w:sz w:val="20"/>
                <w:szCs w:val="20"/>
              </w:rPr>
            </w:pPr>
            <w:r w:rsidRPr="001A2CB1">
              <w:rPr>
                <w:rFonts w:ascii="Calibri" w:eastAsia="MS Mincho" w:hAnsi="Calibri" w:cs="Calibri"/>
                <w:color w:val="000000" w:themeColor="text1"/>
                <w:sz w:val="20"/>
                <w:szCs w:val="20"/>
                <w:u w:color="0000FF"/>
              </w:rPr>
              <w:t>See above.</w:t>
            </w:r>
          </w:p>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Times New Roman" w:hAnsi="Calibri" w:cs="Calibri"/>
                <w:color w:val="000000" w:themeColor="text1"/>
                <w:sz w:val="20"/>
                <w:szCs w:val="20"/>
                <w:u w:color="0000FF"/>
              </w:rPr>
              <w:t xml:space="preserve">"Relative incidence" should be calculated by the total number of UDRP or similar domain name proceedings (e.g., </w:t>
            </w:r>
            <w:proofErr w:type="spellStart"/>
            <w:r w:rsidRPr="001A2CB1">
              <w:rPr>
                <w:rFonts w:ascii="Calibri" w:eastAsia="Times New Roman" w:hAnsi="Calibri" w:cs="Calibri"/>
                <w:color w:val="000000" w:themeColor="text1"/>
                <w:sz w:val="20"/>
                <w:szCs w:val="20"/>
                <w:u w:color="0000FF"/>
              </w:rPr>
              <w:t>usDRP</w:t>
            </w:r>
            <w:proofErr w:type="spellEnd"/>
            <w:r w:rsidRPr="001A2CB1">
              <w:rPr>
                <w:rFonts w:ascii="Calibri" w:eastAsia="Times New Roman" w:hAnsi="Calibri" w:cs="Calibri"/>
                <w:color w:val="000000" w:themeColor="text1"/>
                <w:sz w:val="20"/>
                <w:szCs w:val="20"/>
                <w:u w:color="0000FF"/>
              </w:rPr>
              <w:t xml:space="preserve">) filed in the legacy </w:t>
            </w:r>
            <w:proofErr w:type="spellStart"/>
            <w:r w:rsidRPr="001A2CB1">
              <w:rPr>
                <w:rFonts w:ascii="Calibri" w:eastAsia="Times New Roman" w:hAnsi="Calibri" w:cs="Calibri"/>
                <w:color w:val="000000" w:themeColor="text1"/>
                <w:sz w:val="20"/>
                <w:szCs w:val="20"/>
                <w:u w:color="0000FF"/>
              </w:rPr>
              <w:t>gTLDs</w:t>
            </w:r>
            <w:proofErr w:type="spellEnd"/>
            <w:r w:rsidRPr="001A2CB1">
              <w:rPr>
                <w:rFonts w:ascii="Calibri" w:eastAsia="Times New Roman" w:hAnsi="Calibri" w:cs="Calibri"/>
                <w:color w:val="000000" w:themeColor="text1"/>
                <w:sz w:val="20"/>
                <w:szCs w:val="20"/>
                <w:u w:color="0000FF"/>
              </w:rPr>
              <w:t xml:space="preserve"> from 1/1/2000 where the order was against the registrant over the total number of such UDRP proceedings.</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xml:space="preserve">Decisions against Registry Operator arising from Registry Restrictions Dispute Resolutions Procedure (RRDRP) </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RRDRP Providers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No adverse decisions</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A13668">
            <w:pPr>
              <w:widowControl/>
              <w:spacing w:before="60" w:after="60"/>
              <w:jc w:val="center"/>
              <w:rPr>
                <w:rFonts w:ascii="Calibri" w:eastAsia="Times New Roman" w:hAnsi="Calibri" w:cs="Calibri"/>
                <w:color w:val="000000" w:themeColor="text1"/>
                <w:sz w:val="20"/>
                <w:szCs w:val="20"/>
                <w:u w:color="0000FF"/>
              </w:rPr>
            </w:pP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xml:space="preserve">Quantity &amp; relative incidence of URS </w:t>
            </w:r>
            <w:r>
              <w:rPr>
                <w:rFonts w:ascii="Calibri" w:eastAsia="MS Mincho" w:hAnsi="Calibri" w:cs="Calibri"/>
                <w:i/>
                <w:iCs/>
                <w:color w:val="000000"/>
                <w:sz w:val="20"/>
                <w:szCs w:val="20"/>
              </w:rPr>
              <w:t>Complaints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RPM Providers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xml:space="preserve">Moderate difficulty obtaining data. Cannot compare with legacy </w:t>
            </w:r>
            <w:proofErr w:type="spellStart"/>
            <w:r>
              <w:rPr>
                <w:rFonts w:ascii="Calibri" w:eastAsia="MS Mincho" w:hAnsi="Calibri" w:cs="Calibri"/>
                <w:color w:val="000000"/>
                <w:sz w:val="20"/>
                <w:szCs w:val="20"/>
              </w:rPr>
              <w:t>gTLDs</w:t>
            </w:r>
            <w:proofErr w:type="spellEnd"/>
            <w:r>
              <w:rPr>
                <w:rFonts w:ascii="Calibri" w:eastAsia="MS Mincho" w:hAnsi="Calibri" w:cs="Calibri"/>
                <w:color w:val="000000"/>
                <w:sz w:val="20"/>
                <w:szCs w:val="20"/>
              </w:rPr>
              <w:t>.</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Declining incidence from Year 2 to 3</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 xml:space="preserve">May need to aggregate with UDRP (or report both separately and in the aggregate) to compare “apples and apples” (since the availability of the URS is intended to reduce the quantity of UDRP cases even where problems are at a same or higher </w:t>
            </w:r>
            <w:proofErr w:type="spellStart"/>
            <w:r w:rsidRPr="001A2CB1">
              <w:rPr>
                <w:rFonts w:ascii="Calibri" w:eastAsia="MS Mincho" w:hAnsi="Calibri" w:cs="Calibri"/>
                <w:color w:val="000000" w:themeColor="text1"/>
                <w:sz w:val="20"/>
                <w:szCs w:val="20"/>
                <w:u w:color="0000FF"/>
              </w:rPr>
              <w:t>leve</w:t>
            </w:r>
            <w:proofErr w:type="spellEnd"/>
            <w:r w:rsidRPr="001A2CB1">
              <w:rPr>
                <w:rFonts w:ascii="Calibri" w:eastAsia="MS Mincho" w:hAnsi="Calibri" w:cs="Calibri"/>
                <w:color w:val="000000" w:themeColor="text1"/>
                <w:sz w:val="20"/>
                <w:szCs w:val="20"/>
                <w:u w:color="0000FF"/>
              </w:rPr>
              <w:t>}l.</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xml:space="preserve">Quantity &amp; relative incidence of URS </w:t>
            </w:r>
            <w:r>
              <w:rPr>
                <w:rFonts w:ascii="Calibri" w:eastAsia="MS Mincho" w:hAnsi="Calibri" w:cs="Calibri"/>
                <w:i/>
                <w:iCs/>
                <w:color w:val="000000"/>
                <w:sz w:val="20"/>
                <w:szCs w:val="20"/>
              </w:rPr>
              <w:t>Decisions against registrant</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RPM Providers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xml:space="preserve">Moderate difficulty obtaining data. Cannot compare with legacy </w:t>
            </w:r>
            <w:proofErr w:type="spellStart"/>
            <w:r>
              <w:rPr>
                <w:rFonts w:ascii="Calibri" w:eastAsia="MS Mincho" w:hAnsi="Calibri" w:cs="Calibri"/>
                <w:color w:val="000000"/>
                <w:sz w:val="20"/>
                <w:szCs w:val="20"/>
              </w:rPr>
              <w:t>gTLDs</w:t>
            </w:r>
            <w:proofErr w:type="spellEnd"/>
            <w:r>
              <w:rPr>
                <w:rFonts w:ascii="Calibri" w:eastAsia="MS Mincho" w:hAnsi="Calibri" w:cs="Calibri"/>
                <w:color w:val="000000"/>
                <w:sz w:val="20"/>
                <w:szCs w:val="20"/>
              </w:rPr>
              <w:t>.</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Declining incidence from Year 2 to 3</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See above.</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xml:space="preserve">Quantity of Compliance Concerns w/r/t Applicable National Laws </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LEA/GAC</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 xml:space="preserve">Difficult, because law enforcement and governments may not report this data </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Declining incidence from Year 2 to 3</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A13668">
            <w:pPr>
              <w:widowControl/>
              <w:spacing w:before="60" w:after="60"/>
              <w:jc w:val="center"/>
              <w:rPr>
                <w:rFonts w:ascii="Calibri" w:eastAsia="Times New Roman" w:hAnsi="Calibri" w:cs="Calibri"/>
                <w:color w:val="000000" w:themeColor="text1"/>
                <w:sz w:val="20"/>
                <w:szCs w:val="20"/>
                <w:u w:color="0000FF"/>
              </w:rPr>
            </w:pP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Quantity and relative incidence of Domain Takedowns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Registry</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Moderately difficult to obtain and report</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 xml:space="preserve">Lower than incidence in legacy </w:t>
            </w:r>
            <w:proofErr w:type="spellStart"/>
            <w:r>
              <w:rPr>
                <w:rFonts w:ascii="Calibri" w:eastAsia="MS Mincho" w:hAnsi="Calibri" w:cs="Calibri"/>
                <w:color w:val="000000"/>
                <w:sz w:val="20"/>
                <w:szCs w:val="20"/>
              </w:rPr>
              <w:t>gTLDs</w:t>
            </w:r>
            <w:proofErr w:type="spellEnd"/>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 xml:space="preserve">“Lower than incidence in legacy </w:t>
            </w:r>
            <w:proofErr w:type="spellStart"/>
            <w:r w:rsidRPr="001A2CB1">
              <w:rPr>
                <w:rFonts w:ascii="Calibri" w:eastAsia="MS Mincho" w:hAnsi="Calibri" w:cs="Calibri"/>
                <w:color w:val="000000" w:themeColor="text1"/>
                <w:sz w:val="20"/>
                <w:szCs w:val="20"/>
                <w:u w:color="0000FF"/>
              </w:rPr>
              <w:t>gTLDs</w:t>
            </w:r>
            <w:proofErr w:type="spellEnd"/>
            <w:r w:rsidRPr="001A2CB1">
              <w:rPr>
                <w:rFonts w:ascii="Calibri" w:eastAsia="MS Mincho" w:hAnsi="Calibri" w:cs="Calibri"/>
                <w:color w:val="000000" w:themeColor="text1"/>
                <w:sz w:val="20"/>
                <w:szCs w:val="20"/>
                <w:u w:color="0000FF"/>
              </w:rPr>
              <w:t xml:space="preserve">” is far too low a bar for a target.  This assumes that any improvement over legacy </w:t>
            </w:r>
            <w:proofErr w:type="spellStart"/>
            <w:r w:rsidRPr="001A2CB1">
              <w:rPr>
                <w:rFonts w:ascii="Calibri" w:eastAsia="MS Mincho" w:hAnsi="Calibri" w:cs="Calibri"/>
                <w:color w:val="000000" w:themeColor="text1"/>
                <w:sz w:val="20"/>
                <w:szCs w:val="20"/>
                <w:u w:color="0000FF"/>
              </w:rPr>
              <w:t>gTLDs</w:t>
            </w:r>
            <w:proofErr w:type="spellEnd"/>
            <w:r w:rsidRPr="001A2CB1">
              <w:rPr>
                <w:rFonts w:ascii="Calibri" w:eastAsia="MS Mincho" w:hAnsi="Calibri" w:cs="Calibri"/>
                <w:color w:val="000000" w:themeColor="text1"/>
                <w:sz w:val="20"/>
                <w:szCs w:val="20"/>
                <w:u w:color="0000FF"/>
              </w:rPr>
              <w:t xml:space="preserve"> is a “success.”  For each of these metrics the target should be a stated percentage lower than in legacy </w:t>
            </w:r>
            <w:proofErr w:type="spellStart"/>
            <w:r w:rsidRPr="001A2CB1">
              <w:rPr>
                <w:rFonts w:ascii="Calibri" w:eastAsia="MS Mincho" w:hAnsi="Calibri" w:cs="Calibri"/>
                <w:color w:val="000000" w:themeColor="text1"/>
                <w:sz w:val="20"/>
                <w:szCs w:val="20"/>
                <w:u w:color="0000FF"/>
              </w:rPr>
              <w:t>gTLDs</w:t>
            </w:r>
            <w:proofErr w:type="spellEnd"/>
            <w:r w:rsidRPr="001A2CB1">
              <w:rPr>
                <w:rFonts w:ascii="Calibri" w:eastAsia="MS Mincho" w:hAnsi="Calibri" w:cs="Calibri"/>
                <w:color w:val="000000" w:themeColor="text1"/>
                <w:sz w:val="20"/>
                <w:szCs w:val="20"/>
                <w:u w:color="0000FF"/>
              </w:rPr>
              <w:t xml:space="preserve"> (e.g., 50% lower).</w:t>
            </w:r>
          </w:p>
        </w:tc>
      </w:tr>
      <w:tr w:rsidR="00A13668">
        <w:trPr>
          <w:trHeight w:val="690"/>
        </w:trPr>
        <w:tc>
          <w:tcPr>
            <w:tcW w:w="2817" w:type="dxa"/>
            <w:tcBorders>
              <w:top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rPr>
                <w:rFonts w:ascii="Calibri" w:eastAsia="MS Mincho" w:hAnsi="Calibri" w:cs="Calibri"/>
                <w:color w:val="0000FF"/>
                <w:sz w:val="20"/>
                <w:szCs w:val="20"/>
                <w:u w:val="double"/>
              </w:rPr>
            </w:pPr>
            <w:r>
              <w:rPr>
                <w:rFonts w:ascii="Calibri" w:eastAsia="MS Mincho" w:hAnsi="Calibri" w:cs="Calibri"/>
                <w:color w:val="0000FF"/>
                <w:sz w:val="20"/>
                <w:szCs w:val="20"/>
                <w:u w:val="double" w:color="0000FF"/>
              </w:rPr>
              <w:t>Quantity and relative incidence of litigation</w:t>
            </w:r>
          </w:p>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i/>
                <w:iCs/>
                <w:color w:val="0000FF"/>
                <w:sz w:val="20"/>
                <w:szCs w:val="20"/>
                <w:u w:val="double" w:color="0000FF"/>
              </w:rPr>
              <w:t>Complaints</w:t>
            </w:r>
          </w:p>
        </w:tc>
        <w:tc>
          <w:tcPr>
            <w:tcW w:w="108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Litigants and/or Survey Provider</w:t>
            </w:r>
          </w:p>
        </w:tc>
        <w:tc>
          <w:tcPr>
            <w:tcW w:w="279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Moderately difficult, as it would require self-reporting.  In addition or in the alternative, information could be gathered by survey.</w:t>
            </w:r>
          </w:p>
        </w:tc>
        <w:tc>
          <w:tcPr>
            <w:tcW w:w="153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A13668">
            <w:pPr>
              <w:widowControl/>
              <w:spacing w:before="60" w:after="60"/>
              <w:jc w:val="center"/>
              <w:rPr>
                <w:rFonts w:ascii="Calibri" w:eastAsia="Times New Roman" w:hAnsi="Calibri" w:cs="Calibri"/>
                <w:color w:val="0000FF"/>
                <w:sz w:val="20"/>
                <w:szCs w:val="20"/>
                <w:u w:val="double" w:color="0000FF"/>
              </w:rPr>
            </w:pP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 xml:space="preserve">UDRP and URS do not capture a large part of the contentious matters involving domain names.  We therefore believe an accurate measurement of conflicts due to the new gTLD program should include this measure as well as that for UDRPs and URS. </w:t>
            </w:r>
          </w:p>
        </w:tc>
      </w:tr>
      <w:tr w:rsidR="00A13668">
        <w:trPr>
          <w:trHeight w:val="690"/>
        </w:trPr>
        <w:tc>
          <w:tcPr>
            <w:tcW w:w="2817" w:type="dxa"/>
            <w:tcBorders>
              <w:top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rPr>
                <w:rFonts w:ascii="Calibri" w:eastAsia="MS Mincho" w:hAnsi="Calibri" w:cs="Calibri"/>
                <w:color w:val="0000FF"/>
                <w:sz w:val="20"/>
                <w:szCs w:val="20"/>
                <w:u w:val="double"/>
              </w:rPr>
            </w:pPr>
            <w:r>
              <w:rPr>
                <w:rFonts w:ascii="Calibri" w:eastAsia="MS Mincho" w:hAnsi="Calibri" w:cs="Calibri"/>
                <w:color w:val="0000FF"/>
                <w:sz w:val="20"/>
                <w:szCs w:val="20"/>
                <w:u w:val="double" w:color="0000FF"/>
              </w:rPr>
              <w:lastRenderedPageBreak/>
              <w:t>Quantity and relative incidence of litigation</w:t>
            </w:r>
          </w:p>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i/>
                <w:iCs/>
                <w:color w:val="0000FF"/>
                <w:sz w:val="20"/>
                <w:szCs w:val="20"/>
                <w:u w:val="double" w:color="0000FF"/>
              </w:rPr>
              <w:t>Decisions against registry, registrar or registrant</w:t>
            </w:r>
          </w:p>
        </w:tc>
        <w:tc>
          <w:tcPr>
            <w:tcW w:w="108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Litigants and/or Survey Provider</w:t>
            </w:r>
          </w:p>
        </w:tc>
        <w:tc>
          <w:tcPr>
            <w:tcW w:w="279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Moderately difficult, as it would require self-reporting.  In addition or in the alternative, information could be gathered by survey.</w:t>
            </w:r>
          </w:p>
        </w:tc>
        <w:tc>
          <w:tcPr>
            <w:tcW w:w="153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A13668">
            <w:pPr>
              <w:widowControl/>
              <w:spacing w:before="60" w:after="60"/>
              <w:jc w:val="center"/>
              <w:rPr>
                <w:rFonts w:ascii="Calibri" w:eastAsia="Times New Roman" w:hAnsi="Calibri" w:cs="Calibri"/>
                <w:color w:val="0000FF"/>
                <w:sz w:val="20"/>
                <w:szCs w:val="20"/>
                <w:u w:val="double" w:color="0000FF"/>
              </w:rPr>
            </w:pP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See above.</w:t>
            </w:r>
          </w:p>
        </w:tc>
      </w:tr>
      <w:tr w:rsidR="00A13668">
        <w:trPr>
          <w:trHeight w:val="690"/>
        </w:trPr>
        <w:tc>
          <w:tcPr>
            <w:tcW w:w="2817" w:type="dxa"/>
            <w:tcBorders>
              <w:top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Quantity and relative incidence of acquisitions of infringing domain names (other than by UDRP or litigation)</w:t>
            </w:r>
          </w:p>
        </w:tc>
        <w:tc>
          <w:tcPr>
            <w:tcW w:w="108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Acquirers and/or Survey Provider</w:t>
            </w:r>
          </w:p>
        </w:tc>
        <w:tc>
          <w:tcPr>
            <w:tcW w:w="279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Moderately difficult, as it would require self-reporting.  In addition or in the alternative, information could be gathered by survey.</w:t>
            </w:r>
          </w:p>
        </w:tc>
        <w:tc>
          <w:tcPr>
            <w:tcW w:w="153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A13668">
            <w:pPr>
              <w:widowControl/>
              <w:spacing w:before="60" w:after="60"/>
              <w:jc w:val="center"/>
              <w:rPr>
                <w:rFonts w:ascii="Calibri" w:eastAsia="Times New Roman" w:hAnsi="Calibri" w:cs="Calibri"/>
                <w:color w:val="0000FF"/>
                <w:sz w:val="20"/>
                <w:szCs w:val="20"/>
                <w:u w:val="double" w:color="0000FF"/>
              </w:rPr>
            </w:pP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We believe an accurate measurement of conflicts due to the new gTLD program should include this measure as well as those measuring number of UDRP or URS proceedings, and litigation.</w:t>
            </w:r>
          </w:p>
        </w:tc>
      </w:tr>
      <w:tr w:rsidR="00A13668">
        <w:trPr>
          <w:trHeight w:val="690"/>
        </w:trPr>
        <w:tc>
          <w:tcPr>
            <w:tcW w:w="2817" w:type="dxa"/>
            <w:tcBorders>
              <w:top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Relative cost of overall domain name policing and enforcement programs by trademark owners</w:t>
            </w:r>
          </w:p>
        </w:tc>
        <w:tc>
          <w:tcPr>
            <w:tcW w:w="108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Trademark Owners and/or Survey Provider</w:t>
            </w:r>
          </w:p>
        </w:tc>
        <w:tc>
          <w:tcPr>
            <w:tcW w:w="279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Moderately difficult, as it would require self-reporting.  In addition or in the alternative, information could be gathered by survey.</w:t>
            </w:r>
          </w:p>
        </w:tc>
        <w:tc>
          <w:tcPr>
            <w:tcW w:w="153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Relation between number of domains and cost of policing and enforcement of them (i.e. Enforcement and policing cost /number of Domain names)                                                                                                                                                                                                                                                                         should decrease.</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 xml:space="preserve">This will be directly correlative with “trust” in the new </w:t>
            </w:r>
            <w:proofErr w:type="spellStart"/>
            <w:r w:rsidRPr="001A2CB1">
              <w:rPr>
                <w:rFonts w:ascii="Calibri" w:eastAsia="MS Mincho" w:hAnsi="Calibri" w:cs="Calibri"/>
                <w:color w:val="000000" w:themeColor="text1"/>
                <w:sz w:val="20"/>
                <w:szCs w:val="20"/>
                <w:u w:color="0000FF"/>
              </w:rPr>
              <w:t>gTLDs</w:t>
            </w:r>
            <w:proofErr w:type="spellEnd"/>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Quantity of spam received by a "</w:t>
            </w:r>
            <w:proofErr w:type="spellStart"/>
            <w:r>
              <w:rPr>
                <w:rFonts w:ascii="Calibri" w:eastAsia="MS Mincho" w:hAnsi="Calibri" w:cs="Calibri"/>
                <w:color w:val="000000"/>
                <w:sz w:val="20"/>
                <w:szCs w:val="20"/>
              </w:rPr>
              <w:t>honeypot</w:t>
            </w:r>
            <w:proofErr w:type="spellEnd"/>
            <w:r>
              <w:rPr>
                <w:rFonts w:ascii="Calibri" w:eastAsia="MS Mincho" w:hAnsi="Calibri" w:cs="Calibri"/>
                <w:color w:val="000000"/>
                <w:sz w:val="20"/>
                <w:szCs w:val="20"/>
              </w:rPr>
              <w:t>" email address in each new gTLD</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proofErr w:type="spellStart"/>
            <w:r>
              <w:rPr>
                <w:rFonts w:ascii="Calibri" w:eastAsia="MS Mincho" w:hAnsi="Calibri" w:cs="Calibri"/>
                <w:color w:val="000000"/>
                <w:sz w:val="20"/>
                <w:szCs w:val="20"/>
              </w:rPr>
              <w:t>SpamHaus</w:t>
            </w:r>
            <w:proofErr w:type="spellEnd"/>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rPr>
                <w:rFonts w:ascii="Calibri" w:eastAsia="Times New Roman" w:hAnsi="Calibri" w:cs="Calibri"/>
                <w:color w:val="000000"/>
                <w:sz w:val="20"/>
                <w:szCs w:val="20"/>
              </w:rPr>
            </w:pPr>
            <w:r>
              <w:rPr>
                <w:rFonts w:ascii="Calibri" w:eastAsia="MS Mincho" w:hAnsi="Calibri" w:cs="Calibri"/>
                <w:color w:val="000000"/>
                <w:sz w:val="20"/>
                <w:szCs w:val="20"/>
              </w:rPr>
              <w:t>None noted</w:t>
            </w:r>
            <w:r>
              <w:rPr>
                <w:rFonts w:ascii="Calibri" w:eastAsia="MS Mincho" w:hAnsi="Calibri" w:cs="Calibri"/>
                <w:color w:val="0000FF"/>
                <w:sz w:val="20"/>
                <w:szCs w:val="20"/>
                <w:u w:val="double" w:color="0000FF"/>
              </w:rPr>
              <w:t xml:space="preserve"> (assuming that there are “</w:t>
            </w:r>
            <w:proofErr w:type="spellStart"/>
            <w:r>
              <w:rPr>
                <w:rFonts w:ascii="Calibri" w:eastAsia="MS Mincho" w:hAnsi="Calibri" w:cs="Calibri"/>
                <w:color w:val="0000FF"/>
                <w:sz w:val="20"/>
                <w:szCs w:val="20"/>
                <w:u w:val="double" w:color="0000FF"/>
              </w:rPr>
              <w:t>honeypot</w:t>
            </w:r>
            <w:proofErr w:type="spellEnd"/>
            <w:r>
              <w:rPr>
                <w:rFonts w:ascii="Calibri" w:eastAsia="MS Mincho" w:hAnsi="Calibri" w:cs="Calibri"/>
                <w:color w:val="0000FF"/>
                <w:sz w:val="20"/>
                <w:szCs w:val="20"/>
                <w:u w:val="double" w:color="0000FF"/>
              </w:rPr>
              <w:t xml:space="preserve">” email addresses in all legacy </w:t>
            </w:r>
            <w:proofErr w:type="spellStart"/>
            <w:r>
              <w:rPr>
                <w:rFonts w:ascii="Calibri" w:eastAsia="MS Mincho" w:hAnsi="Calibri" w:cs="Calibri"/>
                <w:color w:val="0000FF"/>
                <w:sz w:val="20"/>
                <w:szCs w:val="20"/>
                <w:u w:val="double" w:color="0000FF"/>
              </w:rPr>
              <w:t>gTLDs</w:t>
            </w:r>
            <w:proofErr w:type="spellEnd"/>
            <w:r>
              <w:rPr>
                <w:rFonts w:ascii="Calibri" w:eastAsia="MS Mincho" w:hAnsi="Calibri" w:cs="Calibri"/>
                <w:color w:val="0000FF"/>
                <w:sz w:val="20"/>
                <w:szCs w:val="20"/>
                <w:u w:val="double" w:color="0000FF"/>
              </w:rPr>
              <w:t>)</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A13668" w:rsidRDefault="00EC665B">
            <w:pPr>
              <w:widowControl/>
              <w:spacing w:before="60" w:after="60"/>
              <w:jc w:val="center"/>
              <w:rPr>
                <w:rFonts w:ascii="Calibri" w:eastAsia="Times New Roman" w:hAnsi="Calibri" w:cs="Calibri"/>
                <w:color w:val="000000"/>
                <w:sz w:val="20"/>
                <w:szCs w:val="20"/>
              </w:rPr>
            </w:pPr>
            <w:r>
              <w:rPr>
                <w:rFonts w:ascii="Calibri" w:eastAsia="MS Mincho" w:hAnsi="Calibri" w:cs="Calibri"/>
                <w:color w:val="000000"/>
                <w:sz w:val="20"/>
                <w:szCs w:val="20"/>
              </w:rPr>
              <w:t xml:space="preserve">Lower than incidence in legacy </w:t>
            </w:r>
            <w:proofErr w:type="spellStart"/>
            <w:r>
              <w:rPr>
                <w:rFonts w:ascii="Calibri" w:eastAsia="MS Mincho" w:hAnsi="Calibri" w:cs="Calibri"/>
                <w:color w:val="000000"/>
                <w:sz w:val="20"/>
                <w:szCs w:val="20"/>
              </w:rPr>
              <w:t>gTLDs</w:t>
            </w:r>
            <w:proofErr w:type="spellEnd"/>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1A2CB1" w:rsidRDefault="00EC665B">
            <w:pPr>
              <w:widowControl/>
              <w:spacing w:before="60" w:after="60"/>
              <w:jc w:val="center"/>
              <w:rPr>
                <w:rFonts w:ascii="Calibri" w:eastAsia="Times New Roman" w:hAnsi="Calibri" w:cs="Calibri"/>
                <w:color w:val="000000" w:themeColor="text1"/>
                <w:sz w:val="20"/>
                <w:szCs w:val="20"/>
                <w:u w:color="0000FF"/>
              </w:rPr>
            </w:pPr>
            <w:r w:rsidRPr="001A2CB1">
              <w:rPr>
                <w:rFonts w:ascii="Calibri" w:eastAsia="MS Mincho" w:hAnsi="Calibri" w:cs="Calibri"/>
                <w:color w:val="000000" w:themeColor="text1"/>
                <w:sz w:val="20"/>
                <w:szCs w:val="20"/>
                <w:u w:color="0000FF"/>
              </w:rPr>
              <w:t xml:space="preserve">“Lower than incidence in legacy </w:t>
            </w:r>
            <w:proofErr w:type="spellStart"/>
            <w:r w:rsidRPr="001A2CB1">
              <w:rPr>
                <w:rFonts w:ascii="Calibri" w:eastAsia="MS Mincho" w:hAnsi="Calibri" w:cs="Calibri"/>
                <w:color w:val="000000" w:themeColor="text1"/>
                <w:sz w:val="20"/>
                <w:szCs w:val="20"/>
                <w:u w:color="0000FF"/>
              </w:rPr>
              <w:t>gTLDs</w:t>
            </w:r>
            <w:proofErr w:type="spellEnd"/>
            <w:r w:rsidRPr="001A2CB1">
              <w:rPr>
                <w:rFonts w:ascii="Calibri" w:eastAsia="MS Mincho" w:hAnsi="Calibri" w:cs="Calibri"/>
                <w:color w:val="000000" w:themeColor="text1"/>
                <w:sz w:val="20"/>
                <w:szCs w:val="20"/>
                <w:u w:color="0000FF"/>
              </w:rPr>
              <w:t xml:space="preserve">” is far too low a bar for a target.  This assumes that any improvement over legacy </w:t>
            </w:r>
            <w:proofErr w:type="spellStart"/>
            <w:r w:rsidRPr="001A2CB1">
              <w:rPr>
                <w:rFonts w:ascii="Calibri" w:eastAsia="MS Mincho" w:hAnsi="Calibri" w:cs="Calibri"/>
                <w:color w:val="000000" w:themeColor="text1"/>
                <w:sz w:val="20"/>
                <w:szCs w:val="20"/>
                <w:u w:color="0000FF"/>
              </w:rPr>
              <w:t>gTLDs</w:t>
            </w:r>
            <w:proofErr w:type="spellEnd"/>
            <w:r w:rsidRPr="001A2CB1">
              <w:rPr>
                <w:rFonts w:ascii="Calibri" w:eastAsia="MS Mincho" w:hAnsi="Calibri" w:cs="Calibri"/>
                <w:color w:val="000000" w:themeColor="text1"/>
                <w:sz w:val="20"/>
                <w:szCs w:val="20"/>
                <w:u w:color="0000FF"/>
              </w:rPr>
              <w:t xml:space="preserve"> is a “success.”  For each of these metrics the target should be a stated percentage lower than in legacy </w:t>
            </w:r>
            <w:proofErr w:type="spellStart"/>
            <w:r w:rsidRPr="001A2CB1">
              <w:rPr>
                <w:rFonts w:ascii="Calibri" w:eastAsia="MS Mincho" w:hAnsi="Calibri" w:cs="Calibri"/>
                <w:color w:val="000000" w:themeColor="text1"/>
                <w:sz w:val="20"/>
                <w:szCs w:val="20"/>
                <w:u w:color="0000FF"/>
              </w:rPr>
              <w:t>gTLDs</w:t>
            </w:r>
            <w:proofErr w:type="spellEnd"/>
            <w:r w:rsidRPr="001A2CB1">
              <w:rPr>
                <w:rFonts w:ascii="Calibri" w:eastAsia="MS Mincho" w:hAnsi="Calibri" w:cs="Calibri"/>
                <w:color w:val="000000" w:themeColor="text1"/>
                <w:sz w:val="20"/>
                <w:szCs w:val="20"/>
                <w:u w:color="0000FF"/>
              </w:rPr>
              <w:t xml:space="preserve"> (e.g., 50% lower).</w:t>
            </w:r>
          </w:p>
        </w:tc>
      </w:tr>
    </w:tbl>
    <w:p w:rsidR="00A13668" w:rsidRDefault="00A13668">
      <w:pPr>
        <w:rPr>
          <w:rFonts w:ascii="Calibri" w:eastAsia="Times New Roman" w:hAnsi="Calibri" w:cs="Calibri"/>
          <w:sz w:val="20"/>
          <w:szCs w:val="20"/>
        </w:rPr>
      </w:pPr>
    </w:p>
    <w:p w:rsidR="00A13668" w:rsidRDefault="00EC665B">
      <w:pPr>
        <w:widowControl/>
        <w:rPr>
          <w:rFonts w:ascii="Calibri" w:eastAsia="Times New Roman" w:hAnsi="Calibri" w:cs="Calibri"/>
          <w:sz w:val="20"/>
          <w:szCs w:val="20"/>
        </w:rPr>
      </w:pPr>
      <w:r>
        <w:rPr>
          <w:rFonts w:ascii="Calibri" w:eastAsia="Times New Roman" w:hAnsi="Calibri" w:cs="Calibri"/>
          <w:sz w:val="20"/>
          <w:szCs w:val="20"/>
        </w:rPr>
        <w:br w:type="page"/>
      </w:r>
    </w:p>
    <w:p w:rsidR="00A13668" w:rsidRDefault="00EC665B">
      <w:pPr>
        <w:widowControl/>
        <w:rPr>
          <w:rFonts w:ascii="Calibri" w:eastAsia="Times New Roman" w:hAnsi="Calibri" w:cs="Calibri"/>
          <w:sz w:val="20"/>
          <w:szCs w:val="20"/>
        </w:rPr>
      </w:pPr>
      <w:r>
        <w:rPr>
          <w:rFonts w:ascii="Calibri" w:eastAsia="MS Mincho" w:hAnsi="Calibri" w:cs="Calibri"/>
          <w:b/>
          <w:bCs/>
          <w:sz w:val="20"/>
          <w:szCs w:val="20"/>
        </w:rPr>
        <w:lastRenderedPageBreak/>
        <w:t>Measures of Consumer Choice </w:t>
      </w:r>
      <w:r>
        <w:rPr>
          <w:rFonts w:ascii="Calibri" w:eastAsia="Times New Roman" w:hAnsi="Calibri" w:cs="Calibri"/>
          <w:sz w:val="20"/>
          <w:szCs w:val="20"/>
        </w:rPr>
        <w:t xml:space="preserve"> </w:t>
      </w:r>
    </w:p>
    <w:p w:rsidR="00A13668" w:rsidRDefault="00A13668">
      <w:pPr>
        <w:rPr>
          <w:rFonts w:ascii="Calibri" w:eastAsia="Times New Roman" w:hAnsi="Calibri" w:cs="Calibri"/>
          <w:sz w:val="20"/>
          <w:szCs w:val="20"/>
        </w:rPr>
      </w:pPr>
    </w:p>
    <w:p w:rsidR="00A13668" w:rsidRDefault="00EC665B">
      <w:pPr>
        <w:rPr>
          <w:rFonts w:ascii="Calibri" w:eastAsia="Times New Roman" w:hAnsi="Calibri" w:cs="Calibri"/>
          <w:sz w:val="20"/>
          <w:szCs w:val="20"/>
        </w:rPr>
      </w:pPr>
      <w:r>
        <w:rPr>
          <w:rFonts w:ascii="Calibri" w:eastAsia="Times New Roman" w:hAnsi="Calibri" w:cs="Calibri"/>
          <w:sz w:val="20"/>
          <w:szCs w:val="20"/>
        </w:rPr>
        <w:t>For reference, the definitions of Consumer and Consumer Choice are repeated here:</w:t>
      </w:r>
    </w:p>
    <w:p w:rsidR="00A13668" w:rsidRDefault="00A13668">
      <w:pPr>
        <w:rPr>
          <w:rFonts w:ascii="Calibri" w:eastAsia="Times New Roman" w:hAnsi="Calibri" w:cs="Calibri"/>
          <w:sz w:val="20"/>
          <w:szCs w:val="20"/>
        </w:rPr>
      </w:pPr>
    </w:p>
    <w:p w:rsidR="00A13668" w:rsidRDefault="00EC665B">
      <w:pPr>
        <w:ind w:left="720"/>
        <w:rPr>
          <w:rFonts w:ascii="Calibri" w:eastAsia="Times New Roman" w:hAnsi="Calibri" w:cs="Calibri"/>
          <w:color w:val="000000"/>
          <w:sz w:val="20"/>
          <w:szCs w:val="20"/>
        </w:rPr>
      </w:pPr>
      <w:r>
        <w:rPr>
          <w:rFonts w:ascii="Calibri" w:eastAsia="MS Mincho" w:hAnsi="Calibri" w:cs="Calibri"/>
          <w:b/>
          <w:bCs/>
          <w:color w:val="000000"/>
          <w:sz w:val="20"/>
          <w:szCs w:val="20"/>
        </w:rPr>
        <w:t>Consumer</w:t>
      </w:r>
      <w:r>
        <w:rPr>
          <w:rFonts w:ascii="Calibri" w:eastAsia="MS Mincho" w:hAnsi="Calibri" w:cs="Calibri"/>
          <w:color w:val="000000"/>
          <w:sz w:val="20"/>
          <w:szCs w:val="20"/>
        </w:rPr>
        <w:t xml:space="preserve"> is defined as actual and potential Internet users and registrants.</w:t>
      </w:r>
    </w:p>
    <w:p w:rsidR="00A13668" w:rsidRDefault="00A13668">
      <w:pPr>
        <w:ind w:left="720"/>
        <w:rPr>
          <w:rFonts w:ascii="Calibri" w:eastAsia="Times New Roman" w:hAnsi="Calibri" w:cs="Calibri"/>
          <w:b/>
          <w:bCs/>
          <w:sz w:val="20"/>
          <w:szCs w:val="20"/>
        </w:rPr>
      </w:pPr>
    </w:p>
    <w:p w:rsidR="00A13668" w:rsidRDefault="00EC665B">
      <w:pPr>
        <w:ind w:left="720"/>
        <w:rPr>
          <w:rFonts w:ascii="Calibri" w:eastAsia="Times New Roman" w:hAnsi="Calibri" w:cs="Calibri"/>
          <w:sz w:val="20"/>
          <w:szCs w:val="20"/>
        </w:rPr>
      </w:pPr>
      <w:r>
        <w:rPr>
          <w:rFonts w:ascii="Calibri" w:eastAsia="Times New Roman" w:hAnsi="Calibri" w:cs="Calibri"/>
          <w:b/>
          <w:bCs/>
          <w:sz w:val="20"/>
          <w:szCs w:val="20"/>
        </w:rPr>
        <w:t>Consumer Choice </w:t>
      </w:r>
      <w:r>
        <w:rPr>
          <w:rFonts w:ascii="Calibri" w:eastAsia="MS Mincho" w:hAnsi="Calibri" w:cs="Calibri"/>
          <w:sz w:val="20"/>
          <w:szCs w:val="20"/>
        </w:rPr>
        <w:t xml:space="preserve">is defined </w:t>
      </w:r>
      <w:r>
        <w:rPr>
          <w:rFonts w:ascii="Calibri" w:eastAsia="MS Mincho" w:hAnsi="Calibri" w:cs="Calibri"/>
          <w:color w:val="0000FF"/>
          <w:sz w:val="20"/>
          <w:szCs w:val="20"/>
          <w:u w:val="double" w:color="0000FF"/>
        </w:rPr>
        <w:t xml:space="preserve">for registrants and users </w:t>
      </w:r>
      <w:r>
        <w:rPr>
          <w:rFonts w:ascii="Calibri" w:eastAsia="MS Mincho" w:hAnsi="Calibri" w:cs="Calibri"/>
          <w:sz w:val="20"/>
          <w:szCs w:val="20"/>
        </w:rPr>
        <w:t xml:space="preserve">as the range of options available to registrants and users for domain scripts and languages, and for TLDs </w:t>
      </w:r>
      <w:r>
        <w:rPr>
          <w:rFonts w:ascii="Calibri" w:eastAsia="MS Mincho" w:hAnsi="Calibri" w:cs="Calibri"/>
          <w:color w:val="0000FF"/>
          <w:sz w:val="20"/>
          <w:szCs w:val="20"/>
          <w:u w:val="double" w:color="0000FF"/>
        </w:rPr>
        <w:t xml:space="preserve">and for users as the range of options for users to access and use websites and resources in both legacy and new TLDs </w:t>
      </w:r>
      <w:r>
        <w:rPr>
          <w:rFonts w:ascii="Calibri" w:eastAsia="MS Mincho" w:hAnsi="Calibri" w:cs="Calibri"/>
          <w:sz w:val="20"/>
          <w:szCs w:val="20"/>
        </w:rPr>
        <w:t>that offer choices as to the proposed purpose and integrity of their domain name registrants.</w:t>
      </w:r>
    </w:p>
    <w:p w:rsidR="00A13668" w:rsidRDefault="00A13668">
      <w:pPr>
        <w:ind w:left="720"/>
        <w:rPr>
          <w:rFonts w:ascii="Calibri" w:eastAsia="Times New Roman" w:hAnsi="Calibri" w:cs="Calibri"/>
          <w:sz w:val="20"/>
          <w:szCs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2817"/>
        <w:gridCol w:w="1080"/>
        <w:gridCol w:w="2790"/>
        <w:gridCol w:w="1530"/>
        <w:gridCol w:w="4653"/>
      </w:tblGrid>
      <w:tr w:rsidR="00A13668">
        <w:trPr>
          <w:trHeight w:val="690"/>
          <w:tblHeader/>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b/>
                <w:bCs/>
                <w:color w:val="000000"/>
                <w:sz w:val="20"/>
                <w:szCs w:val="20"/>
              </w:rPr>
            </w:pPr>
            <w:r>
              <w:rPr>
                <w:rFonts w:ascii="Calibri" w:eastAsia="Times New Roman" w:hAnsi="Calibri" w:cs="Calibri"/>
                <w:b/>
                <w:bCs/>
                <w:color w:val="000000"/>
                <w:sz w:val="20"/>
                <w:szCs w:val="20"/>
              </w:rPr>
              <w:t>Measure of Consumer Choice</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Source</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3-year</w:t>
            </w:r>
          </w:p>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Target</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EC665B">
            <w:pPr>
              <w:widowControl/>
              <w:spacing w:before="60" w:after="60"/>
              <w:jc w:val="center"/>
              <w:rPr>
                <w:rFonts w:ascii="Calibri" w:eastAsia="Times New Roman" w:hAnsi="Calibri" w:cs="Calibri"/>
                <w:b/>
                <w:bCs/>
                <w:sz w:val="20"/>
                <w:szCs w:val="20"/>
                <w:u w:color="0000FF"/>
              </w:rPr>
            </w:pPr>
            <w:r w:rsidRPr="00EB5AB5">
              <w:rPr>
                <w:rFonts w:ascii="Calibri" w:eastAsia="Times New Roman" w:hAnsi="Calibri" w:cs="Calibri"/>
                <w:b/>
                <w:bCs/>
                <w:sz w:val="20"/>
                <w:szCs w:val="20"/>
                <w:u w:color="0000FF"/>
              </w:rPr>
              <w:t>INTA Internet Committee Comments</w:t>
            </w:r>
          </w:p>
        </w:tc>
      </w:tr>
      <w:tr w:rsidR="00A13668">
        <w:trPr>
          <w:trHeight w:val="690"/>
        </w:trPr>
        <w:tc>
          <w:tcPr>
            <w:tcW w:w="8217" w:type="dxa"/>
            <w:gridSpan w:val="4"/>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Transparency and clarity of gTLD registry benefits and restrictions, so that registrants and users can make meaningful distinctions when choosing TLDs.  </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A13668">
            <w:pPr>
              <w:widowControl/>
              <w:spacing w:before="60" w:after="60"/>
              <w:rPr>
                <w:rFonts w:ascii="Calibri" w:eastAsia="Times New Roman" w:hAnsi="Calibri" w:cs="Calibri"/>
                <w:i/>
                <w:iCs/>
                <w:sz w:val="20"/>
                <w:szCs w:val="20"/>
                <w:u w:color="0000FF"/>
              </w:rPr>
            </w:pP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Registry website should clearly disclose benefits and restrictions.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Audit of Registry websites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Moderate difficulty in auditing registrars’ display of terms and conditions for each gTLD they offer.</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All Registries should disclose</w:t>
            </w:r>
          </w:p>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(e.g. ICM’s </w:t>
            </w:r>
            <w:hyperlink r:id="rId7" w:history="1">
              <w:r>
                <w:rPr>
                  <w:rStyle w:val="Hyperlink"/>
                  <w:rFonts w:ascii="Calibri" w:eastAsia="Times New Roman" w:hAnsi="Calibri" w:cs="Calibri"/>
                  <w:sz w:val="20"/>
                  <w:szCs w:val="20"/>
                </w:rPr>
                <w:t>disclosure</w:t>
              </w:r>
            </w:hyperlink>
            <w:r>
              <w:rPr>
                <w:rFonts w:ascii="Calibri" w:eastAsia="Times New Roman" w:hAnsi="Calibri" w:cs="Calibri"/>
                <w:color w:val="000000"/>
                <w:sz w:val="20"/>
                <w:szCs w:val="20"/>
              </w:rPr>
              <w:t xml:space="preserve"> for .xxx )</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EC665B">
            <w:pPr>
              <w:widowControl/>
              <w:spacing w:before="60" w:after="60"/>
              <w:jc w:val="center"/>
              <w:rPr>
                <w:rFonts w:ascii="Calibri" w:eastAsia="Times New Roman" w:hAnsi="Calibri" w:cs="Calibri"/>
                <w:sz w:val="20"/>
                <w:szCs w:val="20"/>
                <w:u w:color="0000FF"/>
              </w:rPr>
            </w:pPr>
            <w:r w:rsidRPr="00EB5AB5">
              <w:rPr>
                <w:rFonts w:ascii="Calibri" w:eastAsia="Times New Roman" w:hAnsi="Calibri" w:cs="Calibri"/>
                <w:sz w:val="20"/>
                <w:szCs w:val="20"/>
                <w:u w:color="0000FF"/>
              </w:rPr>
              <w:t xml:space="preserve"> Support.</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Registrars</w:t>
            </w:r>
            <w:r>
              <w:rPr>
                <w:rFonts w:ascii="Calibri" w:eastAsia="Times New Roman" w:hAnsi="Calibri" w:cs="Calibri"/>
                <w:color w:val="0000FF"/>
                <w:sz w:val="20"/>
                <w:szCs w:val="20"/>
                <w:u w:val="double" w:color="0000FF"/>
              </w:rPr>
              <w:t>'</w:t>
            </w:r>
            <w:r>
              <w:rPr>
                <w:rFonts w:ascii="Calibri" w:eastAsia="Times New Roman" w:hAnsi="Calibri" w:cs="Calibri"/>
                <w:color w:val="000000"/>
                <w:sz w:val="20"/>
                <w:szCs w:val="20"/>
              </w:rPr>
              <w:t xml:space="preserve"> websites should clearly disclose gTLD benefits and restrictions in the terms &amp; conditions for each respective TLD they offer.</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Audit of Registrar websites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Moderate difficulty in auditing registrars’ display of terms and conditions for each gTLD they offer.</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All Registrars  should disclose for all offered TLDs</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EC665B">
            <w:pPr>
              <w:widowControl/>
              <w:spacing w:before="60" w:after="60"/>
              <w:jc w:val="center"/>
              <w:rPr>
                <w:rFonts w:ascii="Calibri" w:eastAsia="Times New Roman" w:hAnsi="Calibri" w:cs="Calibri"/>
                <w:sz w:val="20"/>
                <w:szCs w:val="20"/>
                <w:u w:color="0000FF"/>
              </w:rPr>
            </w:pPr>
            <w:r w:rsidRPr="00EB5AB5">
              <w:rPr>
                <w:rFonts w:ascii="Calibri" w:eastAsia="Times New Roman" w:hAnsi="Calibri" w:cs="Calibri"/>
                <w:sz w:val="20"/>
                <w:szCs w:val="20"/>
                <w:u w:color="0000FF"/>
              </w:rPr>
              <w:t>The ease of locating and accessing Terms and Conditions should be considered.</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gTLD registry benefits and restrictions should be clear and understandable to registrants and users. </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Ry</w:t>
            </w:r>
            <w:proofErr w:type="spellEnd"/>
            <w:r>
              <w:rPr>
                <w:rFonts w:ascii="Calibri" w:eastAsia="Times New Roman" w:hAnsi="Calibri" w:cs="Calibri"/>
                <w:color w:val="000000"/>
                <w:sz w:val="20"/>
                <w:szCs w:val="20"/>
              </w:rPr>
              <w:t xml:space="preserve"> and </w:t>
            </w:r>
            <w:proofErr w:type="spellStart"/>
            <w:r>
              <w:rPr>
                <w:rFonts w:ascii="Calibri" w:eastAsia="Times New Roman" w:hAnsi="Calibri" w:cs="Calibri"/>
                <w:color w:val="000000"/>
                <w:sz w:val="20"/>
                <w:szCs w:val="20"/>
              </w:rPr>
              <w:t>Rr</w:t>
            </w:r>
            <w:proofErr w:type="spellEnd"/>
            <w:r>
              <w:rPr>
                <w:rFonts w:ascii="Calibri" w:eastAsia="Times New Roman" w:hAnsi="Calibri" w:cs="Calibri"/>
                <w:color w:val="000000"/>
                <w:sz w:val="20"/>
                <w:szCs w:val="20"/>
              </w:rPr>
              <w:t xml:space="preserve"> websites;</w:t>
            </w:r>
          </w:p>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surveys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A survey of registrants and users could assess clarity.</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All disclosures should use “plain language”</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EC665B">
            <w:pPr>
              <w:widowControl/>
              <w:spacing w:before="60" w:after="60"/>
              <w:jc w:val="center"/>
              <w:rPr>
                <w:rFonts w:ascii="Calibri" w:eastAsia="Times New Roman" w:hAnsi="Calibri" w:cs="Calibri"/>
                <w:sz w:val="20"/>
                <w:szCs w:val="20"/>
                <w:u w:color="0000FF"/>
              </w:rPr>
            </w:pPr>
            <w:r w:rsidRPr="00EB5AB5">
              <w:rPr>
                <w:rFonts w:ascii="Calibri" w:eastAsia="MS Mincho" w:hAnsi="Calibri" w:cs="Calibri"/>
                <w:sz w:val="20"/>
                <w:szCs w:val="20"/>
                <w:u w:color="0000FF"/>
              </w:rPr>
              <w:t xml:space="preserve">Both “plain language” and clarity of benefits and restrictions should be measured and rated.  </w:t>
            </w:r>
          </w:p>
        </w:tc>
      </w:tr>
      <w:tr w:rsidR="00A13668">
        <w:trPr>
          <w:trHeight w:val="690"/>
        </w:trPr>
        <w:tc>
          <w:tcPr>
            <w:tcW w:w="2817" w:type="dxa"/>
            <w:tcBorders>
              <w:top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Accuracy of search engines in locating and linking to pages offering goods or services or information being sought by internet users.</w:t>
            </w:r>
          </w:p>
        </w:tc>
        <w:tc>
          <w:tcPr>
            <w:tcW w:w="108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 xml:space="preserve">User survey, study of search results for trademark </w:t>
            </w:r>
            <w:r>
              <w:rPr>
                <w:rFonts w:ascii="Calibri" w:eastAsia="Times New Roman" w:hAnsi="Calibri" w:cs="Calibri"/>
                <w:color w:val="0000FF"/>
                <w:sz w:val="20"/>
                <w:szCs w:val="20"/>
                <w:u w:val="double" w:color="0000FF"/>
              </w:rPr>
              <w:lastRenderedPageBreak/>
              <w:t>and generic term searches or feedback from search engines</w:t>
            </w:r>
          </w:p>
        </w:tc>
        <w:tc>
          <w:tcPr>
            <w:tcW w:w="279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lastRenderedPageBreak/>
              <w:t>Could be difficult to obtain empirical data unless a study is conducted using  trademark and generic search terms to obtain statistically significant data</w:t>
            </w:r>
          </w:p>
        </w:tc>
        <w:tc>
          <w:tcPr>
            <w:tcW w:w="153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 xml:space="preserve">Sites featuring trademarked goods or services, or the goods or services </w:t>
            </w:r>
            <w:r>
              <w:rPr>
                <w:rFonts w:ascii="Calibri" w:eastAsia="Times New Roman" w:hAnsi="Calibri" w:cs="Calibri"/>
                <w:color w:val="0000FF"/>
                <w:sz w:val="20"/>
                <w:szCs w:val="20"/>
                <w:u w:val="double" w:color="0000FF"/>
              </w:rPr>
              <w:lastRenderedPageBreak/>
              <w:t>represented by generic terms are accurately listed in search results in hierarchical order.</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A13668">
            <w:pPr>
              <w:widowControl/>
              <w:spacing w:before="60" w:after="60"/>
              <w:jc w:val="center"/>
              <w:rPr>
                <w:rFonts w:ascii="Calibri" w:eastAsia="MS Mincho" w:hAnsi="Calibri" w:cs="Calibri"/>
                <w:sz w:val="20"/>
                <w:szCs w:val="20"/>
                <w:u w:color="0000FF"/>
              </w:rPr>
            </w:pPr>
          </w:p>
        </w:tc>
      </w:tr>
      <w:tr w:rsidR="00A13668">
        <w:trPr>
          <w:trHeight w:val="690"/>
        </w:trPr>
        <w:tc>
          <w:tcPr>
            <w:tcW w:w="8217" w:type="dxa"/>
            <w:gridSpan w:val="4"/>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i/>
                <w:iCs/>
                <w:color w:val="000000"/>
                <w:sz w:val="20"/>
                <w:szCs w:val="20"/>
              </w:rPr>
            </w:pPr>
            <w:r>
              <w:rPr>
                <w:rFonts w:ascii="Calibri" w:eastAsia="Times New Roman" w:hAnsi="Calibri" w:cs="Calibri"/>
                <w:i/>
                <w:iCs/>
                <w:color w:val="000000"/>
                <w:sz w:val="20"/>
                <w:szCs w:val="20"/>
              </w:rPr>
              <w:lastRenderedPageBreak/>
              <w:t>Range of options available to registrants and users in terms of scripts and national laws</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A13668">
            <w:pPr>
              <w:widowControl/>
              <w:spacing w:before="60" w:after="60"/>
              <w:rPr>
                <w:rFonts w:ascii="Calibri" w:eastAsia="Times New Roman" w:hAnsi="Calibri" w:cs="Calibri"/>
                <w:i/>
                <w:iCs/>
                <w:sz w:val="20"/>
                <w:szCs w:val="20"/>
                <w:u w:color="0000FF"/>
              </w:rPr>
            </w:pP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Quantity of TLDs using IDN scripts or languages other than English.</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Registry websites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Increase in number of TLDs offering these choices, relative to 2011 </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EC665B">
            <w:pPr>
              <w:widowControl/>
              <w:spacing w:before="60" w:after="60"/>
              <w:jc w:val="center"/>
              <w:rPr>
                <w:rFonts w:ascii="Calibri" w:eastAsia="Times New Roman" w:hAnsi="Calibri" w:cs="Calibri"/>
                <w:sz w:val="20"/>
                <w:szCs w:val="20"/>
                <w:u w:color="0000FF"/>
              </w:rPr>
            </w:pPr>
            <w:r w:rsidRPr="00EB5AB5">
              <w:rPr>
                <w:rFonts w:ascii="Calibri" w:eastAsia="Times New Roman" w:hAnsi="Calibri" w:cs="Calibri"/>
                <w:sz w:val="20"/>
                <w:szCs w:val="20"/>
                <w:u w:color="0000FF"/>
              </w:rPr>
              <w:t>Support</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Quantity of Registrar websites offering IDN scripts or languages other than English.</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Registrar websites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Increase in number of Registrars offering these choices, relative to 2011</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EC665B">
            <w:pPr>
              <w:widowControl/>
              <w:spacing w:before="60" w:after="60"/>
              <w:jc w:val="center"/>
              <w:rPr>
                <w:rFonts w:ascii="Calibri" w:eastAsia="Times New Roman" w:hAnsi="Calibri" w:cs="Calibri"/>
                <w:sz w:val="20"/>
                <w:szCs w:val="20"/>
                <w:u w:color="0000FF"/>
              </w:rPr>
            </w:pPr>
            <w:r w:rsidRPr="00EB5AB5">
              <w:rPr>
                <w:rFonts w:ascii="Calibri" w:eastAsia="Times New Roman" w:hAnsi="Calibri" w:cs="Calibri"/>
                <w:sz w:val="20"/>
                <w:szCs w:val="20"/>
                <w:u w:color="0000FF"/>
              </w:rPr>
              <w:t>Support.</w:t>
            </w:r>
          </w:p>
        </w:tc>
      </w:tr>
      <w:tr w:rsidR="00A13668">
        <w:trPr>
          <w:trHeight w:val="690"/>
        </w:trPr>
        <w:tc>
          <w:tcPr>
            <w:tcW w:w="2817" w:type="dxa"/>
            <w:tcBorders>
              <w:top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The percentage of IDNs in each script or language should be compared to the percentage of people who speak or utilize each particular language or script</w:t>
            </w:r>
          </w:p>
        </w:tc>
        <w:tc>
          <w:tcPr>
            <w:tcW w:w="108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Registry websites and statistical determination of number of speakers or script users</w:t>
            </w:r>
          </w:p>
        </w:tc>
        <w:tc>
          <w:tcPr>
            <w:tcW w:w="279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Must identify reliable source of number of speakers or users of each language or script.</w:t>
            </w:r>
          </w:p>
        </w:tc>
        <w:tc>
          <w:tcPr>
            <w:tcW w:w="153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MS Mincho" w:hAnsi="Calibri" w:cs="Calibri"/>
                <w:color w:val="0000FF"/>
                <w:sz w:val="20"/>
                <w:szCs w:val="20"/>
                <w:u w:val="double" w:color="0000FF"/>
              </w:rPr>
              <w:t>This percentage should increase over time.</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A13668">
            <w:pPr>
              <w:widowControl/>
              <w:spacing w:before="60" w:after="60"/>
              <w:jc w:val="center"/>
              <w:rPr>
                <w:rFonts w:ascii="Calibri" w:eastAsia="Times New Roman" w:hAnsi="Calibri" w:cs="Calibri"/>
                <w:sz w:val="20"/>
                <w:szCs w:val="20"/>
                <w:u w:color="0000FF"/>
              </w:rPr>
            </w:pP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 xml:space="preserve">Quantity of different national legal regimes where new gTLD registries are based. </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Registry websites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Not difficult, if each nation is counted as a separate legal regime.</w:t>
            </w:r>
          </w:p>
          <w:p w:rsidR="00A13668" w:rsidRDefault="00A13668">
            <w:pPr>
              <w:widowControl/>
              <w:spacing w:before="60" w:after="60"/>
              <w:rPr>
                <w:rFonts w:ascii="Calibri" w:eastAsia="Times New Roman" w:hAnsi="Calibri" w:cs="Calibr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choices in new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 xml:space="preserve"> &gt; number in legacy </w:t>
            </w:r>
            <w:proofErr w:type="spellStart"/>
            <w:r>
              <w:rPr>
                <w:rFonts w:ascii="Calibri" w:eastAsia="Times New Roman" w:hAnsi="Calibri" w:cs="Calibri"/>
                <w:color w:val="000000"/>
                <w:sz w:val="20"/>
                <w:szCs w:val="20"/>
              </w:rPr>
              <w:t>gTLDs</w:t>
            </w:r>
            <w:proofErr w:type="spellEnd"/>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EC665B">
            <w:pPr>
              <w:widowControl/>
              <w:spacing w:before="60" w:after="60"/>
              <w:jc w:val="center"/>
              <w:rPr>
                <w:rFonts w:ascii="Calibri" w:eastAsia="Times New Roman" w:hAnsi="Calibri" w:cs="Calibri"/>
                <w:sz w:val="20"/>
                <w:szCs w:val="20"/>
                <w:u w:color="0000FF"/>
              </w:rPr>
            </w:pPr>
            <w:r w:rsidRPr="00EB5AB5">
              <w:rPr>
                <w:rFonts w:ascii="Calibri" w:eastAsia="Times New Roman" w:hAnsi="Calibri" w:cs="Calibri"/>
                <w:sz w:val="20"/>
                <w:szCs w:val="20"/>
                <w:u w:color="0000FF"/>
              </w:rPr>
              <w:t xml:space="preserve"> Support.</w:t>
            </w:r>
          </w:p>
        </w:tc>
      </w:tr>
      <w:tr w:rsidR="00A13668">
        <w:trPr>
          <w:trHeight w:val="665"/>
        </w:trPr>
        <w:tc>
          <w:tcPr>
            <w:tcW w:w="2817" w:type="dxa"/>
            <w:tcBorders>
              <w:top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Quantity of TLDs using IDN scripts or languages other than English which are independent of national governments or government control.</w:t>
            </w:r>
          </w:p>
        </w:tc>
        <w:tc>
          <w:tcPr>
            <w:tcW w:w="108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Registry and registrar websites</w:t>
            </w:r>
          </w:p>
        </w:tc>
        <w:tc>
          <w:tcPr>
            <w:tcW w:w="279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Presume TLDs not owned by government or government agency qualify; More difficult to determine government control unless self-identified in Terms of Use</w:t>
            </w:r>
          </w:p>
        </w:tc>
        <w:tc>
          <w:tcPr>
            <w:tcW w:w="153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Increase in number of independent IDN TLDs over time – measure at first round, second round, etc.</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EB5AB5" w:rsidRDefault="00EC665B">
            <w:pPr>
              <w:widowControl/>
              <w:spacing w:before="60" w:after="60"/>
              <w:jc w:val="center"/>
              <w:rPr>
                <w:rFonts w:ascii="Calibri" w:eastAsia="Times New Roman" w:hAnsi="Calibri" w:cs="Calibri"/>
                <w:sz w:val="20"/>
                <w:szCs w:val="20"/>
                <w:u w:color="0000FF"/>
              </w:rPr>
            </w:pPr>
            <w:r w:rsidRPr="00EB5AB5">
              <w:rPr>
                <w:rFonts w:ascii="Calibri" w:eastAsia="Times New Roman" w:hAnsi="Calibri" w:cs="Calibri"/>
                <w:sz w:val="20"/>
                <w:szCs w:val="20"/>
                <w:u w:color="0000FF"/>
              </w:rPr>
              <w:t>Support.</w:t>
            </w:r>
          </w:p>
        </w:tc>
      </w:tr>
    </w:tbl>
    <w:p w:rsidR="00A13668" w:rsidRDefault="00EC665B">
      <w:pPr>
        <w:widowControl/>
        <w:rPr>
          <w:rFonts w:ascii="Calibri" w:eastAsia="Times New Roman" w:hAnsi="Calibri" w:cs="Calibri"/>
          <w:sz w:val="20"/>
          <w:szCs w:val="20"/>
        </w:rPr>
      </w:pPr>
      <w:r>
        <w:rPr>
          <w:rFonts w:ascii="Calibri" w:eastAsia="Times New Roman" w:hAnsi="Calibri" w:cs="Calibri"/>
          <w:sz w:val="20"/>
          <w:szCs w:val="20"/>
        </w:rPr>
        <w:br w:type="page"/>
      </w:r>
    </w:p>
    <w:p w:rsidR="00A13668" w:rsidRDefault="00A13668">
      <w:pPr>
        <w:widowControl/>
        <w:rPr>
          <w:rFonts w:ascii="Calibri" w:eastAsia="Times New Roman" w:hAnsi="Calibri" w:cs="Calibri"/>
          <w:sz w:val="20"/>
          <w:szCs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2817"/>
        <w:gridCol w:w="1080"/>
        <w:gridCol w:w="2790"/>
        <w:gridCol w:w="1530"/>
        <w:gridCol w:w="4653"/>
      </w:tblGrid>
      <w:tr w:rsidR="00A13668">
        <w:trPr>
          <w:trHeight w:val="690"/>
        </w:trPr>
        <w:tc>
          <w:tcPr>
            <w:tcW w:w="8217" w:type="dxa"/>
            <w:gridSpan w:val="4"/>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Measures designed to assess whether prior registrants chose new </w:t>
            </w:r>
            <w:proofErr w:type="spellStart"/>
            <w:r>
              <w:rPr>
                <w:rFonts w:ascii="Calibri" w:eastAsia="Times New Roman" w:hAnsi="Calibri" w:cs="Calibri"/>
                <w:i/>
                <w:iCs/>
                <w:color w:val="000000"/>
                <w:sz w:val="20"/>
                <w:szCs w:val="20"/>
              </w:rPr>
              <w:t>gTLDs</w:t>
            </w:r>
            <w:proofErr w:type="spellEnd"/>
            <w:r>
              <w:rPr>
                <w:rFonts w:ascii="Calibri" w:eastAsia="Times New Roman" w:hAnsi="Calibri" w:cs="Calibri"/>
                <w:i/>
                <w:iCs/>
                <w:color w:val="000000"/>
                <w:sz w:val="20"/>
                <w:szCs w:val="20"/>
              </w:rPr>
              <w:t xml:space="preserve"> for primarily defensive purposes. (Note: registrations using privacy and/or proxy services will not provide meaningful data, and should </w:t>
            </w:r>
            <w:r>
              <w:rPr>
                <w:rFonts w:ascii="Calibri" w:eastAsia="Times New Roman" w:hAnsi="Calibri" w:cs="Calibri"/>
                <w:i/>
                <w:iCs/>
                <w:strike/>
                <w:color w:val="FF0000"/>
                <w:sz w:val="20"/>
                <w:szCs w:val="20"/>
              </w:rPr>
              <w:t xml:space="preserve">there </w:t>
            </w:r>
            <w:proofErr w:type="spellStart"/>
            <w:r>
              <w:rPr>
                <w:rFonts w:ascii="Calibri" w:eastAsia="Times New Roman" w:hAnsi="Calibri" w:cs="Calibri"/>
                <w:i/>
                <w:iCs/>
                <w:strike/>
                <w:color w:val="FF0000"/>
                <w:sz w:val="20"/>
                <w:szCs w:val="20"/>
              </w:rPr>
              <w:t>fore</w:t>
            </w:r>
            <w:r>
              <w:rPr>
                <w:rFonts w:ascii="Calibri" w:eastAsia="Times New Roman" w:hAnsi="Calibri" w:cs="Calibri"/>
                <w:i/>
                <w:iCs/>
                <w:color w:val="0000FF"/>
                <w:sz w:val="20"/>
                <w:szCs w:val="20"/>
                <w:u w:val="double" w:color="0000FF"/>
              </w:rPr>
              <w:t>therefore</w:t>
            </w:r>
            <w:proofErr w:type="spellEnd"/>
            <w:r>
              <w:rPr>
                <w:rFonts w:ascii="Calibri" w:eastAsia="Times New Roman" w:hAnsi="Calibri" w:cs="Calibri"/>
                <w:i/>
                <w:iCs/>
                <w:color w:val="0000FF"/>
                <w:sz w:val="20"/>
                <w:szCs w:val="20"/>
                <w:u w:val="double" w:color="0000FF"/>
              </w:rPr>
              <w:t xml:space="preserve"> </w:t>
            </w:r>
            <w:r>
              <w:rPr>
                <w:rFonts w:ascii="Calibri" w:eastAsia="Times New Roman" w:hAnsi="Calibri" w:cs="Calibri"/>
                <w:i/>
                <w:iCs/>
                <w:color w:val="000000"/>
                <w:sz w:val="20"/>
                <w:szCs w:val="20"/>
              </w:rPr>
              <w:t>not be counted in certain measures)</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Default="00A13668">
            <w:pPr>
              <w:widowControl/>
              <w:spacing w:before="60" w:after="60"/>
              <w:rPr>
                <w:rFonts w:ascii="Calibri" w:eastAsia="Times New Roman" w:hAnsi="Calibri" w:cs="Calibri"/>
                <w:i/>
                <w:iCs/>
                <w:color w:val="0000FF"/>
                <w:sz w:val="20"/>
                <w:szCs w:val="20"/>
                <w:u w:val="double" w:color="0000FF"/>
              </w:rPr>
            </w:pP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b/>
                <w:bCs/>
                <w:color w:val="000000"/>
                <w:sz w:val="20"/>
                <w:szCs w:val="20"/>
              </w:rPr>
            </w:pPr>
            <w:r>
              <w:rPr>
                <w:rFonts w:ascii="Calibri" w:eastAsia="Times New Roman" w:hAnsi="Calibri" w:cs="Calibri"/>
                <w:b/>
                <w:bCs/>
                <w:color w:val="000000"/>
                <w:sz w:val="20"/>
                <w:szCs w:val="20"/>
              </w:rPr>
              <w:t>Measure of Consumer Choice</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Source</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3-year</w:t>
            </w:r>
          </w:p>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Target</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b/>
                <w:bCs/>
                <w:color w:val="000000" w:themeColor="text1"/>
                <w:sz w:val="20"/>
                <w:szCs w:val="20"/>
                <w:u w:color="0000FF"/>
              </w:rPr>
            </w:pPr>
            <w:r w:rsidRPr="0054087C">
              <w:rPr>
                <w:rFonts w:ascii="Calibri" w:eastAsia="Times New Roman" w:hAnsi="Calibri" w:cs="Calibri"/>
                <w:b/>
                <w:bCs/>
                <w:color w:val="000000" w:themeColor="text1"/>
                <w:sz w:val="20"/>
                <w:szCs w:val="20"/>
                <w:u w:color="0000FF"/>
              </w:rPr>
              <w:t>INTA Internet Committee Comments</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A defensive registration is not seen as an improvement in choices available to registrants.  For purposes of this measure,  “defensive registrations” are Sunrise registrations &amp; domain blocks.  Measure share of (Sunrise registrations &amp; domain blocks) to total registrations in each new gTLD.  </w:t>
            </w:r>
            <w:r>
              <w:rPr>
                <w:rFonts w:ascii="Calibri" w:eastAsia="Times New Roman" w:hAnsi="Calibri" w:cs="Calibri"/>
                <w:strike/>
                <w:color w:val="FF0000"/>
                <w:sz w:val="20"/>
                <w:szCs w:val="20"/>
              </w:rPr>
              <w:t>(do not count privacy/proxy registrations)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Zone snapshot at end of Sunrise</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Obtainable, since Registries must publish zone before open registration begins.</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Post-Sunrise registrations &gt; 85% of total registrations.</w:t>
            </w:r>
          </w:p>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Post-sunrise registrations should increase over time.</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t>Percentage change should be considered indicative of degree of success.  Since blocks and sunshine registrations require a registered trademark, there is no need to exclude privacy/proxy registrations from the numerator.</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Relative share of registrations already having the same domain in legacy </w:t>
            </w:r>
            <w:proofErr w:type="spellStart"/>
            <w:r>
              <w:rPr>
                <w:rFonts w:ascii="Calibri" w:eastAsia="Times New Roman" w:hAnsi="Calibri" w:cs="Calibri"/>
                <w:color w:val="0000FF"/>
                <w:sz w:val="20"/>
                <w:szCs w:val="20"/>
                <w:u w:val="double" w:color="0000FF"/>
              </w:rPr>
              <w:t>g</w:t>
            </w:r>
            <w:r>
              <w:rPr>
                <w:rFonts w:ascii="Calibri" w:eastAsia="Times New Roman" w:hAnsi="Calibri" w:cs="Calibri"/>
                <w:color w:val="000000"/>
                <w:sz w:val="20"/>
                <w:szCs w:val="20"/>
              </w:rPr>
              <w:t>TLDs</w:t>
            </w:r>
            <w:proofErr w:type="spellEnd"/>
            <w:r>
              <w:rPr>
                <w:rFonts w:ascii="Calibri" w:eastAsia="Times New Roman" w:hAnsi="Calibri" w:cs="Calibri"/>
                <w:color w:val="000000"/>
                <w:sz w:val="20"/>
                <w:szCs w:val="20"/>
              </w:rPr>
              <w:t xml:space="preserve">.   For this measure, count all registrations that redirect to domains in legacy </w:t>
            </w:r>
            <w:proofErr w:type="spellStart"/>
            <w:r>
              <w:rPr>
                <w:rFonts w:ascii="Calibri" w:eastAsia="Times New Roman" w:hAnsi="Calibri" w:cs="Calibri"/>
                <w:color w:val="0000FF"/>
                <w:sz w:val="20"/>
                <w:szCs w:val="20"/>
                <w:u w:val="double" w:color="0000FF"/>
              </w:rPr>
              <w:t>g</w:t>
            </w:r>
            <w:r>
              <w:rPr>
                <w:rFonts w:ascii="Calibri" w:eastAsia="Times New Roman" w:hAnsi="Calibri" w:cs="Calibri"/>
                <w:color w:val="000000"/>
                <w:sz w:val="20"/>
                <w:szCs w:val="20"/>
              </w:rPr>
              <w:t>TLDs</w:t>
            </w:r>
            <w:proofErr w:type="spellEnd"/>
            <w:r>
              <w:rPr>
                <w:rFonts w:ascii="Calibri" w:eastAsia="Times New Roman" w:hAnsi="Calibri" w:cs="Calibri"/>
                <w:color w:val="000000"/>
                <w:sz w:val="20"/>
                <w:szCs w:val="20"/>
              </w:rPr>
              <w:t>.   (do not count privacy/proxy registrations)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Zone and WHOIS data</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Moderate difficulty to </w:t>
            </w:r>
            <w:proofErr w:type="gramStart"/>
            <w:r>
              <w:rPr>
                <w:rFonts w:ascii="Calibri" w:eastAsia="Times New Roman" w:hAnsi="Calibri" w:cs="Calibri"/>
                <w:color w:val="000000"/>
                <w:sz w:val="20"/>
                <w:szCs w:val="20"/>
              </w:rPr>
              <w:t>snapshot</w:t>
            </w:r>
            <w:proofErr w:type="gramEnd"/>
            <w:r>
              <w:rPr>
                <w:rFonts w:ascii="Calibri" w:eastAsia="Times New Roman" w:hAnsi="Calibri" w:cs="Calibri"/>
                <w:color w:val="000000"/>
                <w:sz w:val="20"/>
                <w:szCs w:val="20"/>
              </w:rPr>
              <w:t xml:space="preserve"> each new gTLD zone &amp; WHOIS at end of years 1, 2, and 3.</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“Redirected” registrations &lt; 15% of all new registrations;</w:t>
            </w:r>
          </w:p>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This % should decline over time</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rPr>
            </w:pPr>
            <w:r w:rsidRPr="0054087C">
              <w:rPr>
                <w:rFonts w:ascii="Calibri" w:eastAsia="Times New Roman" w:hAnsi="Calibri" w:cs="Calibri"/>
                <w:color w:val="000000" w:themeColor="text1"/>
                <w:sz w:val="20"/>
                <w:szCs w:val="20"/>
                <w:u w:color="0000FF"/>
              </w:rPr>
              <w:t>We asserts that 15% is too great of a percentage and that the survey of defensive registrations referenced in "An Economic Framework for the Analysis of the</w:t>
            </w:r>
          </w:p>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t xml:space="preserve">Expansion of Generic Top-Level Domain Names" would support a percentage between 3% and 9%.    </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Survey a sample of “duplicate” registrations in new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  For purposes of this measure, “duplicate” registrations are those where registrant reports having (and still maintaining) the same domain name in a legacy gTLD.</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Online Survey</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Obtainable, using either ICANN or external survey tools and advice</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“Duplicate” registrations &lt; 15% of all new registrations;</w:t>
            </w:r>
          </w:p>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This % should decline over time</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t>NOTE: This would appear to remove from computation information regarding registrants that have a policy of cross-registration of domain names and trademarks. Would weigh</w:t>
            </w:r>
            <w:bookmarkStart w:id="0" w:name="_GoBack"/>
            <w:bookmarkEnd w:id="0"/>
            <w:r w:rsidRPr="0054087C">
              <w:rPr>
                <w:rFonts w:ascii="Calibri" w:eastAsia="Times New Roman" w:hAnsi="Calibri" w:cs="Calibri"/>
                <w:color w:val="000000" w:themeColor="text1"/>
                <w:sz w:val="20"/>
                <w:szCs w:val="20"/>
                <w:u w:color="0000FF"/>
              </w:rPr>
              <w:t xml:space="preserve"> against finding of choice. </w:t>
            </w:r>
          </w:p>
        </w:tc>
      </w:tr>
      <w:tr w:rsidR="00A13668">
        <w:trPr>
          <w:trHeight w:val="432"/>
        </w:trPr>
        <w:tc>
          <w:tcPr>
            <w:tcW w:w="8217" w:type="dxa"/>
            <w:gridSpan w:val="4"/>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Other measures of Consumer Choice in new </w:t>
            </w:r>
            <w:proofErr w:type="spellStart"/>
            <w:r>
              <w:rPr>
                <w:rFonts w:ascii="Calibri" w:eastAsia="Times New Roman" w:hAnsi="Calibri" w:cs="Calibri"/>
                <w:i/>
                <w:iCs/>
                <w:color w:val="000000"/>
                <w:sz w:val="20"/>
                <w:szCs w:val="20"/>
              </w:rPr>
              <w:t>gTLDS</w:t>
            </w:r>
            <w:proofErr w:type="spellEnd"/>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A13668">
            <w:pPr>
              <w:widowControl/>
              <w:spacing w:before="60" w:after="60"/>
              <w:rPr>
                <w:rFonts w:ascii="Calibri" w:eastAsia="Times New Roman" w:hAnsi="Calibri" w:cs="Calibri"/>
                <w:i/>
                <w:iCs/>
                <w:color w:val="000000" w:themeColor="text1"/>
                <w:sz w:val="20"/>
                <w:szCs w:val="20"/>
                <w:u w:color="0000FF"/>
              </w:rPr>
            </w:pPr>
          </w:p>
        </w:tc>
      </w:tr>
      <w:tr w:rsidR="00A13668">
        <w:trPr>
          <w:trHeight w:val="690"/>
        </w:trPr>
        <w:tc>
          <w:tcPr>
            <w:tcW w:w="2817" w:type="dxa"/>
            <w:tcBorders>
              <w:top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rPr>
                <w:rFonts w:ascii="Calibri" w:eastAsia="MS Mincho" w:hAnsi="Calibri" w:cs="Calibri"/>
                <w:color w:val="0000FF"/>
                <w:sz w:val="20"/>
                <w:szCs w:val="20"/>
                <w:u w:val="double"/>
              </w:rPr>
            </w:pPr>
            <w:r>
              <w:rPr>
                <w:rFonts w:ascii="Calibri" w:eastAsia="MS Mincho" w:hAnsi="Calibri" w:cs="Calibri"/>
                <w:color w:val="0000FF"/>
                <w:sz w:val="20"/>
                <w:szCs w:val="20"/>
                <w:u w:val="double" w:color="0000FF"/>
              </w:rPr>
              <w:lastRenderedPageBreak/>
              <w:t>Survey of consumer ability to accurately locate sites offering information, products, or services for which they have searched the internet, relative to their ability to do so before the gTLD expansion.  Survey could measure their ability to locate sites utilizing domain name searches rather than keyword searches.</w:t>
            </w:r>
          </w:p>
          <w:p w:rsidR="00A13668" w:rsidRDefault="00A13668">
            <w:pPr>
              <w:widowControl/>
              <w:spacing w:before="60" w:after="60"/>
              <w:rPr>
                <w:rFonts w:ascii="Calibri" w:eastAsia="Times New Roman" w:hAnsi="Calibri" w:cs="Calibri"/>
                <w:color w:val="0000FF"/>
                <w:sz w:val="20"/>
                <w:szCs w:val="20"/>
                <w:u w:val="double" w:color="0000FF"/>
              </w:rPr>
            </w:pPr>
          </w:p>
        </w:tc>
        <w:tc>
          <w:tcPr>
            <w:tcW w:w="108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Online survey or empirical study</w:t>
            </w:r>
          </w:p>
        </w:tc>
        <w:tc>
          <w:tcPr>
            <w:tcW w:w="279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 xml:space="preserve">User survey may be too subjective to provide data; </w:t>
            </w:r>
          </w:p>
        </w:tc>
        <w:tc>
          <w:tcPr>
            <w:tcW w:w="153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A13668">
            <w:pPr>
              <w:widowControl/>
              <w:spacing w:before="60" w:after="60"/>
              <w:jc w:val="center"/>
              <w:rPr>
                <w:rFonts w:ascii="Calibri" w:eastAsia="Times New Roman" w:hAnsi="Calibri" w:cs="Calibri"/>
                <w:color w:val="0000FF"/>
                <w:sz w:val="20"/>
                <w:szCs w:val="20"/>
                <w:u w:val="double" w:color="0000FF"/>
              </w:rPr>
            </w:pP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t xml:space="preserve">We support, provided that the survey includes the consumer accurately locating sites and screening out </w:t>
            </w:r>
            <w:proofErr w:type="spellStart"/>
            <w:r w:rsidRPr="0054087C">
              <w:rPr>
                <w:rFonts w:ascii="Calibri" w:eastAsia="Times New Roman" w:hAnsi="Calibri" w:cs="Calibri"/>
                <w:color w:val="000000" w:themeColor="text1"/>
                <w:sz w:val="20"/>
                <w:szCs w:val="20"/>
                <w:u w:color="0000FF"/>
              </w:rPr>
              <w:t>cybersquatting</w:t>
            </w:r>
            <w:proofErr w:type="spellEnd"/>
            <w:r w:rsidRPr="0054087C">
              <w:rPr>
                <w:rFonts w:ascii="Calibri" w:eastAsia="Times New Roman" w:hAnsi="Calibri" w:cs="Calibri"/>
                <w:color w:val="000000" w:themeColor="text1"/>
                <w:sz w:val="20"/>
                <w:szCs w:val="20"/>
                <w:u w:color="0000FF"/>
              </w:rPr>
              <w:t xml:space="preserve"> and parked domain names. See above-survey recommended in consumer choice.</w:t>
            </w:r>
          </w:p>
        </w:tc>
      </w:tr>
      <w:tr w:rsidR="00A13668">
        <w:trPr>
          <w:trHeight w:val="690"/>
        </w:trPr>
        <w:tc>
          <w:tcPr>
            <w:tcW w:w="2817"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Measure the increased geographic diversity of registrants across all new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 xml:space="preserve">, as an indication of new choices presented by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 xml:space="preserve"> expansion. (do not count privacy/proxy registrations)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Zone and WHOIS data</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The working group is seeking an index or statistical measure of geographical diversity</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Diversity should be greater than in legacy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w:t>
            </w:r>
          </w:p>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Diversity should increase from previous year.</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t>Support.</w:t>
            </w:r>
          </w:p>
        </w:tc>
      </w:tr>
      <w:tr w:rsidR="00A13668">
        <w:trPr>
          <w:trHeight w:val="690"/>
        </w:trPr>
        <w:tc>
          <w:tcPr>
            <w:tcW w:w="2817" w:type="dxa"/>
            <w:tcBorders>
              <w:top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Measure actual internet traffic to legacy TLDs and new TLDS.</w:t>
            </w:r>
          </w:p>
        </w:tc>
        <w:tc>
          <w:tcPr>
            <w:tcW w:w="108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Zone and root server use data</w:t>
            </w:r>
          </w:p>
        </w:tc>
        <w:tc>
          <w:tcPr>
            <w:tcW w:w="279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The intent is to determine if there has been an increase in traffic to new TLDs.  May want to exclude redirected traffic if possible.</w:t>
            </w:r>
          </w:p>
        </w:tc>
        <w:tc>
          <w:tcPr>
            <w:tcW w:w="1530" w:type="dxa"/>
            <w:tcBorders>
              <w:top w:val="single" w:sz="4" w:space="0" w:color="auto"/>
              <w:left w:val="single" w:sz="4" w:space="0" w:color="auto"/>
              <w:bottom w:val="single" w:sz="4" w:space="0" w:color="auto"/>
              <w:right w:val="single" w:sz="4" w:space="0" w:color="auto"/>
            </w:tcBorders>
            <w:shd w:val="clear" w:color="auto" w:fill="E6E6FA"/>
            <w:tcMar>
              <w:left w:w="108" w:type="dxa"/>
              <w:right w:w="108" w:type="dxa"/>
            </w:tcMar>
            <w:vAlign w:val="center"/>
          </w:tcPr>
          <w:p w:rsidR="00A13668" w:rsidRDefault="00EC665B">
            <w:pPr>
              <w:widowControl/>
              <w:spacing w:before="60" w:after="60"/>
              <w:jc w:val="center"/>
              <w:rPr>
                <w:rFonts w:ascii="Calibri" w:eastAsia="Times New Roman" w:hAnsi="Calibri" w:cs="Calibri"/>
                <w:color w:val="0000FF"/>
                <w:sz w:val="20"/>
                <w:szCs w:val="20"/>
                <w:u w:val="double" w:color="0000FF"/>
              </w:rPr>
            </w:pPr>
            <w:r>
              <w:rPr>
                <w:rFonts w:ascii="Calibri" w:eastAsia="Times New Roman" w:hAnsi="Calibri" w:cs="Calibri"/>
                <w:color w:val="0000FF"/>
                <w:sz w:val="20"/>
                <w:szCs w:val="20"/>
                <w:u w:val="double" w:color="0000FF"/>
              </w:rPr>
              <w:t>Traffic to new TLDs should increase proportionally as compared to traffic to legacy TLDs</w:t>
            </w:r>
          </w:p>
        </w:tc>
        <w:tc>
          <w:tcPr>
            <w:tcW w:w="4653"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t>Support.</w:t>
            </w:r>
          </w:p>
        </w:tc>
      </w:tr>
    </w:tbl>
    <w:p w:rsidR="00A13668" w:rsidRDefault="00A13668">
      <w:pPr>
        <w:ind w:left="720"/>
        <w:rPr>
          <w:rFonts w:ascii="Calibri" w:eastAsia="Times New Roman" w:hAnsi="Calibri" w:cs="Calibri"/>
          <w:sz w:val="20"/>
          <w:szCs w:val="20"/>
        </w:rPr>
      </w:pPr>
    </w:p>
    <w:p w:rsidR="00A13668" w:rsidRDefault="00A13668">
      <w:pPr>
        <w:ind w:left="720"/>
        <w:rPr>
          <w:rFonts w:ascii="Calibri" w:eastAsia="Times New Roman" w:hAnsi="Calibri" w:cs="Calibri"/>
          <w:sz w:val="20"/>
          <w:szCs w:val="20"/>
        </w:rPr>
      </w:pPr>
    </w:p>
    <w:p w:rsidR="00A13668" w:rsidRDefault="00A13668">
      <w:pPr>
        <w:rPr>
          <w:rFonts w:ascii="Calibri" w:eastAsia="Times New Roman" w:hAnsi="Calibri" w:cs="Calibri"/>
          <w:b/>
          <w:bCs/>
          <w:sz w:val="20"/>
          <w:szCs w:val="20"/>
        </w:rPr>
      </w:pPr>
    </w:p>
    <w:p w:rsidR="00A13668" w:rsidRDefault="00EC665B">
      <w:pPr>
        <w:widowControl/>
        <w:rPr>
          <w:rFonts w:ascii="Calibri" w:eastAsia="Times New Roman" w:hAnsi="Calibri" w:cs="Calibri"/>
          <w:b/>
          <w:bCs/>
          <w:sz w:val="20"/>
          <w:szCs w:val="20"/>
        </w:rPr>
      </w:pPr>
      <w:r>
        <w:rPr>
          <w:rFonts w:ascii="Calibri" w:eastAsia="Times New Roman" w:hAnsi="Calibri" w:cs="Calibri"/>
          <w:b/>
          <w:bCs/>
          <w:sz w:val="20"/>
          <w:szCs w:val="20"/>
        </w:rPr>
        <w:br w:type="page"/>
      </w:r>
    </w:p>
    <w:p w:rsidR="00A13668" w:rsidRDefault="00EC665B">
      <w:pPr>
        <w:rPr>
          <w:rFonts w:ascii="Calibri" w:eastAsia="Times New Roman" w:hAnsi="Calibri" w:cs="Calibri"/>
          <w:sz w:val="20"/>
          <w:szCs w:val="20"/>
        </w:rPr>
      </w:pPr>
      <w:r>
        <w:rPr>
          <w:rFonts w:ascii="Calibri" w:eastAsia="MS Mincho" w:hAnsi="Calibri" w:cs="Calibri"/>
          <w:b/>
          <w:bCs/>
          <w:sz w:val="20"/>
          <w:szCs w:val="20"/>
        </w:rPr>
        <w:lastRenderedPageBreak/>
        <w:t>Measures of Competition</w:t>
      </w:r>
      <w:r>
        <w:rPr>
          <w:rFonts w:ascii="Calibri" w:eastAsia="MS Mincho" w:hAnsi="Calibri" w:cs="Calibri"/>
          <w:sz w:val="20"/>
          <w:szCs w:val="20"/>
        </w:rPr>
        <w:t xml:space="preserve"> </w:t>
      </w:r>
    </w:p>
    <w:p w:rsidR="00A13668" w:rsidRDefault="00A13668">
      <w:pPr>
        <w:rPr>
          <w:rFonts w:ascii="Calibri" w:eastAsia="Times New Roman" w:hAnsi="Calibri" w:cs="Calibri"/>
          <w:sz w:val="20"/>
          <w:szCs w:val="20"/>
        </w:rPr>
      </w:pPr>
    </w:p>
    <w:p w:rsidR="00A13668" w:rsidRDefault="00EC665B">
      <w:pPr>
        <w:rPr>
          <w:rFonts w:ascii="Calibri" w:eastAsia="Times New Roman" w:hAnsi="Calibri" w:cs="Calibri"/>
          <w:sz w:val="20"/>
          <w:szCs w:val="20"/>
        </w:rPr>
      </w:pPr>
      <w:r>
        <w:rPr>
          <w:rFonts w:ascii="Calibri" w:eastAsia="Times New Roman" w:hAnsi="Calibri" w:cs="Calibri"/>
          <w:sz w:val="20"/>
          <w:szCs w:val="20"/>
        </w:rPr>
        <w:t>For reference, the definition of Competition is repeated here:</w:t>
      </w:r>
    </w:p>
    <w:p w:rsidR="00A13668" w:rsidRDefault="00A13668">
      <w:pPr>
        <w:rPr>
          <w:rFonts w:ascii="Calibri" w:eastAsia="Times New Roman" w:hAnsi="Calibri" w:cs="Calibri"/>
          <w:b/>
          <w:bCs/>
          <w:sz w:val="20"/>
          <w:szCs w:val="20"/>
        </w:rPr>
      </w:pPr>
    </w:p>
    <w:p w:rsidR="00A13668" w:rsidRDefault="00EC665B">
      <w:pPr>
        <w:ind w:left="720"/>
        <w:rPr>
          <w:rFonts w:ascii="Calibri" w:eastAsia="Times New Roman" w:hAnsi="Calibri" w:cs="Calibri"/>
          <w:sz w:val="20"/>
          <w:szCs w:val="20"/>
        </w:rPr>
      </w:pPr>
      <w:r>
        <w:rPr>
          <w:rFonts w:ascii="Calibri" w:eastAsia="MS Mincho" w:hAnsi="Calibri" w:cs="Calibri"/>
          <w:b/>
          <w:bCs/>
          <w:sz w:val="20"/>
          <w:szCs w:val="20"/>
        </w:rPr>
        <w:t>Competition</w:t>
      </w:r>
      <w:r>
        <w:rPr>
          <w:rFonts w:ascii="Calibri" w:eastAsia="MS Mincho" w:hAnsi="Calibri" w:cs="Calibri"/>
          <w:sz w:val="20"/>
          <w:szCs w:val="20"/>
        </w:rPr>
        <w:t xml:space="preserve"> is defined as the quantity, diversity, and the potential for market rivalry of TLDs, TLD registry operators, and registrars.</w:t>
      </w:r>
    </w:p>
    <w:p w:rsidR="00A13668" w:rsidRDefault="00A13668">
      <w:pPr>
        <w:rPr>
          <w:rFonts w:ascii="Calibri" w:eastAsia="Times New Roman" w:hAnsi="Calibri" w:cs="Calibri"/>
          <w:sz w:val="20"/>
          <w:szCs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2761"/>
        <w:gridCol w:w="1080"/>
        <w:gridCol w:w="2790"/>
        <w:gridCol w:w="1530"/>
        <w:gridCol w:w="4709"/>
      </w:tblGrid>
      <w:tr w:rsidR="00A13668">
        <w:trPr>
          <w:trHeight w:val="690"/>
          <w:tblHeader/>
        </w:trPr>
        <w:tc>
          <w:tcPr>
            <w:tcW w:w="2761"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b/>
                <w:bCs/>
                <w:color w:val="000000"/>
                <w:sz w:val="20"/>
                <w:szCs w:val="20"/>
              </w:rPr>
            </w:pPr>
            <w:r>
              <w:rPr>
                <w:rFonts w:ascii="Calibri" w:eastAsia="Times New Roman" w:hAnsi="Calibri" w:cs="Calibri"/>
                <w:b/>
                <w:bCs/>
                <w:color w:val="000000"/>
                <w:sz w:val="20"/>
                <w:szCs w:val="20"/>
              </w:rPr>
              <w:t>Measure of Competition</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Source</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3-year</w:t>
            </w:r>
          </w:p>
          <w:p w:rsidR="00A13668" w:rsidRDefault="00EC665B">
            <w:pPr>
              <w:widowControl/>
              <w:spacing w:before="60" w:after="6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Target</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b/>
                <w:bCs/>
                <w:color w:val="000000" w:themeColor="text1"/>
                <w:sz w:val="20"/>
                <w:szCs w:val="20"/>
                <w:u w:color="0000FF"/>
              </w:rPr>
            </w:pPr>
            <w:r w:rsidRPr="0054087C">
              <w:rPr>
                <w:rFonts w:ascii="Calibri" w:eastAsia="Times New Roman" w:hAnsi="Calibri" w:cs="Calibri"/>
                <w:b/>
                <w:bCs/>
                <w:color w:val="000000" w:themeColor="text1"/>
                <w:sz w:val="20"/>
                <w:szCs w:val="20"/>
                <w:u w:color="0000FF"/>
              </w:rPr>
              <w:t>INTA Internet Committee Comments</w:t>
            </w:r>
          </w:p>
        </w:tc>
      </w:tr>
      <w:tr w:rsidR="00A13668">
        <w:trPr>
          <w:trHeight w:val="690"/>
        </w:trPr>
        <w:tc>
          <w:tcPr>
            <w:tcW w:w="2761"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Quantity of total TLDs before and after expansion, assuming that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 xml:space="preserve"> and </w:t>
            </w:r>
            <w:proofErr w:type="spellStart"/>
            <w:r>
              <w:rPr>
                <w:rFonts w:ascii="Calibri" w:eastAsia="Times New Roman" w:hAnsi="Calibri" w:cs="Calibri"/>
                <w:color w:val="000000"/>
                <w:sz w:val="20"/>
                <w:szCs w:val="20"/>
              </w:rPr>
              <w:t>ccTLDs</w:t>
            </w:r>
            <w:proofErr w:type="spellEnd"/>
            <w:r>
              <w:rPr>
                <w:rFonts w:ascii="Calibri" w:eastAsia="Times New Roman" w:hAnsi="Calibri" w:cs="Calibri"/>
                <w:color w:val="000000"/>
                <w:sz w:val="20"/>
                <w:szCs w:val="20"/>
              </w:rPr>
              <w:t xml:space="preserve"> generally compete for the same registrants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ICANN</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Increase of 2x over 2011 (311</w:t>
            </w:r>
            <w:r>
              <w:rPr>
                <w:rStyle w:val="EndnoteReference"/>
                <w:rFonts w:ascii="Calibri" w:eastAsia="Times New Roman" w:hAnsi="Calibri" w:cs="Calibri"/>
                <w:strike/>
                <w:color w:val="FF0000"/>
                <w:sz w:val="20"/>
                <w:szCs w:val="20"/>
                <w:vertAlign w:val="superscript"/>
              </w:rPr>
              <w:t>i</w:t>
            </w:r>
            <w:r>
              <w:rPr>
                <w:rStyle w:val="EndnoteReference"/>
                <w:rFonts w:ascii="Calibri" w:eastAsia="Times New Roman" w:hAnsi="Calibri" w:cs="Calibri"/>
                <w:color w:val="0000FF"/>
                <w:sz w:val="20"/>
                <w:szCs w:val="20"/>
                <w:u w:val="double" w:color="0000FF"/>
                <w:vertAlign w:val="superscript"/>
              </w:rPr>
              <w:endnoteReference w:customMarkFollows="1" w:id="1"/>
              <w:t>1</w:t>
            </w:r>
            <w:r>
              <w:rPr>
                <w:rFonts w:ascii="Calibri" w:eastAsia="Times New Roman" w:hAnsi="Calibri" w:cs="Calibri"/>
                <w:color w:val="000000"/>
                <w:sz w:val="20"/>
                <w:szCs w:val="20"/>
              </w:rPr>
              <w:t>)</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rPr>
                <w:rFonts w:ascii="Calibri" w:eastAsia="Times New Roman" w:hAnsi="Calibri" w:cs="Calibri"/>
                <w:color w:val="000000" w:themeColor="text1"/>
                <w:sz w:val="20"/>
                <w:szCs w:val="20"/>
              </w:rPr>
            </w:pPr>
            <w:r w:rsidRPr="0054087C">
              <w:rPr>
                <w:rFonts w:ascii="Calibri" w:eastAsia="Times New Roman" w:hAnsi="Calibri" w:cs="Calibri"/>
                <w:color w:val="000000" w:themeColor="text1"/>
                <w:sz w:val="20"/>
                <w:szCs w:val="20"/>
                <w:u w:color="0000FF"/>
              </w:rPr>
              <w:t>In addition to the number of TLDs before and after expansion, there should be an accounting of the number of second-level domains in each new gTLD, and of those second-level registrations, how they are used (e.g., redirected to registrations in legacy TLDs, inactive or dead, or parked pages -- anything that resolves to a page that says parked or that is simply advertising links).</w:t>
            </w:r>
          </w:p>
          <w:p w:rsidR="00A13668" w:rsidRPr="0054087C" w:rsidRDefault="00A13668">
            <w:pPr>
              <w:widowControl/>
              <w:spacing w:before="60" w:after="60"/>
              <w:jc w:val="center"/>
              <w:rPr>
                <w:rFonts w:ascii="Calibri" w:eastAsia="Times New Roman" w:hAnsi="Calibri" w:cs="Calibri"/>
                <w:color w:val="000000" w:themeColor="text1"/>
                <w:sz w:val="20"/>
                <w:szCs w:val="20"/>
                <w:u w:color="0000FF"/>
              </w:rPr>
            </w:pPr>
          </w:p>
        </w:tc>
      </w:tr>
      <w:tr w:rsidR="00A13668">
        <w:trPr>
          <w:trHeight w:val="690"/>
        </w:trPr>
        <w:tc>
          <w:tcPr>
            <w:tcW w:w="2761"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Quantity of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 xml:space="preserve"> before and after expansion</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ICANN</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Increase of 10x over 2011 (18</w:t>
            </w:r>
            <w:r>
              <w:rPr>
                <w:rStyle w:val="EndnoteReference"/>
                <w:rFonts w:ascii="Calibri" w:eastAsia="Times New Roman" w:hAnsi="Calibri" w:cs="Calibri"/>
                <w:strike/>
                <w:color w:val="FF0000"/>
                <w:sz w:val="20"/>
                <w:szCs w:val="20"/>
                <w:vertAlign w:val="superscript"/>
              </w:rPr>
              <w:t>ii</w:t>
            </w:r>
            <w:r>
              <w:rPr>
                <w:rStyle w:val="EndnoteReference"/>
                <w:rFonts w:ascii="Calibri" w:eastAsia="Times New Roman" w:hAnsi="Calibri" w:cs="Calibri"/>
                <w:color w:val="0000FF"/>
                <w:sz w:val="20"/>
                <w:szCs w:val="20"/>
                <w:u w:val="double" w:color="0000FF"/>
                <w:vertAlign w:val="superscript"/>
              </w:rPr>
              <w:endnoteReference w:customMarkFollows="1" w:id="2"/>
              <w:t>2</w:t>
            </w:r>
            <w:r>
              <w:rPr>
                <w:rFonts w:ascii="Calibri" w:eastAsia="Times New Roman" w:hAnsi="Calibri" w:cs="Calibri"/>
                <w:color w:val="000000"/>
                <w:sz w:val="20"/>
                <w:szCs w:val="20"/>
              </w:rPr>
              <w:t>)</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t>Support.</w:t>
            </w:r>
          </w:p>
        </w:tc>
      </w:tr>
      <w:tr w:rsidR="00A13668">
        <w:trPr>
          <w:trHeight w:val="690"/>
        </w:trPr>
        <w:tc>
          <w:tcPr>
            <w:tcW w:w="2761"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Quantity of unique gTLD </w:t>
            </w:r>
            <w:r>
              <w:rPr>
                <w:rFonts w:ascii="Calibri" w:eastAsia="Times New Roman" w:hAnsi="Calibri" w:cs="Calibri"/>
                <w:i/>
                <w:iCs/>
                <w:color w:val="000000"/>
                <w:sz w:val="20"/>
                <w:szCs w:val="20"/>
              </w:rPr>
              <w:t>Registry</w:t>
            </w:r>
            <w:r>
              <w:rPr>
                <w:rFonts w:ascii="Calibri" w:eastAsia="Times New Roman" w:hAnsi="Calibri" w:cs="Calibri"/>
                <w:color w:val="000000"/>
                <w:sz w:val="20"/>
                <w:szCs w:val="20"/>
              </w:rPr>
              <w:t xml:space="preserve"> </w:t>
            </w:r>
            <w:r>
              <w:rPr>
                <w:rFonts w:ascii="Calibri" w:eastAsia="Times New Roman" w:hAnsi="Calibri" w:cs="Calibri"/>
                <w:i/>
                <w:iCs/>
                <w:color w:val="000000"/>
                <w:sz w:val="20"/>
                <w:szCs w:val="20"/>
              </w:rPr>
              <w:t>Operators</w:t>
            </w:r>
            <w:r>
              <w:rPr>
                <w:rFonts w:ascii="Calibri" w:eastAsia="Times New Roman" w:hAnsi="Calibri" w:cs="Calibri"/>
                <w:color w:val="000000"/>
                <w:sz w:val="20"/>
                <w:szCs w:val="20"/>
              </w:rPr>
              <w:t xml:space="preserve"> before and after expansion</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ICANN</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Increase of 2x over 2011 (16</w:t>
            </w:r>
            <w:r>
              <w:rPr>
                <w:rStyle w:val="EndnoteReference"/>
                <w:rFonts w:ascii="Calibri" w:eastAsia="Times New Roman" w:hAnsi="Calibri" w:cs="Calibri"/>
                <w:strike/>
                <w:color w:val="FF0000"/>
                <w:sz w:val="20"/>
                <w:szCs w:val="20"/>
                <w:vertAlign w:val="superscript"/>
              </w:rPr>
              <w:t>iii</w:t>
            </w:r>
            <w:r>
              <w:rPr>
                <w:rStyle w:val="EndnoteReference"/>
                <w:rFonts w:ascii="Calibri" w:eastAsia="Times New Roman" w:hAnsi="Calibri" w:cs="Calibri"/>
                <w:color w:val="0000FF"/>
                <w:sz w:val="20"/>
                <w:szCs w:val="20"/>
                <w:u w:val="double" w:color="0000FF"/>
                <w:vertAlign w:val="superscript"/>
              </w:rPr>
              <w:endnoteReference w:customMarkFollows="1" w:id="3"/>
              <w:t>3</w:t>
            </w:r>
            <w:r>
              <w:rPr>
                <w:rFonts w:ascii="Calibri" w:eastAsia="Times New Roman" w:hAnsi="Calibri" w:cs="Calibri"/>
                <w:color w:val="000000"/>
                <w:sz w:val="20"/>
                <w:szCs w:val="20"/>
              </w:rPr>
              <w:t>)</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proofErr w:type="gramStart"/>
            <w:r w:rsidRPr="0054087C">
              <w:rPr>
                <w:rFonts w:ascii="Calibri" w:eastAsia="Times New Roman" w:hAnsi="Calibri" w:cs="Calibri"/>
                <w:color w:val="000000" w:themeColor="text1"/>
                <w:sz w:val="20"/>
                <w:szCs w:val="20"/>
                <w:u w:color="0000FF"/>
              </w:rPr>
              <w:t>2x</w:t>
            </w:r>
            <w:proofErr w:type="gramEnd"/>
            <w:r w:rsidRPr="0054087C">
              <w:rPr>
                <w:rFonts w:ascii="Calibri" w:eastAsia="Times New Roman" w:hAnsi="Calibri" w:cs="Calibri"/>
                <w:color w:val="000000" w:themeColor="text1"/>
                <w:sz w:val="20"/>
                <w:szCs w:val="20"/>
                <w:u w:color="0000FF"/>
              </w:rPr>
              <w:t xml:space="preserve"> seems low.  We believe this metric would only measure the expansion of the DN space, not the extent to which actual competition increased.  We suggest the following target: “Ratio of unique gTLD registry operators (i.e. operators who own only one gTLD) to total number of </w:t>
            </w:r>
            <w:proofErr w:type="spellStart"/>
            <w:r w:rsidRPr="0054087C">
              <w:rPr>
                <w:rFonts w:ascii="Calibri" w:eastAsia="Times New Roman" w:hAnsi="Calibri" w:cs="Calibri"/>
                <w:color w:val="000000" w:themeColor="text1"/>
                <w:sz w:val="20"/>
                <w:szCs w:val="20"/>
                <w:u w:color="0000FF"/>
              </w:rPr>
              <w:t>gTLDs</w:t>
            </w:r>
            <w:proofErr w:type="spellEnd"/>
            <w:r w:rsidRPr="0054087C">
              <w:rPr>
                <w:rFonts w:ascii="Calibri" w:eastAsia="Times New Roman" w:hAnsi="Calibri" w:cs="Calibri"/>
                <w:color w:val="000000" w:themeColor="text1"/>
                <w:sz w:val="20"/>
                <w:szCs w:val="20"/>
                <w:u w:color="0000FF"/>
              </w:rPr>
              <w:t xml:space="preserve"> before expansion and after expansion, should at least double at 1 year and three years from expansion.”</w:t>
            </w:r>
          </w:p>
        </w:tc>
      </w:tr>
      <w:tr w:rsidR="00A13668">
        <w:trPr>
          <w:trHeight w:val="690"/>
        </w:trPr>
        <w:tc>
          <w:tcPr>
            <w:tcW w:w="2761"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Quantity of unique gTLD </w:t>
            </w:r>
            <w:r>
              <w:rPr>
                <w:rFonts w:ascii="Calibri" w:eastAsia="Times New Roman" w:hAnsi="Calibri" w:cs="Calibri"/>
                <w:i/>
                <w:iCs/>
                <w:color w:val="000000"/>
                <w:sz w:val="20"/>
                <w:szCs w:val="20"/>
              </w:rPr>
              <w:t xml:space="preserve">Registry Service Providers </w:t>
            </w:r>
            <w:r>
              <w:rPr>
                <w:rFonts w:ascii="Calibri" w:eastAsia="Times New Roman" w:hAnsi="Calibri" w:cs="Calibri"/>
                <w:color w:val="000000"/>
                <w:sz w:val="20"/>
                <w:szCs w:val="20"/>
              </w:rPr>
              <w:t>before and after expansion</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ICANN and </w:t>
            </w:r>
            <w:proofErr w:type="spellStart"/>
            <w:r>
              <w:rPr>
                <w:rFonts w:ascii="Calibri" w:eastAsia="Times New Roman" w:hAnsi="Calibri" w:cs="Calibri"/>
                <w:color w:val="000000"/>
                <w:sz w:val="20"/>
                <w:szCs w:val="20"/>
              </w:rPr>
              <w:t>Ry</w:t>
            </w:r>
            <w:proofErr w:type="spellEnd"/>
            <w:r>
              <w:rPr>
                <w:rFonts w:ascii="Calibri" w:eastAsia="Times New Roman" w:hAnsi="Calibri" w:cs="Calibri"/>
                <w:color w:val="000000"/>
                <w:sz w:val="20"/>
                <w:szCs w:val="20"/>
              </w:rPr>
              <w:t xml:space="preserve"> Operators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Increase of 2x over 2011 (6</w:t>
            </w:r>
            <w:r>
              <w:rPr>
                <w:rStyle w:val="EndnoteReference"/>
                <w:rFonts w:ascii="Calibri" w:eastAsia="Times New Roman" w:hAnsi="Calibri" w:cs="Calibri"/>
                <w:strike/>
                <w:color w:val="FF0000"/>
                <w:sz w:val="20"/>
                <w:szCs w:val="20"/>
                <w:vertAlign w:val="superscript"/>
              </w:rPr>
              <w:t>iv</w:t>
            </w:r>
            <w:r>
              <w:rPr>
                <w:rStyle w:val="EndnoteReference"/>
                <w:rFonts w:ascii="Calibri" w:eastAsia="Times New Roman" w:hAnsi="Calibri" w:cs="Calibri"/>
                <w:color w:val="0000FF"/>
                <w:sz w:val="20"/>
                <w:szCs w:val="20"/>
                <w:u w:val="double" w:color="0000FF"/>
                <w:vertAlign w:val="superscript"/>
              </w:rPr>
              <w:endnoteReference w:customMarkFollows="1" w:id="4"/>
              <w:t>4</w:t>
            </w:r>
            <w:r>
              <w:rPr>
                <w:rFonts w:ascii="Calibri" w:eastAsia="Times New Roman" w:hAnsi="Calibri" w:cs="Calibri"/>
                <w:color w:val="000000"/>
                <w:sz w:val="20"/>
                <w:szCs w:val="20"/>
              </w:rPr>
              <w:t>)</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proofErr w:type="gramStart"/>
            <w:r w:rsidRPr="0054087C">
              <w:rPr>
                <w:rFonts w:ascii="Calibri" w:eastAsia="Times New Roman" w:hAnsi="Calibri" w:cs="Calibri"/>
                <w:color w:val="000000" w:themeColor="text1"/>
                <w:sz w:val="20"/>
                <w:szCs w:val="20"/>
                <w:u w:color="0000FF"/>
              </w:rPr>
              <w:t>2x</w:t>
            </w:r>
            <w:proofErr w:type="gramEnd"/>
            <w:r w:rsidRPr="0054087C">
              <w:rPr>
                <w:rFonts w:ascii="Calibri" w:eastAsia="Times New Roman" w:hAnsi="Calibri" w:cs="Calibri"/>
                <w:color w:val="000000" w:themeColor="text1"/>
                <w:sz w:val="20"/>
                <w:szCs w:val="20"/>
                <w:u w:color="0000FF"/>
              </w:rPr>
              <w:t xml:space="preserve"> seems low.  We believe this metric would only measure the expansion of the DN space, not the extent to which actual competition increased.  We suggest the following target: “Ratio of unique gTLD registration Service Providers (i.e. operators who own only one gTLD) to total number of </w:t>
            </w:r>
            <w:proofErr w:type="spellStart"/>
            <w:r w:rsidRPr="0054087C">
              <w:rPr>
                <w:rFonts w:ascii="Calibri" w:eastAsia="Times New Roman" w:hAnsi="Calibri" w:cs="Calibri"/>
                <w:color w:val="000000" w:themeColor="text1"/>
                <w:sz w:val="20"/>
                <w:szCs w:val="20"/>
                <w:u w:color="0000FF"/>
              </w:rPr>
              <w:t>gTLDs</w:t>
            </w:r>
            <w:proofErr w:type="spellEnd"/>
            <w:r w:rsidRPr="0054087C">
              <w:rPr>
                <w:rFonts w:ascii="Calibri" w:eastAsia="Times New Roman" w:hAnsi="Calibri" w:cs="Calibri"/>
                <w:color w:val="000000" w:themeColor="text1"/>
                <w:sz w:val="20"/>
                <w:szCs w:val="20"/>
                <w:u w:color="0000FF"/>
              </w:rPr>
              <w:t xml:space="preserve"> before expansion and after expansion, should at least double at 1 year and </w:t>
            </w:r>
            <w:r w:rsidRPr="0054087C">
              <w:rPr>
                <w:rFonts w:ascii="Calibri" w:eastAsia="Times New Roman" w:hAnsi="Calibri" w:cs="Calibri"/>
                <w:color w:val="000000" w:themeColor="text1"/>
                <w:sz w:val="20"/>
                <w:szCs w:val="20"/>
                <w:u w:color="0000FF"/>
              </w:rPr>
              <w:lastRenderedPageBreak/>
              <w:t>three years from expansion.”</w:t>
            </w:r>
          </w:p>
        </w:tc>
      </w:tr>
      <w:tr w:rsidR="00A13668">
        <w:trPr>
          <w:trHeight w:val="690"/>
        </w:trPr>
        <w:tc>
          <w:tcPr>
            <w:tcW w:w="2761"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Quantity of Registrars before and after expansion, along with indication of country where Registrar is based.</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ICANN</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None noted</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No target;</w:t>
            </w:r>
          </w:p>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compare to 2011 ( 1000</w:t>
            </w:r>
            <w:r>
              <w:rPr>
                <w:rStyle w:val="EndnoteReference"/>
                <w:rFonts w:ascii="Calibri" w:eastAsia="Times New Roman" w:hAnsi="Calibri" w:cs="Calibri"/>
                <w:strike/>
                <w:color w:val="FF0000"/>
                <w:sz w:val="20"/>
                <w:szCs w:val="20"/>
                <w:vertAlign w:val="superscript"/>
              </w:rPr>
              <w:t>v</w:t>
            </w:r>
            <w:r>
              <w:rPr>
                <w:rStyle w:val="EndnoteReference"/>
                <w:rFonts w:ascii="Calibri" w:eastAsia="Times New Roman" w:hAnsi="Calibri" w:cs="Calibri"/>
                <w:color w:val="0000FF"/>
                <w:sz w:val="20"/>
                <w:szCs w:val="20"/>
                <w:u w:val="double" w:color="0000FF"/>
                <w:vertAlign w:val="superscript"/>
              </w:rPr>
              <w:endnoteReference w:customMarkFollows="1" w:id="5"/>
              <w:t>5</w:t>
            </w:r>
            <w:r>
              <w:rPr>
                <w:rFonts w:ascii="Calibri" w:eastAsia="Times New Roman" w:hAnsi="Calibri" w:cs="Calibri"/>
                <w:color w:val="000000"/>
                <w:sz w:val="20"/>
                <w:szCs w:val="20"/>
              </w:rPr>
              <w:t xml:space="preserve"> )</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A13668">
            <w:pPr>
              <w:widowControl/>
              <w:spacing w:before="60" w:after="60"/>
              <w:jc w:val="center"/>
              <w:rPr>
                <w:rFonts w:ascii="Calibri" w:eastAsia="Times New Roman" w:hAnsi="Calibri" w:cs="Calibri"/>
                <w:color w:val="000000" w:themeColor="text1"/>
                <w:sz w:val="20"/>
                <w:szCs w:val="20"/>
                <w:u w:color="0000FF"/>
              </w:rPr>
            </w:pPr>
          </w:p>
        </w:tc>
      </w:tr>
      <w:tr w:rsidR="00A13668">
        <w:trPr>
          <w:trHeight w:val="690"/>
        </w:trPr>
        <w:tc>
          <w:tcPr>
            <w:tcW w:w="2761"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Relative share of new gTLD registrations held by “new entrants”.  For purposes of this measure, “new entrants” are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 xml:space="preserve"> run by </w:t>
            </w:r>
            <w:r>
              <w:rPr>
                <w:rFonts w:ascii="Calibri" w:eastAsia="Times New Roman" w:hAnsi="Calibri" w:cs="Calibri"/>
                <w:i/>
                <w:iCs/>
                <w:color w:val="000000"/>
                <w:sz w:val="20"/>
                <w:szCs w:val="20"/>
              </w:rPr>
              <w:t>Registry Operators</w:t>
            </w:r>
            <w:r>
              <w:rPr>
                <w:rFonts w:ascii="Calibri" w:eastAsia="Times New Roman" w:hAnsi="Calibri" w:cs="Calibri"/>
                <w:color w:val="000000"/>
                <w:sz w:val="20"/>
                <w:szCs w:val="20"/>
              </w:rPr>
              <w:t xml:space="preserve"> that did not operate a legacy gTLD.</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ICANN; Zone files for new </w:t>
            </w:r>
            <w:proofErr w:type="spellStart"/>
            <w:r>
              <w:rPr>
                <w:rFonts w:ascii="Calibri" w:eastAsia="Times New Roman" w:hAnsi="Calibri" w:cs="Calibri"/>
                <w:color w:val="000000"/>
                <w:sz w:val="20"/>
                <w:szCs w:val="20"/>
              </w:rPr>
              <w:t>gTLDs</w:t>
            </w:r>
            <w:proofErr w:type="spellEnd"/>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Moderately difficult to obtain.</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“New Entrants” should have at least 20% of total new gTLD registrations</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t xml:space="preserve">We believe this metric might not adequately measure the expansion of </w:t>
            </w:r>
            <w:proofErr w:type="gramStart"/>
            <w:r w:rsidRPr="0054087C">
              <w:rPr>
                <w:rFonts w:ascii="Calibri" w:eastAsia="Times New Roman" w:hAnsi="Calibri" w:cs="Calibri"/>
                <w:color w:val="000000" w:themeColor="text1"/>
                <w:sz w:val="20"/>
                <w:szCs w:val="20"/>
                <w:u w:color="0000FF"/>
              </w:rPr>
              <w:t>the DN space nor</w:t>
            </w:r>
            <w:proofErr w:type="gramEnd"/>
            <w:r w:rsidRPr="0054087C">
              <w:rPr>
                <w:rFonts w:ascii="Calibri" w:eastAsia="Times New Roman" w:hAnsi="Calibri" w:cs="Calibri"/>
                <w:color w:val="000000" w:themeColor="text1"/>
                <w:sz w:val="20"/>
                <w:szCs w:val="20"/>
                <w:u w:color="0000FF"/>
              </w:rPr>
              <w:t xml:space="preserve"> the extent to which actual competition has increased, it also appears to be quite low a target.  We suggest the following target: “Number of </w:t>
            </w:r>
            <w:proofErr w:type="spellStart"/>
            <w:r w:rsidRPr="0054087C">
              <w:rPr>
                <w:rFonts w:ascii="Calibri" w:eastAsia="Times New Roman" w:hAnsi="Calibri" w:cs="Calibri"/>
                <w:color w:val="000000" w:themeColor="text1"/>
                <w:sz w:val="20"/>
                <w:szCs w:val="20"/>
                <w:u w:color="0000FF"/>
              </w:rPr>
              <w:t>gTLDs</w:t>
            </w:r>
            <w:proofErr w:type="spellEnd"/>
            <w:r w:rsidRPr="0054087C">
              <w:rPr>
                <w:rFonts w:ascii="Calibri" w:eastAsia="Times New Roman" w:hAnsi="Calibri" w:cs="Calibri"/>
                <w:color w:val="000000" w:themeColor="text1"/>
                <w:sz w:val="20"/>
                <w:szCs w:val="20"/>
                <w:u w:color="0000FF"/>
              </w:rPr>
              <w:t xml:space="preserve"> owned by new entrants should represent more than 85% of total new gTLD registrations.”</w:t>
            </w:r>
          </w:p>
        </w:tc>
      </w:tr>
      <w:tr w:rsidR="00A13668">
        <w:trPr>
          <w:trHeight w:val="432"/>
        </w:trPr>
        <w:tc>
          <w:tcPr>
            <w:tcW w:w="8161" w:type="dxa"/>
            <w:gridSpan w:val="4"/>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i/>
                <w:iCs/>
                <w:color w:val="000000"/>
                <w:sz w:val="20"/>
                <w:szCs w:val="20"/>
              </w:rPr>
            </w:pPr>
            <w:r>
              <w:rPr>
                <w:rFonts w:ascii="Calibri" w:eastAsia="Times New Roman" w:hAnsi="Calibri" w:cs="Calibri"/>
                <w:i/>
                <w:iCs/>
                <w:color w:val="000000"/>
                <w:sz w:val="20"/>
                <w:szCs w:val="20"/>
              </w:rPr>
              <w:t>Measures related to prices for domain registrations  (see legal note in Appendix B)</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A13668">
            <w:pPr>
              <w:widowControl/>
              <w:spacing w:before="60" w:after="60"/>
              <w:rPr>
                <w:rFonts w:ascii="Calibri" w:eastAsia="Times New Roman" w:hAnsi="Calibri" w:cs="Calibri"/>
                <w:i/>
                <w:iCs/>
                <w:color w:val="000000" w:themeColor="text1"/>
                <w:sz w:val="20"/>
                <w:szCs w:val="20"/>
                <w:u w:color="0000FF"/>
              </w:rPr>
            </w:pPr>
          </w:p>
        </w:tc>
      </w:tr>
      <w:tr w:rsidR="00A13668">
        <w:trPr>
          <w:trHeight w:val="690"/>
        </w:trPr>
        <w:tc>
          <w:tcPr>
            <w:tcW w:w="2761"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i/>
                <w:iCs/>
                <w:color w:val="000000"/>
                <w:sz w:val="20"/>
                <w:szCs w:val="20"/>
              </w:rPr>
              <w:t>Wholesale</w:t>
            </w:r>
            <w:r>
              <w:rPr>
                <w:rFonts w:ascii="Calibri" w:eastAsia="Times New Roman" w:hAnsi="Calibri" w:cs="Calibri"/>
                <w:color w:val="000000"/>
                <w:sz w:val="20"/>
                <w:szCs w:val="20"/>
              </w:rPr>
              <w:t xml:space="preserve"> price of new gTLD domains offered to the general public.  (do not evaluate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 xml:space="preserve"> with registrant restrictions).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Registries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Difficult to obtain.  </w:t>
            </w:r>
          </w:p>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(see legal note in Appendix B)</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strike/>
                <w:color w:val="FF0000"/>
                <w:sz w:val="20"/>
                <w:szCs w:val="20"/>
              </w:rPr>
              <w:t xml:space="preserve">No target; </w:t>
            </w:r>
            <w:proofErr w:type="spellStart"/>
            <w:r>
              <w:rPr>
                <w:rFonts w:ascii="Calibri" w:eastAsia="Times New Roman" w:hAnsi="Calibri" w:cs="Calibri"/>
                <w:strike/>
                <w:color w:val="FF0000"/>
                <w:sz w:val="20"/>
                <w:szCs w:val="20"/>
              </w:rPr>
              <w:t>compare</w:t>
            </w:r>
            <w:r>
              <w:rPr>
                <w:rFonts w:ascii="Calibri" w:eastAsia="Times New Roman" w:hAnsi="Calibri" w:cs="Calibri"/>
                <w:color w:val="0000FF"/>
                <w:sz w:val="20"/>
                <w:szCs w:val="20"/>
                <w:u w:val="double" w:color="0000FF"/>
              </w:rPr>
              <w:t>Comparison</w:t>
            </w:r>
            <w:proofErr w:type="spellEnd"/>
            <w:r>
              <w:rPr>
                <w:rFonts w:ascii="Calibri" w:eastAsia="Times New Roman" w:hAnsi="Calibri" w:cs="Calibri"/>
                <w:color w:val="000000"/>
                <w:sz w:val="20"/>
                <w:szCs w:val="20"/>
              </w:rPr>
              <w:t xml:space="preserve"> to 2011 and to unrestricted legacy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FF"/>
                <w:sz w:val="20"/>
                <w:szCs w:val="20"/>
                <w:u w:val="double" w:color="0000FF"/>
              </w:rPr>
              <w:t xml:space="preserve"> – prices after expansion should decrease.</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t>Essential that comparative information be obtained before expansion, as well as at 1 and 3 years after expansion.  If possible, a survey of prices from before the announcement of the expansion (i.e. prior to June 20, 2011) should also be obtained and compared.  While lack of target is understandable, we believe the sign of completion would be a steady decrease in price, and this is generally what should be targeted to determine success.</w:t>
            </w:r>
          </w:p>
        </w:tc>
      </w:tr>
      <w:tr w:rsidR="00A13668">
        <w:trPr>
          <w:trHeight w:val="690"/>
        </w:trPr>
        <w:tc>
          <w:tcPr>
            <w:tcW w:w="2761" w:type="dxa"/>
            <w:tcBorders>
              <w:top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i/>
                <w:iCs/>
                <w:color w:val="000000"/>
                <w:sz w:val="20"/>
                <w:szCs w:val="20"/>
              </w:rPr>
              <w:t>Retail</w:t>
            </w:r>
            <w:r>
              <w:rPr>
                <w:rFonts w:ascii="Calibri" w:eastAsia="Times New Roman" w:hAnsi="Calibri" w:cs="Calibri"/>
                <w:color w:val="000000"/>
                <w:sz w:val="20"/>
                <w:szCs w:val="20"/>
              </w:rPr>
              <w:t xml:space="preserve"> price of new gTLD domains offered to the general public.  (do not evaluate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00"/>
                <w:sz w:val="20"/>
                <w:szCs w:val="20"/>
              </w:rPr>
              <w:t xml:space="preserve"> with registrant restrictions).</w:t>
            </w:r>
          </w:p>
        </w:tc>
        <w:tc>
          <w:tcPr>
            <w:tcW w:w="10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color w:val="000000"/>
                <w:sz w:val="20"/>
                <w:szCs w:val="20"/>
              </w:rPr>
              <w:t>Registries and Registrars</w:t>
            </w:r>
          </w:p>
        </w:tc>
        <w:tc>
          <w:tcPr>
            <w:tcW w:w="279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Difficult to automate collection. </w:t>
            </w:r>
          </w:p>
          <w:p w:rsidR="00A13668" w:rsidRDefault="00EC665B">
            <w:pPr>
              <w:widowControl/>
              <w:spacing w:before="60" w:after="60"/>
              <w:rPr>
                <w:rFonts w:ascii="Calibri" w:eastAsia="Times New Roman" w:hAnsi="Calibri" w:cs="Calibri"/>
                <w:color w:val="000000"/>
                <w:sz w:val="20"/>
                <w:szCs w:val="20"/>
              </w:rPr>
            </w:pPr>
            <w:r>
              <w:rPr>
                <w:rFonts w:ascii="Calibri" w:eastAsia="Times New Roman" w:hAnsi="Calibri" w:cs="Calibri"/>
                <w:color w:val="000000"/>
                <w:sz w:val="20"/>
                <w:szCs w:val="20"/>
              </w:rPr>
              <w:t xml:space="preserve">(see legal note in Appendix B) </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A13668" w:rsidRDefault="00EC665B">
            <w:pPr>
              <w:widowControl/>
              <w:spacing w:before="60" w:after="60"/>
              <w:jc w:val="center"/>
              <w:rPr>
                <w:rFonts w:ascii="Calibri" w:eastAsia="Times New Roman" w:hAnsi="Calibri" w:cs="Calibri"/>
                <w:color w:val="000000"/>
                <w:sz w:val="20"/>
                <w:szCs w:val="20"/>
              </w:rPr>
            </w:pPr>
            <w:r>
              <w:rPr>
                <w:rFonts w:ascii="Calibri" w:eastAsia="Times New Roman" w:hAnsi="Calibri" w:cs="Calibri"/>
                <w:strike/>
                <w:color w:val="FF0000"/>
                <w:sz w:val="20"/>
                <w:szCs w:val="20"/>
              </w:rPr>
              <w:t xml:space="preserve">No target; </w:t>
            </w:r>
            <w:proofErr w:type="spellStart"/>
            <w:r>
              <w:rPr>
                <w:rFonts w:ascii="Calibri" w:eastAsia="Times New Roman" w:hAnsi="Calibri" w:cs="Calibri"/>
                <w:strike/>
                <w:color w:val="FF0000"/>
                <w:sz w:val="20"/>
                <w:szCs w:val="20"/>
              </w:rPr>
              <w:t>compare</w:t>
            </w:r>
            <w:r>
              <w:rPr>
                <w:rFonts w:ascii="Calibri" w:eastAsia="Times New Roman" w:hAnsi="Calibri" w:cs="Calibri"/>
                <w:color w:val="0000FF"/>
                <w:sz w:val="20"/>
                <w:szCs w:val="20"/>
                <w:u w:val="double" w:color="0000FF"/>
              </w:rPr>
              <w:t>Comparison</w:t>
            </w:r>
            <w:proofErr w:type="spellEnd"/>
            <w:r>
              <w:rPr>
                <w:rFonts w:ascii="Calibri" w:eastAsia="Times New Roman" w:hAnsi="Calibri" w:cs="Calibri"/>
                <w:color w:val="000000"/>
                <w:sz w:val="20"/>
                <w:szCs w:val="20"/>
              </w:rPr>
              <w:t xml:space="preserve"> to 2011 and to unrestricted legacy </w:t>
            </w:r>
            <w:proofErr w:type="spellStart"/>
            <w:r>
              <w:rPr>
                <w:rFonts w:ascii="Calibri" w:eastAsia="Times New Roman" w:hAnsi="Calibri" w:cs="Calibri"/>
                <w:color w:val="000000"/>
                <w:sz w:val="20"/>
                <w:szCs w:val="20"/>
              </w:rPr>
              <w:t>gTLDs</w:t>
            </w:r>
            <w:proofErr w:type="spellEnd"/>
            <w:r>
              <w:rPr>
                <w:rFonts w:ascii="Calibri" w:eastAsia="Times New Roman" w:hAnsi="Calibri" w:cs="Calibri"/>
                <w:color w:val="0000FF"/>
                <w:sz w:val="20"/>
                <w:szCs w:val="20"/>
                <w:u w:val="double" w:color="0000FF"/>
              </w:rPr>
              <w:t xml:space="preserve"> – prices after </w:t>
            </w:r>
            <w:r>
              <w:rPr>
                <w:rFonts w:ascii="Calibri" w:eastAsia="Times New Roman" w:hAnsi="Calibri" w:cs="Calibri"/>
                <w:color w:val="0000FF"/>
                <w:sz w:val="20"/>
                <w:szCs w:val="20"/>
                <w:u w:val="double" w:color="0000FF"/>
              </w:rPr>
              <w:lastRenderedPageBreak/>
              <w:t>expansion should decrease.</w:t>
            </w:r>
          </w:p>
        </w:tc>
        <w:tc>
          <w:tcPr>
            <w:tcW w:w="4709" w:type="dxa"/>
            <w:tcBorders>
              <w:top w:val="single" w:sz="4" w:space="0" w:color="auto"/>
              <w:left w:val="single" w:sz="4" w:space="0" w:color="auto"/>
              <w:bottom w:val="single" w:sz="4" w:space="0" w:color="auto"/>
            </w:tcBorders>
            <w:shd w:val="clear" w:color="auto" w:fill="E6E6FA"/>
            <w:tcMar>
              <w:left w:w="108" w:type="dxa"/>
              <w:right w:w="108" w:type="dxa"/>
            </w:tcMar>
          </w:tcPr>
          <w:p w:rsidR="00A13668" w:rsidRPr="0054087C" w:rsidRDefault="00EC665B">
            <w:pPr>
              <w:widowControl/>
              <w:spacing w:before="60" w:after="60"/>
              <w:jc w:val="center"/>
              <w:rPr>
                <w:rFonts w:ascii="Calibri" w:eastAsia="Times New Roman" w:hAnsi="Calibri" w:cs="Calibri"/>
                <w:color w:val="000000" w:themeColor="text1"/>
                <w:sz w:val="20"/>
                <w:szCs w:val="20"/>
                <w:u w:color="0000FF"/>
              </w:rPr>
            </w:pPr>
            <w:r w:rsidRPr="0054087C">
              <w:rPr>
                <w:rFonts w:ascii="Calibri" w:eastAsia="Times New Roman" w:hAnsi="Calibri" w:cs="Calibri"/>
                <w:color w:val="000000" w:themeColor="text1"/>
                <w:sz w:val="20"/>
                <w:szCs w:val="20"/>
                <w:u w:color="0000FF"/>
              </w:rPr>
              <w:lastRenderedPageBreak/>
              <w:t>See above.</w:t>
            </w:r>
          </w:p>
        </w:tc>
      </w:tr>
    </w:tbl>
    <w:p w:rsidR="00A13668" w:rsidRDefault="00A13668">
      <w:pPr>
        <w:rPr>
          <w:rFonts w:ascii="Calibri" w:eastAsia="Times New Roman" w:hAnsi="Calibri" w:cs="Calibri"/>
          <w:sz w:val="20"/>
          <w:szCs w:val="20"/>
        </w:rPr>
      </w:pPr>
    </w:p>
    <w:p w:rsidR="00A13668" w:rsidRDefault="00EC665B">
      <w:pPr>
        <w:widowControl/>
        <w:rPr>
          <w:rFonts w:ascii="Calibri" w:eastAsia="Times New Roman" w:hAnsi="Calibri" w:cs="Calibri"/>
          <w:b/>
          <w:bCs/>
          <w:color w:val="0000FF"/>
          <w:sz w:val="20"/>
          <w:szCs w:val="20"/>
          <w:u w:val="double"/>
        </w:rPr>
      </w:pPr>
      <w:r>
        <w:rPr>
          <w:rFonts w:ascii="Calibri" w:eastAsia="MS Mincho" w:hAnsi="Calibri" w:cs="Calibri"/>
          <w:b/>
          <w:bCs/>
          <w:color w:val="0000FF"/>
          <w:sz w:val="20"/>
          <w:szCs w:val="20"/>
          <w:u w:val="double" w:color="0000FF"/>
        </w:rPr>
        <w:t>Endnotes</w:t>
      </w:r>
    </w:p>
    <w:p w:rsidR="00A13668" w:rsidRDefault="00A13668">
      <w:pPr>
        <w:widowControl/>
        <w:rPr>
          <w:rFonts w:ascii="Calibri" w:eastAsia="MS Mincho" w:hAnsi="Calibri" w:cs="Calibri"/>
          <w:sz w:val="20"/>
          <w:szCs w:val="20"/>
        </w:rPr>
      </w:pPr>
    </w:p>
    <w:sectPr w:rsidR="00A13668" w:rsidSect="0041086F">
      <w:headerReference w:type="default" r:id="rId8"/>
      <w:footerReference w:type="default" r:id="rId9"/>
      <w:headerReference w:type="first" r:id="rId10"/>
      <w:footerReference w:type="first" r:id="rId11"/>
      <w:pgSz w:w="15840" w:h="12240" w:orient="landscape"/>
      <w:pgMar w:top="1440" w:right="1440" w:bottom="1440" w:left="1440" w:header="720" w:footer="720" w:gutter="0"/>
      <w:paperSrc w:first="259" w:other="25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68" w:rsidRDefault="00EC665B" w:rsidP="000F179C">
      <w:r>
        <w:separator/>
      </w:r>
    </w:p>
  </w:endnote>
  <w:endnote w:type="continuationSeparator" w:id="0">
    <w:p w:rsidR="00A13668" w:rsidRDefault="00EC665B" w:rsidP="000F179C">
      <w:r>
        <w:continuationSeparator/>
      </w:r>
    </w:p>
  </w:endnote>
  <w:endnote w:id="1">
    <w:p w:rsidR="00A13668" w:rsidRDefault="00EC665B">
      <w:pPr>
        <w:pStyle w:val="EndnoteText"/>
        <w:widowControl/>
        <w:rPr>
          <w:rFonts w:ascii="Calibri" w:eastAsia="MS Mincho" w:hAnsi="Calibri" w:cs="Calibri"/>
          <w:sz w:val="20"/>
          <w:szCs w:val="20"/>
        </w:rPr>
      </w:pPr>
      <w:r>
        <w:rPr>
          <w:rFonts w:eastAsia="Times New Roman"/>
          <w:strike/>
          <w:color w:val="FF0000"/>
          <w:sz w:val="20"/>
          <w:szCs w:val="20"/>
          <w:vertAlign w:val="superscript"/>
        </w:rPr>
        <w:t>i</w:t>
      </w:r>
      <w:r>
        <w:rPr>
          <w:rStyle w:val="EndnoteReference"/>
          <w:rFonts w:ascii="Calibri" w:eastAsia="Times New Roman" w:hAnsi="Calibri" w:cs="Calibri"/>
          <w:color w:val="0000FF"/>
          <w:sz w:val="20"/>
          <w:szCs w:val="20"/>
          <w:u w:val="double" w:color="0000FF"/>
          <w:vertAlign w:val="superscript"/>
        </w:rPr>
        <w:t>1</w:t>
      </w:r>
      <w:r>
        <w:rPr>
          <w:rFonts w:ascii="Calibri" w:eastAsia="MS Mincho" w:hAnsi="Calibri" w:cs="Calibri"/>
          <w:sz w:val="20"/>
          <w:szCs w:val="20"/>
        </w:rPr>
        <w:t xml:space="preserve"> IANA.org db (</w:t>
      </w:r>
      <w:hyperlink r:id="rId1" w:history="1">
        <w:r>
          <w:rPr>
            <w:rStyle w:val="Hyperlink"/>
            <w:rFonts w:ascii="Calibri" w:eastAsia="MS Mincho" w:hAnsi="Calibri" w:cs="Calibri"/>
            <w:sz w:val="20"/>
            <w:szCs w:val="20"/>
          </w:rPr>
          <w:t>http://www.iana.org/domains/root/db</w:t>
        </w:r>
      </w:hyperlink>
      <w:r>
        <w:rPr>
          <w:rFonts w:ascii="Calibri" w:eastAsia="MS Mincho" w:hAnsi="Calibri" w:cs="Calibri"/>
          <w:sz w:val="20"/>
          <w:szCs w:val="20"/>
        </w:rPr>
        <w:t xml:space="preserve">).   There were 311 TLDs before expansion, assuming that </w:t>
      </w:r>
      <w:proofErr w:type="spellStart"/>
      <w:r>
        <w:rPr>
          <w:rFonts w:ascii="Calibri" w:eastAsia="MS Mincho" w:hAnsi="Calibri" w:cs="Calibri"/>
          <w:sz w:val="20"/>
          <w:szCs w:val="20"/>
        </w:rPr>
        <w:t>gTLDs</w:t>
      </w:r>
      <w:proofErr w:type="spellEnd"/>
      <w:r>
        <w:rPr>
          <w:rFonts w:ascii="Calibri" w:eastAsia="MS Mincho" w:hAnsi="Calibri" w:cs="Calibri"/>
          <w:sz w:val="20"/>
          <w:szCs w:val="20"/>
        </w:rPr>
        <w:t xml:space="preserve"> and </w:t>
      </w:r>
      <w:proofErr w:type="spellStart"/>
      <w:r>
        <w:rPr>
          <w:rFonts w:ascii="Calibri" w:eastAsia="MS Mincho" w:hAnsi="Calibri" w:cs="Calibri"/>
          <w:sz w:val="20"/>
          <w:szCs w:val="20"/>
        </w:rPr>
        <w:t>ccTLDs</w:t>
      </w:r>
      <w:proofErr w:type="spellEnd"/>
      <w:r>
        <w:rPr>
          <w:rFonts w:ascii="Calibri" w:eastAsia="MS Mincho" w:hAnsi="Calibri" w:cs="Calibri"/>
          <w:sz w:val="20"/>
          <w:szCs w:val="20"/>
        </w:rPr>
        <w:t xml:space="preserve"> generally compete for the same registrants.  Of 326 TLDs delegated at the root, we counted 311 as of Jan-2012:</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293 Country Code TLDs (38 were IDN)</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 xml:space="preserve">  18 Generic TLDs (4 generic, 3 generic-restricted, 11 sponsored);  omitting .</w:t>
      </w:r>
      <w:proofErr w:type="spellStart"/>
      <w:r>
        <w:rPr>
          <w:rFonts w:ascii="Calibri" w:eastAsia="MS Mincho" w:hAnsi="Calibri" w:cs="Calibri"/>
          <w:sz w:val="20"/>
          <w:szCs w:val="20"/>
        </w:rPr>
        <w:t>gov</w:t>
      </w:r>
      <w:proofErr w:type="spellEnd"/>
      <w:r>
        <w:rPr>
          <w:rFonts w:ascii="Calibri" w:eastAsia="MS Mincho" w:hAnsi="Calibri" w:cs="Calibri"/>
          <w:sz w:val="20"/>
          <w:szCs w:val="20"/>
        </w:rPr>
        <w:t>, .mil, .</w:t>
      </w:r>
      <w:proofErr w:type="spellStart"/>
      <w:r>
        <w:rPr>
          <w:rFonts w:ascii="Calibri" w:eastAsia="MS Mincho" w:hAnsi="Calibri" w:cs="Calibri"/>
          <w:sz w:val="20"/>
          <w:szCs w:val="20"/>
        </w:rPr>
        <w:t>int</w:t>
      </w:r>
      <w:proofErr w:type="spellEnd"/>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 xml:space="preserve"> </w:t>
      </w:r>
    </w:p>
  </w:endnote>
  <w:endnote w:id="2">
    <w:p w:rsidR="00A13668" w:rsidRDefault="00EC665B">
      <w:pPr>
        <w:pStyle w:val="EndnoteText"/>
        <w:widowControl/>
        <w:rPr>
          <w:rFonts w:ascii="Calibri" w:eastAsia="MS Mincho" w:hAnsi="Calibri" w:cs="Calibri"/>
          <w:sz w:val="20"/>
          <w:szCs w:val="20"/>
        </w:rPr>
      </w:pPr>
      <w:r>
        <w:rPr>
          <w:rFonts w:eastAsia="Times New Roman"/>
          <w:strike/>
          <w:color w:val="FF0000"/>
          <w:sz w:val="20"/>
          <w:szCs w:val="20"/>
          <w:vertAlign w:val="superscript"/>
        </w:rPr>
        <w:t>ii</w:t>
      </w:r>
      <w:r>
        <w:rPr>
          <w:rStyle w:val="EndnoteReference"/>
          <w:rFonts w:ascii="Calibri" w:eastAsia="Times New Roman" w:hAnsi="Calibri" w:cs="Calibri"/>
          <w:color w:val="0000FF"/>
          <w:sz w:val="20"/>
          <w:szCs w:val="20"/>
          <w:u w:val="double" w:color="0000FF"/>
          <w:vertAlign w:val="superscript"/>
        </w:rPr>
        <w:t>2</w:t>
      </w:r>
      <w:r>
        <w:rPr>
          <w:rFonts w:ascii="Calibri" w:eastAsia="MS Mincho" w:hAnsi="Calibri" w:cs="Calibri"/>
          <w:sz w:val="20"/>
          <w:szCs w:val="20"/>
        </w:rPr>
        <w:t xml:space="preserve"> 18 </w:t>
      </w:r>
      <w:proofErr w:type="spellStart"/>
      <w:r>
        <w:rPr>
          <w:rFonts w:ascii="Calibri" w:eastAsia="MS Mincho" w:hAnsi="Calibri" w:cs="Calibri"/>
          <w:sz w:val="20"/>
          <w:szCs w:val="20"/>
        </w:rPr>
        <w:t>gTLDs</w:t>
      </w:r>
      <w:proofErr w:type="spellEnd"/>
      <w:r>
        <w:rPr>
          <w:rFonts w:ascii="Calibri" w:eastAsia="MS Mincho" w:hAnsi="Calibri" w:cs="Calibri"/>
          <w:sz w:val="20"/>
          <w:szCs w:val="20"/>
        </w:rPr>
        <w:t xml:space="preserve"> before expansion, including 4 generic, 3 generic-restricted, 11 sponsored.  (omit.gov, .mil, .</w:t>
      </w:r>
      <w:proofErr w:type="spellStart"/>
      <w:r>
        <w:rPr>
          <w:rFonts w:ascii="Calibri" w:eastAsia="MS Mincho" w:hAnsi="Calibri" w:cs="Calibri"/>
          <w:sz w:val="20"/>
          <w:szCs w:val="20"/>
        </w:rPr>
        <w:t>int</w:t>
      </w:r>
      <w:proofErr w:type="spellEnd"/>
      <w:r>
        <w:rPr>
          <w:rFonts w:ascii="Calibri" w:eastAsia="MS Mincho" w:hAnsi="Calibri" w:cs="Calibri"/>
          <w:sz w:val="20"/>
          <w:szCs w:val="20"/>
        </w:rPr>
        <w:t xml:space="preserve">):  </w:t>
      </w:r>
    </w:p>
    <w:p w:rsidR="00A13668" w:rsidRDefault="00EC665B">
      <w:pPr>
        <w:pStyle w:val="EndnoteText"/>
        <w:widowControl/>
        <w:tabs>
          <w:tab w:val="left" w:pos="2448"/>
        </w:tabs>
        <w:ind w:left="828"/>
        <w:rPr>
          <w:rFonts w:ascii="Calibri" w:eastAsia="MS Mincho" w:hAnsi="Calibri" w:cs="Calibri"/>
          <w:sz w:val="20"/>
          <w:szCs w:val="20"/>
        </w:rPr>
      </w:pPr>
      <w:r>
        <w:rPr>
          <w:rFonts w:ascii="Calibri" w:eastAsia="MS Mincho" w:hAnsi="Calibri" w:cs="Calibri"/>
          <w:sz w:val="20"/>
          <w:szCs w:val="20"/>
        </w:rPr>
        <w:t>AERO</w:t>
      </w:r>
      <w:r>
        <w:rPr>
          <w:rFonts w:ascii="Calibri" w:eastAsia="MS Mincho" w:hAnsi="Calibri" w:cs="Calibri"/>
          <w:sz w:val="20"/>
          <w:szCs w:val="20"/>
        </w:rPr>
        <w:tab/>
        <w:t>ASIA</w:t>
      </w:r>
    </w:p>
    <w:p w:rsidR="00A13668" w:rsidRDefault="00EC665B">
      <w:pPr>
        <w:pStyle w:val="EndnoteText"/>
        <w:widowControl/>
        <w:tabs>
          <w:tab w:val="left" w:pos="2448"/>
        </w:tabs>
        <w:ind w:left="828"/>
        <w:rPr>
          <w:rFonts w:ascii="Calibri" w:eastAsia="MS Mincho" w:hAnsi="Calibri" w:cs="Calibri"/>
          <w:sz w:val="20"/>
          <w:szCs w:val="20"/>
        </w:rPr>
      </w:pPr>
      <w:r>
        <w:rPr>
          <w:rFonts w:ascii="Calibri" w:eastAsia="MS Mincho" w:hAnsi="Calibri" w:cs="Calibri"/>
          <w:sz w:val="20"/>
          <w:szCs w:val="20"/>
        </w:rPr>
        <w:t>BIZ</w:t>
      </w:r>
      <w:r>
        <w:rPr>
          <w:rFonts w:ascii="Calibri" w:eastAsia="MS Mincho" w:hAnsi="Calibri" w:cs="Calibri"/>
          <w:sz w:val="20"/>
          <w:szCs w:val="20"/>
        </w:rPr>
        <w:tab/>
        <w:t>CAT</w:t>
      </w:r>
    </w:p>
    <w:p w:rsidR="00A13668" w:rsidRDefault="00EC665B">
      <w:pPr>
        <w:pStyle w:val="EndnoteText"/>
        <w:widowControl/>
        <w:tabs>
          <w:tab w:val="left" w:pos="2448"/>
        </w:tabs>
        <w:ind w:left="828"/>
        <w:rPr>
          <w:rFonts w:ascii="Calibri" w:eastAsia="MS Mincho" w:hAnsi="Calibri" w:cs="Calibri"/>
          <w:sz w:val="20"/>
          <w:szCs w:val="20"/>
        </w:rPr>
      </w:pPr>
      <w:r>
        <w:rPr>
          <w:rFonts w:ascii="Calibri" w:eastAsia="MS Mincho" w:hAnsi="Calibri" w:cs="Calibri"/>
          <w:sz w:val="20"/>
          <w:szCs w:val="20"/>
        </w:rPr>
        <w:t>COM</w:t>
      </w:r>
      <w:r>
        <w:rPr>
          <w:rFonts w:ascii="Calibri" w:eastAsia="MS Mincho" w:hAnsi="Calibri" w:cs="Calibri"/>
          <w:sz w:val="20"/>
          <w:szCs w:val="20"/>
        </w:rPr>
        <w:tab/>
        <w:t>COOP</w:t>
      </w:r>
    </w:p>
    <w:p w:rsidR="00A13668" w:rsidRDefault="00EC665B">
      <w:pPr>
        <w:pStyle w:val="EndnoteText"/>
        <w:widowControl/>
        <w:tabs>
          <w:tab w:val="left" w:pos="2448"/>
        </w:tabs>
        <w:ind w:left="828"/>
        <w:rPr>
          <w:rFonts w:ascii="Calibri" w:eastAsia="MS Mincho" w:hAnsi="Calibri" w:cs="Calibri"/>
          <w:sz w:val="20"/>
          <w:szCs w:val="20"/>
        </w:rPr>
      </w:pPr>
      <w:r>
        <w:rPr>
          <w:rFonts w:ascii="Calibri" w:eastAsia="MS Mincho" w:hAnsi="Calibri" w:cs="Calibri"/>
          <w:sz w:val="20"/>
          <w:szCs w:val="20"/>
        </w:rPr>
        <w:t>EDU</w:t>
      </w:r>
      <w:r>
        <w:rPr>
          <w:rFonts w:ascii="Calibri" w:eastAsia="MS Mincho" w:hAnsi="Calibri" w:cs="Calibri"/>
          <w:sz w:val="20"/>
          <w:szCs w:val="20"/>
        </w:rPr>
        <w:tab/>
        <w:t>INFO</w:t>
      </w:r>
    </w:p>
    <w:p w:rsidR="00A13668" w:rsidRDefault="00EC665B">
      <w:pPr>
        <w:pStyle w:val="EndnoteText"/>
        <w:widowControl/>
        <w:tabs>
          <w:tab w:val="left" w:pos="2448"/>
        </w:tabs>
        <w:ind w:left="828"/>
        <w:rPr>
          <w:rFonts w:ascii="Calibri" w:eastAsia="MS Mincho" w:hAnsi="Calibri" w:cs="Calibri"/>
          <w:sz w:val="20"/>
          <w:szCs w:val="20"/>
        </w:rPr>
      </w:pPr>
      <w:r>
        <w:rPr>
          <w:rFonts w:ascii="Calibri" w:eastAsia="MS Mincho" w:hAnsi="Calibri" w:cs="Calibri"/>
          <w:sz w:val="20"/>
          <w:szCs w:val="20"/>
        </w:rPr>
        <w:t>JOBS</w:t>
      </w:r>
      <w:r>
        <w:rPr>
          <w:rFonts w:ascii="Calibri" w:eastAsia="MS Mincho" w:hAnsi="Calibri" w:cs="Calibri"/>
          <w:sz w:val="20"/>
          <w:szCs w:val="20"/>
        </w:rPr>
        <w:tab/>
        <w:t>MOBI</w:t>
      </w:r>
    </w:p>
    <w:p w:rsidR="00A13668" w:rsidRDefault="00EC665B">
      <w:pPr>
        <w:pStyle w:val="EndnoteText"/>
        <w:widowControl/>
        <w:tabs>
          <w:tab w:val="left" w:pos="2448"/>
        </w:tabs>
        <w:ind w:left="828"/>
        <w:rPr>
          <w:rFonts w:ascii="Calibri" w:eastAsia="MS Mincho" w:hAnsi="Calibri" w:cs="Calibri"/>
          <w:sz w:val="20"/>
          <w:szCs w:val="20"/>
        </w:rPr>
      </w:pPr>
      <w:r>
        <w:rPr>
          <w:rFonts w:ascii="Calibri" w:eastAsia="MS Mincho" w:hAnsi="Calibri" w:cs="Calibri"/>
          <w:sz w:val="20"/>
          <w:szCs w:val="20"/>
        </w:rPr>
        <w:t>MUSEUM</w:t>
      </w:r>
      <w:r>
        <w:rPr>
          <w:rFonts w:ascii="Calibri" w:eastAsia="MS Mincho" w:hAnsi="Calibri" w:cs="Calibri"/>
          <w:sz w:val="20"/>
          <w:szCs w:val="20"/>
        </w:rPr>
        <w:tab/>
        <w:t>NAME</w:t>
      </w:r>
    </w:p>
    <w:p w:rsidR="00A13668" w:rsidRDefault="00EC665B">
      <w:pPr>
        <w:pStyle w:val="EndnoteText"/>
        <w:widowControl/>
        <w:tabs>
          <w:tab w:val="left" w:pos="2448"/>
        </w:tabs>
        <w:ind w:left="828"/>
        <w:rPr>
          <w:rFonts w:ascii="Calibri" w:eastAsia="MS Mincho" w:hAnsi="Calibri" w:cs="Calibri"/>
          <w:sz w:val="20"/>
          <w:szCs w:val="20"/>
        </w:rPr>
      </w:pPr>
      <w:r>
        <w:rPr>
          <w:rFonts w:ascii="Calibri" w:eastAsia="MS Mincho" w:hAnsi="Calibri" w:cs="Calibri"/>
          <w:sz w:val="20"/>
          <w:szCs w:val="20"/>
        </w:rPr>
        <w:t>NET</w:t>
      </w:r>
      <w:r>
        <w:rPr>
          <w:rFonts w:ascii="Calibri" w:eastAsia="MS Mincho" w:hAnsi="Calibri" w:cs="Calibri"/>
          <w:sz w:val="20"/>
          <w:szCs w:val="20"/>
        </w:rPr>
        <w:tab/>
        <w:t>ORG</w:t>
      </w:r>
    </w:p>
    <w:p w:rsidR="00A13668" w:rsidRDefault="00EC665B">
      <w:pPr>
        <w:pStyle w:val="EndnoteText"/>
        <w:widowControl/>
        <w:tabs>
          <w:tab w:val="left" w:pos="2448"/>
        </w:tabs>
        <w:ind w:left="828"/>
        <w:rPr>
          <w:rFonts w:ascii="Calibri" w:eastAsia="MS Mincho" w:hAnsi="Calibri" w:cs="Calibri"/>
          <w:sz w:val="20"/>
          <w:szCs w:val="20"/>
        </w:rPr>
      </w:pPr>
      <w:r>
        <w:rPr>
          <w:rFonts w:ascii="Calibri" w:eastAsia="MS Mincho" w:hAnsi="Calibri" w:cs="Calibri"/>
          <w:sz w:val="20"/>
          <w:szCs w:val="20"/>
        </w:rPr>
        <w:t>PRO</w:t>
      </w:r>
      <w:r>
        <w:rPr>
          <w:rFonts w:ascii="Calibri" w:eastAsia="MS Mincho" w:hAnsi="Calibri" w:cs="Calibri"/>
          <w:sz w:val="20"/>
          <w:szCs w:val="20"/>
        </w:rPr>
        <w:tab/>
        <w:t>TEL</w:t>
      </w:r>
    </w:p>
    <w:p w:rsidR="00A13668" w:rsidRDefault="00EC665B">
      <w:pPr>
        <w:pStyle w:val="EndnoteText"/>
        <w:widowControl/>
        <w:tabs>
          <w:tab w:val="left" w:pos="2448"/>
        </w:tabs>
        <w:ind w:left="828"/>
        <w:rPr>
          <w:rFonts w:ascii="Calibri" w:eastAsia="MS Mincho" w:hAnsi="Calibri" w:cs="Calibri"/>
          <w:sz w:val="20"/>
          <w:szCs w:val="20"/>
        </w:rPr>
      </w:pPr>
      <w:r>
        <w:rPr>
          <w:rFonts w:ascii="Calibri" w:eastAsia="MS Mincho" w:hAnsi="Calibri" w:cs="Calibri"/>
          <w:sz w:val="20"/>
          <w:szCs w:val="20"/>
        </w:rPr>
        <w:t>TRAVEL</w:t>
      </w:r>
      <w:r>
        <w:rPr>
          <w:rFonts w:ascii="Calibri" w:eastAsia="MS Mincho" w:hAnsi="Calibri" w:cs="Calibri"/>
          <w:sz w:val="20"/>
          <w:szCs w:val="20"/>
        </w:rPr>
        <w:tab/>
        <w:t>XXX</w:t>
      </w:r>
    </w:p>
    <w:p w:rsidR="00A13668" w:rsidRDefault="00A13668">
      <w:pPr>
        <w:pStyle w:val="EndnoteText"/>
        <w:widowControl/>
        <w:tabs>
          <w:tab w:val="left" w:pos="2448"/>
        </w:tabs>
        <w:ind w:left="828"/>
        <w:rPr>
          <w:rFonts w:ascii="Calibri" w:eastAsia="MS Mincho" w:hAnsi="Calibri" w:cs="Calibri"/>
          <w:sz w:val="20"/>
          <w:szCs w:val="20"/>
        </w:rPr>
      </w:pPr>
    </w:p>
  </w:endnote>
  <w:endnote w:id="3">
    <w:p w:rsidR="00A13668" w:rsidRDefault="00EC665B">
      <w:pPr>
        <w:pStyle w:val="EndnoteText"/>
        <w:widowControl/>
        <w:rPr>
          <w:rFonts w:ascii="Calibri" w:eastAsia="MS Mincho" w:hAnsi="Calibri" w:cs="Calibri"/>
          <w:sz w:val="20"/>
          <w:szCs w:val="20"/>
        </w:rPr>
      </w:pPr>
      <w:r>
        <w:rPr>
          <w:rFonts w:eastAsia="Times New Roman"/>
          <w:strike/>
          <w:color w:val="FF0000"/>
          <w:sz w:val="20"/>
          <w:szCs w:val="20"/>
          <w:vertAlign w:val="superscript"/>
        </w:rPr>
        <w:t>iii</w:t>
      </w:r>
      <w:r>
        <w:rPr>
          <w:rStyle w:val="EndnoteReference"/>
          <w:rFonts w:ascii="Calibri" w:eastAsia="Times New Roman" w:hAnsi="Calibri" w:cs="Calibri"/>
          <w:color w:val="0000FF"/>
          <w:sz w:val="20"/>
          <w:szCs w:val="20"/>
          <w:u w:val="double" w:color="0000FF"/>
          <w:vertAlign w:val="superscript"/>
        </w:rPr>
        <w:t>3</w:t>
      </w:r>
      <w:r>
        <w:rPr>
          <w:rFonts w:ascii="Calibri" w:eastAsia="MS Mincho" w:hAnsi="Calibri" w:cs="Calibri"/>
          <w:sz w:val="20"/>
          <w:szCs w:val="20"/>
        </w:rPr>
        <w:t xml:space="preserve"> Quantity of unique Generic Registry Operators before and after expansion – 16:</w:t>
      </w:r>
    </w:p>
    <w:p w:rsidR="00A13668" w:rsidRDefault="00EC665B">
      <w:pPr>
        <w:pStyle w:val="EndnoteText"/>
        <w:widowControl/>
        <w:rPr>
          <w:rFonts w:ascii="Calibri" w:eastAsia="MS Mincho" w:hAnsi="Calibri" w:cs="Calibri"/>
          <w:sz w:val="20"/>
          <w:szCs w:val="20"/>
        </w:rPr>
      </w:pPr>
      <w:r>
        <w:rPr>
          <w:rFonts w:ascii="Calibri" w:eastAsia="MS Mincho" w:hAnsi="Calibri" w:cs="Calibri"/>
          <w:sz w:val="20"/>
          <w:szCs w:val="20"/>
        </w:rPr>
        <w:t>VeriSign Global Registry Services</w:t>
      </w:r>
    </w:p>
    <w:p w:rsidR="00A13668" w:rsidRDefault="00EC665B">
      <w:pPr>
        <w:pStyle w:val="EndnoteText"/>
        <w:widowControl/>
        <w:rPr>
          <w:rFonts w:ascii="Calibri" w:eastAsia="MS Mincho" w:hAnsi="Calibri" w:cs="Calibri"/>
          <w:sz w:val="20"/>
          <w:szCs w:val="20"/>
        </w:rPr>
      </w:pPr>
      <w:proofErr w:type="spellStart"/>
      <w:r>
        <w:rPr>
          <w:rFonts w:ascii="Calibri" w:eastAsia="MS Mincho" w:hAnsi="Calibri" w:cs="Calibri"/>
          <w:sz w:val="20"/>
          <w:szCs w:val="20"/>
        </w:rPr>
        <w:t>Telnic</w:t>
      </w:r>
      <w:proofErr w:type="spellEnd"/>
      <w:r>
        <w:rPr>
          <w:rFonts w:ascii="Calibri" w:eastAsia="MS Mincho" w:hAnsi="Calibri" w:cs="Calibri"/>
          <w:sz w:val="20"/>
          <w:szCs w:val="20"/>
        </w:rPr>
        <w:t xml:space="preserve"> Ltd.</w:t>
      </w:r>
    </w:p>
    <w:p w:rsidR="00A13668" w:rsidRDefault="00EC665B">
      <w:pPr>
        <w:pStyle w:val="EndnoteText"/>
        <w:widowControl/>
        <w:rPr>
          <w:rFonts w:ascii="Calibri" w:eastAsia="MS Mincho" w:hAnsi="Calibri" w:cs="Calibri"/>
          <w:sz w:val="20"/>
          <w:szCs w:val="20"/>
        </w:rPr>
      </w:pPr>
      <w:proofErr w:type="spellStart"/>
      <w:r>
        <w:rPr>
          <w:rFonts w:ascii="Calibri" w:eastAsia="MS Mincho" w:hAnsi="Calibri" w:cs="Calibri"/>
          <w:sz w:val="20"/>
          <w:szCs w:val="20"/>
        </w:rPr>
        <w:t>NeuStar</w:t>
      </w:r>
      <w:proofErr w:type="spellEnd"/>
      <w:r>
        <w:rPr>
          <w:rFonts w:ascii="Calibri" w:eastAsia="MS Mincho" w:hAnsi="Calibri" w:cs="Calibri"/>
          <w:sz w:val="20"/>
          <w:szCs w:val="20"/>
        </w:rPr>
        <w:t>, Inc.</w:t>
      </w:r>
    </w:p>
    <w:p w:rsidR="00A13668" w:rsidRDefault="00EC665B">
      <w:pPr>
        <w:pStyle w:val="EndnoteText"/>
        <w:widowControl/>
        <w:rPr>
          <w:rFonts w:ascii="Calibri" w:eastAsia="MS Mincho" w:hAnsi="Calibri" w:cs="Calibri"/>
          <w:sz w:val="20"/>
          <w:szCs w:val="20"/>
        </w:rPr>
      </w:pPr>
      <w:proofErr w:type="spellStart"/>
      <w:r>
        <w:rPr>
          <w:rFonts w:ascii="Calibri" w:eastAsia="MS Mincho" w:hAnsi="Calibri" w:cs="Calibri"/>
          <w:sz w:val="20"/>
          <w:szCs w:val="20"/>
        </w:rPr>
        <w:t>mTLD</w:t>
      </w:r>
      <w:proofErr w:type="spellEnd"/>
      <w:r>
        <w:rPr>
          <w:rFonts w:ascii="Calibri" w:eastAsia="MS Mincho" w:hAnsi="Calibri" w:cs="Calibri"/>
          <w:sz w:val="20"/>
          <w:szCs w:val="20"/>
        </w:rPr>
        <w:t xml:space="preserve"> Top Level Domain Limited </w:t>
      </w:r>
      <w:proofErr w:type="spellStart"/>
      <w:r>
        <w:rPr>
          <w:rFonts w:ascii="Calibri" w:eastAsia="MS Mincho" w:hAnsi="Calibri" w:cs="Calibri"/>
          <w:sz w:val="20"/>
          <w:szCs w:val="20"/>
        </w:rPr>
        <w:t>dba</w:t>
      </w:r>
      <w:proofErr w:type="spellEnd"/>
      <w:r>
        <w:rPr>
          <w:rFonts w:ascii="Calibri" w:eastAsia="MS Mincho" w:hAnsi="Calibri" w:cs="Calibri"/>
          <w:sz w:val="20"/>
          <w:szCs w:val="20"/>
        </w:rPr>
        <w:t xml:space="preserve"> </w:t>
      </w:r>
      <w:proofErr w:type="spellStart"/>
      <w:r>
        <w:rPr>
          <w:rFonts w:ascii="Calibri" w:eastAsia="MS Mincho" w:hAnsi="Calibri" w:cs="Calibri"/>
          <w:sz w:val="20"/>
          <w:szCs w:val="20"/>
        </w:rPr>
        <w:t>dotMobi</w:t>
      </w:r>
      <w:proofErr w:type="spellEnd"/>
    </w:p>
    <w:p w:rsidR="00A13668" w:rsidRDefault="00EC665B">
      <w:pPr>
        <w:pStyle w:val="EndnoteText"/>
        <w:widowControl/>
        <w:ind w:left="720"/>
        <w:rPr>
          <w:rFonts w:ascii="Calibri" w:eastAsia="MS Mincho" w:hAnsi="Calibri" w:cs="Calibri"/>
          <w:sz w:val="20"/>
          <w:szCs w:val="20"/>
        </w:rPr>
      </w:pPr>
      <w:proofErr w:type="spellStart"/>
      <w:r>
        <w:rPr>
          <w:rFonts w:ascii="Calibri" w:eastAsia="MS Mincho" w:hAnsi="Calibri" w:cs="Calibri"/>
          <w:sz w:val="20"/>
          <w:szCs w:val="20"/>
        </w:rPr>
        <w:t>DotAsia</w:t>
      </w:r>
      <w:proofErr w:type="spellEnd"/>
      <w:r>
        <w:rPr>
          <w:rFonts w:ascii="Calibri" w:eastAsia="MS Mincho" w:hAnsi="Calibri" w:cs="Calibri"/>
          <w:sz w:val="20"/>
          <w:szCs w:val="20"/>
        </w:rPr>
        <w:t xml:space="preserve"> </w:t>
      </w:r>
      <w:proofErr w:type="spellStart"/>
      <w:r>
        <w:rPr>
          <w:rFonts w:ascii="Calibri" w:eastAsia="MS Mincho" w:hAnsi="Calibri" w:cs="Calibri"/>
          <w:sz w:val="20"/>
          <w:szCs w:val="20"/>
        </w:rPr>
        <w:t>Organisation</w:t>
      </w:r>
      <w:proofErr w:type="spellEnd"/>
      <w:r>
        <w:rPr>
          <w:rFonts w:ascii="Calibri" w:eastAsia="MS Mincho" w:hAnsi="Calibri" w:cs="Calibri"/>
          <w:sz w:val="20"/>
          <w:szCs w:val="20"/>
        </w:rPr>
        <w:t xml:space="preserve"> Ltd.</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 xml:space="preserve">Registry Services Corporation </w:t>
      </w:r>
      <w:proofErr w:type="spellStart"/>
      <w:r>
        <w:rPr>
          <w:rFonts w:ascii="Calibri" w:eastAsia="MS Mincho" w:hAnsi="Calibri" w:cs="Calibri"/>
          <w:sz w:val="20"/>
          <w:szCs w:val="20"/>
        </w:rPr>
        <w:t>dba</w:t>
      </w:r>
      <w:proofErr w:type="spellEnd"/>
      <w:r>
        <w:rPr>
          <w:rFonts w:ascii="Calibri" w:eastAsia="MS Mincho" w:hAnsi="Calibri" w:cs="Calibri"/>
          <w:sz w:val="20"/>
          <w:szCs w:val="20"/>
        </w:rPr>
        <w:t xml:space="preserve"> </w:t>
      </w:r>
      <w:proofErr w:type="spellStart"/>
      <w:r>
        <w:rPr>
          <w:rFonts w:ascii="Calibri" w:eastAsia="MS Mincho" w:hAnsi="Calibri" w:cs="Calibri"/>
          <w:sz w:val="20"/>
          <w:szCs w:val="20"/>
        </w:rPr>
        <w:t>RegistryPro</w:t>
      </w:r>
      <w:proofErr w:type="spellEnd"/>
    </w:p>
    <w:p w:rsidR="00A13668" w:rsidRDefault="00EC665B">
      <w:pPr>
        <w:pStyle w:val="EndnoteText"/>
        <w:widowControl/>
        <w:ind w:left="720"/>
        <w:rPr>
          <w:rFonts w:ascii="Calibri" w:eastAsia="MS Mincho" w:hAnsi="Calibri" w:cs="Calibri"/>
          <w:sz w:val="20"/>
          <w:szCs w:val="20"/>
        </w:rPr>
      </w:pPr>
      <w:proofErr w:type="spellStart"/>
      <w:r>
        <w:rPr>
          <w:rFonts w:ascii="Calibri" w:eastAsia="MS Mincho" w:hAnsi="Calibri" w:cs="Calibri"/>
          <w:sz w:val="20"/>
          <w:szCs w:val="20"/>
        </w:rPr>
        <w:t>DotCooperation</w:t>
      </w:r>
      <w:proofErr w:type="spellEnd"/>
      <w:r>
        <w:rPr>
          <w:rFonts w:ascii="Calibri" w:eastAsia="MS Mincho" w:hAnsi="Calibri" w:cs="Calibri"/>
          <w:sz w:val="20"/>
          <w:szCs w:val="20"/>
        </w:rPr>
        <w:t xml:space="preserve"> LLC</w:t>
      </w:r>
    </w:p>
    <w:p w:rsidR="00A13668" w:rsidRDefault="00EC665B">
      <w:pPr>
        <w:pStyle w:val="EndnoteText"/>
        <w:widowControl/>
        <w:ind w:left="720"/>
        <w:rPr>
          <w:rFonts w:ascii="Calibri" w:eastAsia="MS Mincho" w:hAnsi="Calibri" w:cs="Calibri"/>
          <w:sz w:val="20"/>
          <w:szCs w:val="20"/>
        </w:rPr>
      </w:pPr>
      <w:proofErr w:type="spellStart"/>
      <w:r>
        <w:rPr>
          <w:rFonts w:ascii="Calibri" w:eastAsia="MS Mincho" w:hAnsi="Calibri" w:cs="Calibri"/>
          <w:sz w:val="20"/>
          <w:szCs w:val="20"/>
        </w:rPr>
        <w:t>Afilias</w:t>
      </w:r>
      <w:proofErr w:type="spellEnd"/>
      <w:r>
        <w:rPr>
          <w:rFonts w:ascii="Calibri" w:eastAsia="MS Mincho" w:hAnsi="Calibri" w:cs="Calibri"/>
          <w:sz w:val="20"/>
          <w:szCs w:val="20"/>
        </w:rPr>
        <w:t xml:space="preserve"> Limited</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EDUCAUSE</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Museum Domain Management Association</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Employ Media LLC</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Public Interest Registry (PIR)</w:t>
      </w:r>
    </w:p>
    <w:p w:rsidR="00A13668" w:rsidRDefault="00EC665B">
      <w:pPr>
        <w:pStyle w:val="EndnoteText"/>
        <w:widowControl/>
        <w:ind w:left="720"/>
        <w:rPr>
          <w:rFonts w:ascii="Calibri" w:eastAsia="MS Mincho" w:hAnsi="Calibri" w:cs="Calibri"/>
          <w:sz w:val="20"/>
          <w:szCs w:val="20"/>
        </w:rPr>
      </w:pPr>
      <w:proofErr w:type="spellStart"/>
      <w:r>
        <w:rPr>
          <w:rFonts w:ascii="Calibri" w:eastAsia="MS Mincho" w:hAnsi="Calibri" w:cs="Calibri"/>
          <w:sz w:val="20"/>
          <w:szCs w:val="20"/>
        </w:rPr>
        <w:t>Fundacio</w:t>
      </w:r>
      <w:proofErr w:type="spellEnd"/>
      <w:r>
        <w:rPr>
          <w:rFonts w:ascii="Calibri" w:eastAsia="MS Mincho" w:hAnsi="Calibri" w:cs="Calibri"/>
          <w:sz w:val="20"/>
          <w:szCs w:val="20"/>
        </w:rPr>
        <w:t xml:space="preserve"> </w:t>
      </w:r>
      <w:proofErr w:type="spellStart"/>
      <w:r>
        <w:rPr>
          <w:rFonts w:ascii="Calibri" w:eastAsia="MS Mincho" w:hAnsi="Calibri" w:cs="Calibri"/>
          <w:sz w:val="20"/>
          <w:szCs w:val="20"/>
        </w:rPr>
        <w:t>puntCAT</w:t>
      </w:r>
      <w:proofErr w:type="spellEnd"/>
    </w:p>
    <w:p w:rsidR="00A13668" w:rsidRDefault="00EC665B">
      <w:pPr>
        <w:pStyle w:val="EndnoteText"/>
        <w:widowControl/>
        <w:ind w:left="720"/>
        <w:rPr>
          <w:rFonts w:ascii="Calibri" w:eastAsia="MS Mincho" w:hAnsi="Calibri" w:cs="Calibri"/>
          <w:sz w:val="20"/>
          <w:szCs w:val="20"/>
        </w:rPr>
      </w:pPr>
      <w:proofErr w:type="spellStart"/>
      <w:r>
        <w:rPr>
          <w:rFonts w:ascii="Calibri" w:eastAsia="MS Mincho" w:hAnsi="Calibri" w:cs="Calibri"/>
          <w:sz w:val="20"/>
          <w:szCs w:val="20"/>
        </w:rPr>
        <w:t>Societe</w:t>
      </w:r>
      <w:proofErr w:type="spellEnd"/>
      <w:r>
        <w:rPr>
          <w:rFonts w:ascii="Calibri" w:eastAsia="MS Mincho" w:hAnsi="Calibri" w:cs="Calibri"/>
          <w:sz w:val="20"/>
          <w:szCs w:val="20"/>
        </w:rPr>
        <w:t xml:space="preserve"> </w:t>
      </w:r>
      <w:proofErr w:type="spellStart"/>
      <w:r>
        <w:rPr>
          <w:rFonts w:ascii="Calibri" w:eastAsia="MS Mincho" w:hAnsi="Calibri" w:cs="Calibri"/>
          <w:sz w:val="20"/>
          <w:szCs w:val="20"/>
        </w:rPr>
        <w:t>Internationale</w:t>
      </w:r>
      <w:proofErr w:type="spellEnd"/>
      <w:r>
        <w:rPr>
          <w:rFonts w:ascii="Calibri" w:eastAsia="MS Mincho" w:hAnsi="Calibri" w:cs="Calibri"/>
          <w:sz w:val="20"/>
          <w:szCs w:val="20"/>
        </w:rPr>
        <w:t xml:space="preserve"> de Telecommunications </w:t>
      </w:r>
      <w:proofErr w:type="spellStart"/>
      <w:r>
        <w:rPr>
          <w:rFonts w:ascii="Calibri" w:eastAsia="MS Mincho" w:hAnsi="Calibri" w:cs="Calibri"/>
          <w:sz w:val="20"/>
          <w:szCs w:val="20"/>
        </w:rPr>
        <w:t>Aeronautique</w:t>
      </w:r>
      <w:proofErr w:type="spellEnd"/>
      <w:r>
        <w:rPr>
          <w:rFonts w:ascii="Calibri" w:eastAsia="MS Mincho" w:hAnsi="Calibri" w:cs="Calibri"/>
          <w:sz w:val="20"/>
          <w:szCs w:val="20"/>
        </w:rPr>
        <w:t xml:space="preserve"> (SITA INC USA)</w:t>
      </w:r>
    </w:p>
    <w:p w:rsidR="00A13668" w:rsidRDefault="00EC665B">
      <w:pPr>
        <w:pStyle w:val="EndnoteText"/>
        <w:widowControl/>
        <w:ind w:left="720"/>
        <w:rPr>
          <w:rFonts w:ascii="Calibri" w:eastAsia="MS Mincho" w:hAnsi="Calibri" w:cs="Calibri"/>
          <w:sz w:val="20"/>
          <w:szCs w:val="20"/>
        </w:rPr>
      </w:pPr>
      <w:proofErr w:type="spellStart"/>
      <w:r>
        <w:rPr>
          <w:rFonts w:ascii="Calibri" w:eastAsia="MS Mincho" w:hAnsi="Calibri" w:cs="Calibri"/>
          <w:sz w:val="20"/>
          <w:szCs w:val="20"/>
        </w:rPr>
        <w:t>Tralliance</w:t>
      </w:r>
      <w:proofErr w:type="spellEnd"/>
      <w:r>
        <w:rPr>
          <w:rFonts w:ascii="Calibri" w:eastAsia="MS Mincho" w:hAnsi="Calibri" w:cs="Calibri"/>
          <w:sz w:val="20"/>
          <w:szCs w:val="20"/>
        </w:rPr>
        <w:t xml:space="preserve"> Registry Management Company, LLC.</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ICM Registry LLC</w:t>
      </w:r>
    </w:p>
    <w:p w:rsidR="00A13668" w:rsidRDefault="00A13668">
      <w:pPr>
        <w:pStyle w:val="EndnoteText"/>
        <w:widowControl/>
        <w:ind w:left="720"/>
        <w:rPr>
          <w:rFonts w:ascii="Calibri" w:eastAsia="MS Mincho" w:hAnsi="Calibri" w:cs="Calibri"/>
          <w:sz w:val="20"/>
          <w:szCs w:val="20"/>
        </w:rPr>
      </w:pPr>
    </w:p>
  </w:endnote>
  <w:endnote w:id="4">
    <w:p w:rsidR="00A13668" w:rsidRDefault="00EC665B">
      <w:pPr>
        <w:pStyle w:val="EndnoteText"/>
        <w:widowControl/>
        <w:rPr>
          <w:rFonts w:ascii="Calibri" w:eastAsia="MS Mincho" w:hAnsi="Calibri" w:cs="Calibri"/>
          <w:sz w:val="20"/>
          <w:szCs w:val="20"/>
        </w:rPr>
      </w:pPr>
      <w:r>
        <w:rPr>
          <w:rFonts w:ascii="Calibri" w:eastAsia="Times New Roman" w:hAnsi="Calibri" w:cs="Calibri"/>
          <w:strike/>
          <w:color w:val="FF0000"/>
          <w:vertAlign w:val="superscript"/>
        </w:rPr>
        <w:t>iv</w:t>
      </w:r>
      <w:r>
        <w:rPr>
          <w:rStyle w:val="EndnoteReference"/>
          <w:rFonts w:eastAsia="MS Mincho"/>
          <w:color w:val="0000FF"/>
          <w:u w:val="double" w:color="0000FF"/>
          <w:vertAlign w:val="superscript"/>
        </w:rPr>
        <w:t>4</w:t>
      </w:r>
      <w:r>
        <w:rPr>
          <w:rFonts w:eastAsia="MS Mincho"/>
        </w:rPr>
        <w:t xml:space="preserve"> </w:t>
      </w:r>
      <w:r>
        <w:rPr>
          <w:rFonts w:ascii="Calibri" w:eastAsia="MS Mincho" w:hAnsi="Calibri" w:cs="Calibri"/>
          <w:sz w:val="20"/>
          <w:szCs w:val="20"/>
        </w:rPr>
        <w:t>Quantity of Generic Registry Service Providers before and after expansion – 6:</w:t>
      </w:r>
    </w:p>
    <w:p w:rsidR="00A13668" w:rsidRDefault="00EC665B">
      <w:pPr>
        <w:pStyle w:val="EndnoteText"/>
        <w:widowControl/>
        <w:rPr>
          <w:rFonts w:ascii="Calibri" w:eastAsia="MS Mincho" w:hAnsi="Calibri" w:cs="Calibri"/>
          <w:sz w:val="20"/>
          <w:szCs w:val="20"/>
        </w:rPr>
      </w:pPr>
      <w:r>
        <w:rPr>
          <w:rFonts w:ascii="Calibri" w:eastAsia="MS Mincho" w:hAnsi="Calibri" w:cs="Calibri"/>
          <w:sz w:val="20"/>
          <w:szCs w:val="20"/>
        </w:rPr>
        <w:t>VeriSign Global Registry Services</w:t>
      </w:r>
    </w:p>
    <w:p w:rsidR="00A13668" w:rsidRDefault="00EC665B">
      <w:pPr>
        <w:pStyle w:val="EndnoteText"/>
        <w:widowControl/>
        <w:rPr>
          <w:rFonts w:ascii="Calibri" w:eastAsia="MS Mincho" w:hAnsi="Calibri" w:cs="Calibri"/>
          <w:sz w:val="20"/>
          <w:szCs w:val="20"/>
        </w:rPr>
      </w:pPr>
      <w:proofErr w:type="spellStart"/>
      <w:r>
        <w:rPr>
          <w:rFonts w:ascii="Calibri" w:eastAsia="MS Mincho" w:hAnsi="Calibri" w:cs="Calibri"/>
          <w:sz w:val="20"/>
          <w:szCs w:val="20"/>
        </w:rPr>
        <w:t>Afilias</w:t>
      </w:r>
      <w:proofErr w:type="spellEnd"/>
      <w:r>
        <w:rPr>
          <w:rFonts w:ascii="Calibri" w:eastAsia="MS Mincho" w:hAnsi="Calibri" w:cs="Calibri"/>
          <w:sz w:val="20"/>
          <w:szCs w:val="20"/>
        </w:rPr>
        <w:t xml:space="preserve"> Limited</w:t>
      </w:r>
    </w:p>
    <w:p w:rsidR="00A13668" w:rsidRDefault="00EC665B">
      <w:pPr>
        <w:pStyle w:val="EndnoteText"/>
        <w:widowControl/>
        <w:rPr>
          <w:rFonts w:ascii="Calibri" w:eastAsia="MS Mincho" w:hAnsi="Calibri" w:cs="Calibri"/>
          <w:sz w:val="20"/>
          <w:szCs w:val="20"/>
        </w:rPr>
      </w:pPr>
      <w:proofErr w:type="spellStart"/>
      <w:r>
        <w:rPr>
          <w:rFonts w:ascii="Calibri" w:eastAsia="MS Mincho" w:hAnsi="Calibri" w:cs="Calibri"/>
          <w:sz w:val="20"/>
          <w:szCs w:val="20"/>
        </w:rPr>
        <w:t>NeuStar</w:t>
      </w:r>
      <w:proofErr w:type="spellEnd"/>
      <w:r>
        <w:rPr>
          <w:rFonts w:ascii="Calibri" w:eastAsia="MS Mincho" w:hAnsi="Calibri" w:cs="Calibri"/>
          <w:sz w:val="20"/>
          <w:szCs w:val="20"/>
        </w:rPr>
        <w:t>, Inc.</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CORE Internet Council of Registrars</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Public Interest Registry (PIR)</w:t>
      </w:r>
    </w:p>
    <w:p w:rsidR="00A13668" w:rsidRDefault="00EC665B">
      <w:pPr>
        <w:pStyle w:val="EndnoteText"/>
        <w:widowControl/>
        <w:ind w:left="720"/>
        <w:rPr>
          <w:rFonts w:ascii="Calibri" w:eastAsia="MS Mincho" w:hAnsi="Calibri" w:cs="Calibri"/>
          <w:sz w:val="20"/>
          <w:szCs w:val="20"/>
        </w:rPr>
      </w:pPr>
      <w:proofErr w:type="spellStart"/>
      <w:r>
        <w:rPr>
          <w:rFonts w:ascii="Calibri" w:eastAsia="MS Mincho" w:hAnsi="Calibri" w:cs="Calibri"/>
          <w:sz w:val="20"/>
          <w:szCs w:val="20"/>
        </w:rPr>
        <w:t>Midcounties</w:t>
      </w:r>
      <w:proofErr w:type="spellEnd"/>
      <w:r>
        <w:rPr>
          <w:rFonts w:ascii="Calibri" w:eastAsia="MS Mincho" w:hAnsi="Calibri" w:cs="Calibri"/>
          <w:sz w:val="20"/>
          <w:szCs w:val="20"/>
        </w:rPr>
        <w:t xml:space="preserve"> Co-operative Domains Ltd</w:t>
      </w:r>
    </w:p>
    <w:p w:rsidR="00A13668" w:rsidRDefault="00A13668">
      <w:pPr>
        <w:pStyle w:val="EndnoteText"/>
        <w:widowControl/>
        <w:ind w:left="720"/>
        <w:rPr>
          <w:rFonts w:ascii="Calibri" w:eastAsia="MS Mincho" w:hAnsi="Calibri" w:cs="Calibri"/>
          <w:sz w:val="20"/>
          <w:szCs w:val="20"/>
        </w:rPr>
      </w:pPr>
    </w:p>
  </w:endnote>
  <w:endnote w:id="5">
    <w:p w:rsidR="00A13668" w:rsidRDefault="00EC665B">
      <w:pPr>
        <w:pStyle w:val="EndnoteText"/>
        <w:widowControl/>
        <w:rPr>
          <w:rFonts w:ascii="Calibri" w:eastAsia="MS Mincho" w:hAnsi="Calibri" w:cs="Calibri"/>
          <w:sz w:val="20"/>
          <w:szCs w:val="20"/>
        </w:rPr>
      </w:pPr>
      <w:r>
        <w:rPr>
          <w:rFonts w:eastAsia="Times New Roman"/>
          <w:strike/>
          <w:color w:val="FF0000"/>
          <w:sz w:val="20"/>
          <w:szCs w:val="20"/>
          <w:vertAlign w:val="superscript"/>
        </w:rPr>
        <w:t>v</w:t>
      </w:r>
      <w:r>
        <w:rPr>
          <w:rStyle w:val="EndnoteReference"/>
          <w:rFonts w:ascii="Calibri" w:eastAsia="Times New Roman" w:hAnsi="Calibri" w:cs="Calibri"/>
          <w:color w:val="0000FF"/>
          <w:sz w:val="20"/>
          <w:szCs w:val="20"/>
          <w:u w:val="double" w:color="0000FF"/>
          <w:vertAlign w:val="superscript"/>
        </w:rPr>
        <w:t>5</w:t>
      </w:r>
      <w:r>
        <w:rPr>
          <w:rFonts w:ascii="Calibri" w:eastAsia="MS Mincho" w:hAnsi="Calibri" w:cs="Calibri"/>
          <w:sz w:val="20"/>
          <w:szCs w:val="20"/>
        </w:rPr>
        <w:t xml:space="preserve"> ICANN Accredited Registrars List (</w:t>
      </w:r>
      <w:hyperlink r:id="rId2" w:history="1">
        <w:r>
          <w:rPr>
            <w:rStyle w:val="Hyperlink"/>
            <w:rFonts w:ascii="Calibri" w:eastAsia="MS Mincho" w:hAnsi="Calibri" w:cs="Calibri"/>
            <w:sz w:val="20"/>
            <w:szCs w:val="20"/>
          </w:rPr>
          <w:t>http://www.icann.org/en/registrars/accredited-list.html</w:t>
        </w:r>
      </w:hyperlink>
      <w:r>
        <w:rPr>
          <w:rFonts w:ascii="Calibri" w:eastAsia="MS Mincho" w:hAnsi="Calibri" w:cs="Calibri"/>
          <w:sz w:val="20"/>
          <w:szCs w:val="20"/>
        </w:rPr>
        <w:t xml:space="preserve"> )</w:t>
      </w:r>
    </w:p>
    <w:p w:rsidR="00A13668" w:rsidRDefault="00EC665B">
      <w:pPr>
        <w:pStyle w:val="EndnoteText"/>
        <w:widowControl/>
        <w:ind w:left="720"/>
        <w:rPr>
          <w:rFonts w:ascii="Calibri" w:eastAsia="MS Mincho" w:hAnsi="Calibri" w:cs="Calibri"/>
          <w:sz w:val="20"/>
          <w:szCs w:val="20"/>
        </w:rPr>
      </w:pPr>
      <w:r>
        <w:rPr>
          <w:rFonts w:ascii="Calibri" w:eastAsia="MS Mincho" w:hAnsi="Calibri" w:cs="Calibri"/>
          <w:sz w:val="20"/>
          <w:szCs w:val="20"/>
        </w:rPr>
        <w:t>1000  Registrars before Jan-2012</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68" w:rsidRDefault="00A13668">
    <w:pPr>
      <w:rPr>
        <w:rFonts w:ascii="Times New Roman" w:eastAsia="Times New Roman" w:hAnsi="Times New Roman" w:cs="Times New Roman"/>
      </w:rPr>
    </w:pPr>
  </w:p>
  <w:p w:rsidR="00A13668" w:rsidRDefault="00A13668">
    <w:pPr>
      <w:rPr>
        <w:rFonts w:ascii="Times New Roman" w:eastAsia="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68" w:rsidRDefault="00A13668">
    <w:pPr>
      <w:rPr>
        <w:rFonts w:ascii="Times New Roman" w:eastAsia="Times New Roman" w:hAnsi="Times New Roman" w:cs="Times New Roman"/>
      </w:rPr>
    </w:pPr>
  </w:p>
  <w:p w:rsidR="00A13668" w:rsidRDefault="00A13668">
    <w:pPr>
      <w:rPr>
        <w:rFonts w:ascii="Times New Roman" w:eastAsia="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68" w:rsidRDefault="00EC665B" w:rsidP="000F179C">
      <w:r>
        <w:separator/>
      </w:r>
    </w:p>
  </w:footnote>
  <w:footnote w:type="continuationSeparator" w:id="0">
    <w:p w:rsidR="00A13668" w:rsidRDefault="00EC665B" w:rsidP="000F1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68" w:rsidRDefault="00A13668">
    <w:pPr>
      <w:rPr>
        <w:rFonts w:ascii="Times New Roman" w:eastAsia="Times New Roman" w:hAnsi="Times New Roman" w:cs="Times New Roman"/>
      </w:rPr>
    </w:pPr>
  </w:p>
  <w:p w:rsidR="00A13668" w:rsidRDefault="00A13668">
    <w:pPr>
      <w:rPr>
        <w:rFonts w:ascii="Times New Roman" w:eastAsia="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68" w:rsidRDefault="00A13668">
    <w:pPr>
      <w:rPr>
        <w:rFonts w:ascii="Times New Roman" w:eastAsia="Times New Roman" w:hAnsi="Times New Roman" w:cs="Times New Roman"/>
      </w:rPr>
    </w:pPr>
  </w:p>
  <w:p w:rsidR="00A13668" w:rsidRDefault="00A13668">
    <w:pPr>
      <w:rPr>
        <w:rFonts w:ascii="Times New Roman" w:eastAsia="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4A97"/>
    <w:multiLevelType w:val="hybridMultilevel"/>
    <w:tmpl w:val="7B54C8BE"/>
    <w:lvl w:ilvl="0" w:tplc="FFFFFFFF">
      <w:start w:val="1"/>
      <w:numFmt w:val="bullet"/>
      <w:lvlText w:val="•"/>
      <w:lvlJc w:val="left"/>
      <w:pPr>
        <w:tabs>
          <w:tab w:val="left" w:pos="720"/>
        </w:tabs>
        <w:ind w:left="720" w:hanging="360"/>
      </w:pPr>
      <w:rPr>
        <w:rFonts w:ascii="Arial" w:hAnsi="Arial" w:cs="Arial"/>
        <w:strike w:val="0"/>
        <w:dstrike w:val="0"/>
      </w:rPr>
    </w:lvl>
    <w:lvl w:ilvl="1" w:tplc="FFFFFFFF">
      <w:start w:val="1"/>
      <w:numFmt w:val="bullet"/>
      <w:lvlText w:val="•"/>
      <w:lvlJc w:val="left"/>
      <w:pPr>
        <w:tabs>
          <w:tab w:val="left" w:pos="1440"/>
        </w:tabs>
        <w:ind w:left="1440" w:hanging="360"/>
      </w:pPr>
      <w:rPr>
        <w:rFonts w:ascii="Arial" w:hAnsi="Arial" w:cs="Arial"/>
        <w:strike w:val="0"/>
        <w:dstrike w:val="0"/>
      </w:rPr>
    </w:lvl>
    <w:lvl w:ilvl="2" w:tplc="FFFFFFFF">
      <w:start w:val="1"/>
      <w:numFmt w:val="bullet"/>
      <w:lvlText w:val="•"/>
      <w:lvlJc w:val="left"/>
      <w:pPr>
        <w:tabs>
          <w:tab w:val="left" w:pos="2160"/>
        </w:tabs>
        <w:ind w:left="2160" w:hanging="360"/>
      </w:pPr>
      <w:rPr>
        <w:rFonts w:ascii="Arial" w:hAnsi="Arial" w:cs="Arial"/>
        <w:strike w:val="0"/>
        <w:dstrike w:val="0"/>
      </w:rPr>
    </w:lvl>
    <w:lvl w:ilvl="3" w:tplc="FFFFFFFF">
      <w:start w:val="1"/>
      <w:numFmt w:val="bullet"/>
      <w:lvlText w:val="•"/>
      <w:lvlJc w:val="left"/>
      <w:pPr>
        <w:tabs>
          <w:tab w:val="left" w:pos="2880"/>
        </w:tabs>
        <w:ind w:left="2880" w:hanging="360"/>
      </w:pPr>
      <w:rPr>
        <w:rFonts w:ascii="Arial" w:hAnsi="Arial" w:cs="Arial"/>
        <w:strike w:val="0"/>
        <w:dstrike w:val="0"/>
      </w:rPr>
    </w:lvl>
    <w:lvl w:ilvl="4" w:tplc="FFFFFFFF">
      <w:start w:val="1"/>
      <w:numFmt w:val="bullet"/>
      <w:lvlText w:val="•"/>
      <w:lvlJc w:val="left"/>
      <w:pPr>
        <w:tabs>
          <w:tab w:val="left" w:pos="3600"/>
        </w:tabs>
        <w:ind w:left="3600" w:hanging="360"/>
      </w:pPr>
      <w:rPr>
        <w:rFonts w:ascii="Arial" w:hAnsi="Arial" w:cs="Arial"/>
        <w:strike w:val="0"/>
        <w:dstrike w:val="0"/>
      </w:rPr>
    </w:lvl>
    <w:lvl w:ilvl="5" w:tplc="FFFFFFFF">
      <w:start w:val="1"/>
      <w:numFmt w:val="bullet"/>
      <w:lvlText w:val="•"/>
      <w:lvlJc w:val="left"/>
      <w:pPr>
        <w:tabs>
          <w:tab w:val="left" w:pos="4320"/>
        </w:tabs>
        <w:ind w:left="4320" w:hanging="360"/>
      </w:pPr>
      <w:rPr>
        <w:rFonts w:ascii="Arial" w:hAnsi="Arial" w:cs="Arial"/>
        <w:strike w:val="0"/>
        <w:dstrike w:val="0"/>
      </w:rPr>
    </w:lvl>
    <w:lvl w:ilvl="6" w:tplc="FFFFFFFF">
      <w:start w:val="1"/>
      <w:numFmt w:val="bullet"/>
      <w:lvlText w:val="•"/>
      <w:lvlJc w:val="left"/>
      <w:pPr>
        <w:tabs>
          <w:tab w:val="left" w:pos="5040"/>
        </w:tabs>
        <w:ind w:left="5040" w:hanging="360"/>
      </w:pPr>
      <w:rPr>
        <w:rFonts w:ascii="Arial" w:hAnsi="Arial" w:cs="Arial"/>
        <w:strike w:val="0"/>
        <w:dstrike w:val="0"/>
      </w:rPr>
    </w:lvl>
    <w:lvl w:ilvl="7" w:tplc="FFFFFFFF">
      <w:start w:val="1"/>
      <w:numFmt w:val="bullet"/>
      <w:lvlText w:val="•"/>
      <w:lvlJc w:val="left"/>
      <w:pPr>
        <w:tabs>
          <w:tab w:val="left" w:pos="5760"/>
        </w:tabs>
        <w:ind w:left="5760" w:hanging="360"/>
      </w:pPr>
      <w:rPr>
        <w:rFonts w:ascii="Arial" w:hAnsi="Arial" w:cs="Arial"/>
        <w:strike w:val="0"/>
        <w:dstrike w:val="0"/>
      </w:rPr>
    </w:lvl>
    <w:lvl w:ilvl="8" w:tplc="FFFFFFFF">
      <w:start w:val="1"/>
      <w:numFmt w:val="bullet"/>
      <w:lvlText w:val="•"/>
      <w:lvlJc w:val="left"/>
      <w:pPr>
        <w:tabs>
          <w:tab w:val="left" w:pos="6480"/>
        </w:tabs>
        <w:ind w:left="6480" w:hanging="360"/>
      </w:pPr>
      <w:rPr>
        <w:rFonts w:ascii="Arial" w:hAnsi="Arial" w:cs="Arial"/>
        <w:strike w:val="0"/>
        <w:dstrike w:val="0"/>
      </w:rPr>
    </w:lvl>
  </w:abstractNum>
  <w:abstractNum w:abstractNumId="1">
    <w:nsid w:val="2A5E1D86"/>
    <w:multiLevelType w:val="hybridMultilevel"/>
    <w:tmpl w:val="A83EF97C"/>
    <w:lvl w:ilvl="0" w:tplc="FFFFFFFF">
      <w:start w:val="1"/>
      <w:numFmt w:val="bullet"/>
      <w:lvlText w:val=""/>
      <w:lvlJc w:val="left"/>
      <w:pPr>
        <w:ind w:hanging="360"/>
      </w:pPr>
      <w:rPr>
        <w:rFonts w:ascii="Symbol" w:hAnsi="Symbol" w:cs="Symbol"/>
        <w:strike w:val="0"/>
        <w:dstrike w:val="0"/>
      </w:rPr>
    </w:lvl>
    <w:lvl w:ilvl="1" w:tplc="FFFFFFFF">
      <w:start w:val="1"/>
      <w:numFmt w:val="bullet"/>
      <w:lvlText w:val="o"/>
      <w:lvlJc w:val="left"/>
      <w:pPr>
        <w:ind w:left="720" w:hanging="360"/>
      </w:pPr>
      <w:rPr>
        <w:rFonts w:ascii="Courier New" w:hAnsi="Courier New" w:cs="Courier New"/>
        <w:strike w:val="0"/>
        <w:dstrike w:val="0"/>
      </w:rPr>
    </w:lvl>
    <w:lvl w:ilvl="2" w:tplc="FFFFFFFF">
      <w:start w:val="1"/>
      <w:numFmt w:val="bullet"/>
      <w:lvlText w:val=""/>
      <w:lvlJc w:val="left"/>
      <w:pPr>
        <w:ind w:left="1440" w:hanging="360"/>
      </w:pPr>
      <w:rPr>
        <w:rFonts w:ascii="Wingdings" w:hAnsi="Wingdings" w:cs="Wingdings"/>
        <w:strike w:val="0"/>
        <w:dstrike w:val="0"/>
      </w:rPr>
    </w:lvl>
    <w:lvl w:ilvl="3" w:tplc="FFFFFFFF">
      <w:start w:val="1"/>
      <w:numFmt w:val="bullet"/>
      <w:lvlText w:val=""/>
      <w:lvlJc w:val="left"/>
      <w:pPr>
        <w:ind w:left="2160" w:hanging="360"/>
      </w:pPr>
      <w:rPr>
        <w:rFonts w:ascii="Symbol" w:hAnsi="Symbol" w:cs="Symbol"/>
        <w:strike w:val="0"/>
        <w:dstrike w:val="0"/>
      </w:rPr>
    </w:lvl>
    <w:lvl w:ilvl="4" w:tplc="FFFFFFFF">
      <w:start w:val="1"/>
      <w:numFmt w:val="bullet"/>
      <w:lvlText w:val="o"/>
      <w:lvlJc w:val="left"/>
      <w:pPr>
        <w:ind w:left="2880" w:hanging="360"/>
      </w:pPr>
      <w:rPr>
        <w:rFonts w:ascii="Courier New" w:hAnsi="Courier New" w:cs="Courier New"/>
        <w:strike w:val="0"/>
        <w:dstrike w:val="0"/>
      </w:rPr>
    </w:lvl>
    <w:lvl w:ilvl="5" w:tplc="FFFFFFFF">
      <w:start w:val="1"/>
      <w:numFmt w:val="bullet"/>
      <w:lvlText w:val=""/>
      <w:lvlJc w:val="left"/>
      <w:pPr>
        <w:ind w:left="3600" w:hanging="360"/>
      </w:pPr>
      <w:rPr>
        <w:rFonts w:ascii="Wingdings" w:hAnsi="Wingdings" w:cs="Wingdings"/>
        <w:strike w:val="0"/>
        <w:dstrike w:val="0"/>
      </w:rPr>
    </w:lvl>
    <w:lvl w:ilvl="6" w:tplc="FFFFFFFF">
      <w:start w:val="1"/>
      <w:numFmt w:val="bullet"/>
      <w:lvlText w:val=""/>
      <w:lvlJc w:val="left"/>
      <w:pPr>
        <w:ind w:left="4320" w:hanging="360"/>
      </w:pPr>
      <w:rPr>
        <w:rFonts w:ascii="Symbol" w:hAnsi="Symbol" w:cs="Symbol"/>
        <w:strike w:val="0"/>
        <w:dstrike w:val="0"/>
      </w:rPr>
    </w:lvl>
    <w:lvl w:ilvl="7" w:tplc="FFFFFFFF">
      <w:start w:val="1"/>
      <w:numFmt w:val="bullet"/>
      <w:lvlText w:val="o"/>
      <w:lvlJc w:val="left"/>
      <w:pPr>
        <w:ind w:left="5040" w:hanging="360"/>
      </w:pPr>
      <w:rPr>
        <w:rFonts w:ascii="Courier New" w:hAnsi="Courier New" w:cs="Courier New"/>
        <w:strike w:val="0"/>
        <w:dstrike w:val="0"/>
      </w:rPr>
    </w:lvl>
    <w:lvl w:ilvl="8" w:tplc="FFFFFFFF">
      <w:start w:val="1"/>
      <w:numFmt w:val="bullet"/>
      <w:lvlText w:val=""/>
      <w:lvlJc w:val="left"/>
      <w:pPr>
        <w:ind w:left="5760" w:hanging="360"/>
      </w:pPr>
      <w:rPr>
        <w:rFonts w:ascii="Wingdings" w:hAnsi="Wingdings" w:cs="Wingdings"/>
        <w:strike w:val="0"/>
        <w:dstrike w:val="0"/>
      </w:rPr>
    </w:lvl>
  </w:abstractNum>
  <w:abstractNum w:abstractNumId="2">
    <w:nsid w:val="581F53BC"/>
    <w:multiLevelType w:val="hybridMultilevel"/>
    <w:tmpl w:val="1A406E9C"/>
    <w:lvl w:ilvl="0" w:tplc="FFFFFFFF">
      <w:start w:val="1"/>
      <w:numFmt w:val="bullet"/>
      <w:lvlText w:val="•"/>
      <w:lvlJc w:val="left"/>
      <w:pPr>
        <w:tabs>
          <w:tab w:val="left" w:pos="720"/>
        </w:tabs>
        <w:ind w:left="720" w:hanging="360"/>
      </w:pPr>
      <w:rPr>
        <w:rFonts w:ascii="Arial" w:hAnsi="Arial" w:cs="Arial"/>
        <w:strike w:val="0"/>
        <w:dstrike w:val="0"/>
      </w:rPr>
    </w:lvl>
    <w:lvl w:ilvl="1" w:tplc="FFFFFFFF">
      <w:start w:val="1"/>
      <w:numFmt w:val="bullet"/>
      <w:lvlText w:val="•"/>
      <w:lvlJc w:val="left"/>
      <w:pPr>
        <w:tabs>
          <w:tab w:val="left" w:pos="1440"/>
        </w:tabs>
        <w:ind w:left="1440" w:hanging="360"/>
      </w:pPr>
      <w:rPr>
        <w:rFonts w:ascii="Arial" w:hAnsi="Arial" w:cs="Arial"/>
        <w:strike w:val="0"/>
        <w:dstrike w:val="0"/>
      </w:rPr>
    </w:lvl>
    <w:lvl w:ilvl="2" w:tplc="FFFFFFFF">
      <w:start w:val="1"/>
      <w:numFmt w:val="bullet"/>
      <w:lvlText w:val="•"/>
      <w:lvlJc w:val="left"/>
      <w:pPr>
        <w:tabs>
          <w:tab w:val="left" w:pos="2160"/>
        </w:tabs>
        <w:ind w:left="2160" w:hanging="360"/>
      </w:pPr>
      <w:rPr>
        <w:rFonts w:ascii="Arial" w:hAnsi="Arial" w:cs="Arial"/>
        <w:strike w:val="0"/>
        <w:dstrike w:val="0"/>
      </w:rPr>
    </w:lvl>
    <w:lvl w:ilvl="3" w:tplc="FFFFFFFF">
      <w:start w:val="1"/>
      <w:numFmt w:val="bullet"/>
      <w:lvlText w:val="•"/>
      <w:lvlJc w:val="left"/>
      <w:pPr>
        <w:tabs>
          <w:tab w:val="left" w:pos="2880"/>
        </w:tabs>
        <w:ind w:left="2880" w:hanging="360"/>
      </w:pPr>
      <w:rPr>
        <w:rFonts w:ascii="Arial" w:hAnsi="Arial" w:cs="Arial"/>
        <w:strike w:val="0"/>
        <w:dstrike w:val="0"/>
      </w:rPr>
    </w:lvl>
    <w:lvl w:ilvl="4" w:tplc="FFFFFFFF">
      <w:start w:val="1"/>
      <w:numFmt w:val="bullet"/>
      <w:lvlText w:val="•"/>
      <w:lvlJc w:val="left"/>
      <w:pPr>
        <w:tabs>
          <w:tab w:val="left" w:pos="3600"/>
        </w:tabs>
        <w:ind w:left="3600" w:hanging="360"/>
      </w:pPr>
      <w:rPr>
        <w:rFonts w:ascii="Arial" w:hAnsi="Arial" w:cs="Arial"/>
        <w:strike w:val="0"/>
        <w:dstrike w:val="0"/>
      </w:rPr>
    </w:lvl>
    <w:lvl w:ilvl="5" w:tplc="FFFFFFFF">
      <w:start w:val="1"/>
      <w:numFmt w:val="bullet"/>
      <w:lvlText w:val="•"/>
      <w:lvlJc w:val="left"/>
      <w:pPr>
        <w:tabs>
          <w:tab w:val="left" w:pos="4320"/>
        </w:tabs>
        <w:ind w:left="4320" w:hanging="360"/>
      </w:pPr>
      <w:rPr>
        <w:rFonts w:ascii="Arial" w:hAnsi="Arial" w:cs="Arial"/>
        <w:strike w:val="0"/>
        <w:dstrike w:val="0"/>
      </w:rPr>
    </w:lvl>
    <w:lvl w:ilvl="6" w:tplc="FFFFFFFF">
      <w:start w:val="1"/>
      <w:numFmt w:val="bullet"/>
      <w:lvlText w:val="•"/>
      <w:lvlJc w:val="left"/>
      <w:pPr>
        <w:tabs>
          <w:tab w:val="left" w:pos="5040"/>
        </w:tabs>
        <w:ind w:left="5040" w:hanging="360"/>
      </w:pPr>
      <w:rPr>
        <w:rFonts w:ascii="Arial" w:hAnsi="Arial" w:cs="Arial"/>
        <w:strike w:val="0"/>
        <w:dstrike w:val="0"/>
      </w:rPr>
    </w:lvl>
    <w:lvl w:ilvl="7" w:tplc="FFFFFFFF">
      <w:start w:val="1"/>
      <w:numFmt w:val="bullet"/>
      <w:lvlText w:val="•"/>
      <w:lvlJc w:val="left"/>
      <w:pPr>
        <w:tabs>
          <w:tab w:val="left" w:pos="5760"/>
        </w:tabs>
        <w:ind w:left="5760" w:hanging="360"/>
      </w:pPr>
      <w:rPr>
        <w:rFonts w:ascii="Arial" w:hAnsi="Arial" w:cs="Arial"/>
        <w:strike w:val="0"/>
        <w:dstrike w:val="0"/>
      </w:rPr>
    </w:lvl>
    <w:lvl w:ilvl="8" w:tplc="FFFFFFFF">
      <w:start w:val="1"/>
      <w:numFmt w:val="bullet"/>
      <w:lvlText w:val="•"/>
      <w:lvlJc w:val="left"/>
      <w:pPr>
        <w:tabs>
          <w:tab w:val="left" w:pos="6480"/>
        </w:tabs>
        <w:ind w:left="6480" w:hanging="360"/>
      </w:pPr>
      <w:rPr>
        <w:rFonts w:ascii="Arial" w:hAnsi="Arial" w:cs="Arial"/>
        <w:strike w:val="0"/>
        <w:dstrike w:val="0"/>
      </w:rPr>
    </w:lvl>
  </w:abstractNum>
  <w:abstractNum w:abstractNumId="3">
    <w:nsid w:val="68D91C37"/>
    <w:multiLevelType w:val="hybridMultilevel"/>
    <w:tmpl w:val="56348168"/>
    <w:lvl w:ilvl="0" w:tplc="FFFFFFFF">
      <w:start w:val="1"/>
      <w:numFmt w:val="bullet"/>
      <w:lvlText w:val="•"/>
      <w:lvlJc w:val="left"/>
      <w:pPr>
        <w:tabs>
          <w:tab w:val="left" w:pos="720"/>
        </w:tabs>
        <w:ind w:left="720" w:hanging="360"/>
      </w:pPr>
      <w:rPr>
        <w:rFonts w:ascii="Arial" w:hAnsi="Arial" w:cs="Arial"/>
        <w:strike w:val="0"/>
        <w:dstrike w:val="0"/>
      </w:rPr>
    </w:lvl>
    <w:lvl w:ilvl="1" w:tplc="FFFFFFFF">
      <w:start w:val="1"/>
      <w:numFmt w:val="bullet"/>
      <w:lvlText w:val="•"/>
      <w:lvlJc w:val="left"/>
      <w:pPr>
        <w:tabs>
          <w:tab w:val="left" w:pos="1440"/>
        </w:tabs>
        <w:ind w:left="1440" w:hanging="360"/>
      </w:pPr>
      <w:rPr>
        <w:rFonts w:ascii="Arial" w:hAnsi="Arial" w:cs="Arial"/>
        <w:strike w:val="0"/>
        <w:dstrike w:val="0"/>
      </w:rPr>
    </w:lvl>
    <w:lvl w:ilvl="2" w:tplc="FFFFFFFF">
      <w:start w:val="1"/>
      <w:numFmt w:val="bullet"/>
      <w:lvlText w:val="•"/>
      <w:lvlJc w:val="left"/>
      <w:pPr>
        <w:tabs>
          <w:tab w:val="left" w:pos="2160"/>
        </w:tabs>
        <w:ind w:left="2160" w:hanging="360"/>
      </w:pPr>
      <w:rPr>
        <w:rFonts w:ascii="Arial" w:hAnsi="Arial" w:cs="Arial"/>
        <w:strike w:val="0"/>
        <w:dstrike w:val="0"/>
      </w:rPr>
    </w:lvl>
    <w:lvl w:ilvl="3" w:tplc="FFFFFFFF">
      <w:start w:val="1"/>
      <w:numFmt w:val="bullet"/>
      <w:lvlText w:val="•"/>
      <w:lvlJc w:val="left"/>
      <w:pPr>
        <w:tabs>
          <w:tab w:val="left" w:pos="2880"/>
        </w:tabs>
        <w:ind w:left="2880" w:hanging="360"/>
      </w:pPr>
      <w:rPr>
        <w:rFonts w:ascii="Arial" w:hAnsi="Arial" w:cs="Arial"/>
        <w:strike w:val="0"/>
        <w:dstrike w:val="0"/>
      </w:rPr>
    </w:lvl>
    <w:lvl w:ilvl="4" w:tplc="FFFFFFFF">
      <w:start w:val="1"/>
      <w:numFmt w:val="bullet"/>
      <w:lvlText w:val="•"/>
      <w:lvlJc w:val="left"/>
      <w:pPr>
        <w:tabs>
          <w:tab w:val="left" w:pos="3600"/>
        </w:tabs>
        <w:ind w:left="3600" w:hanging="360"/>
      </w:pPr>
      <w:rPr>
        <w:rFonts w:ascii="Arial" w:hAnsi="Arial" w:cs="Arial"/>
        <w:strike w:val="0"/>
        <w:dstrike w:val="0"/>
      </w:rPr>
    </w:lvl>
    <w:lvl w:ilvl="5" w:tplc="FFFFFFFF">
      <w:start w:val="1"/>
      <w:numFmt w:val="bullet"/>
      <w:lvlText w:val="•"/>
      <w:lvlJc w:val="left"/>
      <w:pPr>
        <w:tabs>
          <w:tab w:val="left" w:pos="4320"/>
        </w:tabs>
        <w:ind w:left="4320" w:hanging="360"/>
      </w:pPr>
      <w:rPr>
        <w:rFonts w:ascii="Arial" w:hAnsi="Arial" w:cs="Arial"/>
        <w:strike w:val="0"/>
        <w:dstrike w:val="0"/>
      </w:rPr>
    </w:lvl>
    <w:lvl w:ilvl="6" w:tplc="FFFFFFFF">
      <w:start w:val="1"/>
      <w:numFmt w:val="bullet"/>
      <w:lvlText w:val="•"/>
      <w:lvlJc w:val="left"/>
      <w:pPr>
        <w:tabs>
          <w:tab w:val="left" w:pos="5040"/>
        </w:tabs>
        <w:ind w:left="5040" w:hanging="360"/>
      </w:pPr>
      <w:rPr>
        <w:rFonts w:ascii="Arial" w:hAnsi="Arial" w:cs="Arial"/>
        <w:strike w:val="0"/>
        <w:dstrike w:val="0"/>
      </w:rPr>
    </w:lvl>
    <w:lvl w:ilvl="7" w:tplc="FFFFFFFF">
      <w:start w:val="1"/>
      <w:numFmt w:val="bullet"/>
      <w:lvlText w:val="•"/>
      <w:lvlJc w:val="left"/>
      <w:pPr>
        <w:tabs>
          <w:tab w:val="left" w:pos="5760"/>
        </w:tabs>
        <w:ind w:left="5760" w:hanging="360"/>
      </w:pPr>
      <w:rPr>
        <w:rFonts w:ascii="Arial" w:hAnsi="Arial" w:cs="Arial"/>
        <w:strike w:val="0"/>
        <w:dstrike w:val="0"/>
      </w:rPr>
    </w:lvl>
    <w:lvl w:ilvl="8" w:tplc="FFFFFFFF">
      <w:start w:val="1"/>
      <w:numFmt w:val="bullet"/>
      <w:lvlText w:val="•"/>
      <w:lvlJc w:val="left"/>
      <w:pPr>
        <w:tabs>
          <w:tab w:val="left" w:pos="6480"/>
        </w:tabs>
        <w:ind w:left="6480" w:hanging="360"/>
      </w:pPr>
      <w:rPr>
        <w:rFonts w:ascii="Arial" w:hAnsi="Arial" w:cs="Arial"/>
        <w:strike w:val="0"/>
        <w:dstrike w:val="0"/>
      </w:rPr>
    </w:lvl>
  </w:abstractNum>
  <w:abstractNum w:abstractNumId="4">
    <w:nsid w:val="7E2532FD"/>
    <w:multiLevelType w:val="hybridMultilevel"/>
    <w:tmpl w:val="B11E7B1E"/>
    <w:lvl w:ilvl="0" w:tplc="FFFFFFFF">
      <w:start w:val="1"/>
      <w:numFmt w:val="bullet"/>
      <w:lvlText w:val=""/>
      <w:lvlJc w:val="left"/>
      <w:pPr>
        <w:ind w:left="720" w:hanging="360"/>
      </w:pPr>
      <w:rPr>
        <w:rFonts w:ascii="Symbol" w:hAnsi="Symbol" w:cs="Symbol"/>
        <w:strike w:val="0"/>
        <w:dstrike w:val="0"/>
      </w:rPr>
    </w:lvl>
    <w:lvl w:ilvl="1" w:tplc="FFFFFFFF">
      <w:start w:val="1"/>
      <w:numFmt w:val="bullet"/>
      <w:lvlText w:val="o"/>
      <w:lvlJc w:val="left"/>
      <w:pPr>
        <w:ind w:left="1440" w:hanging="360"/>
      </w:pPr>
      <w:rPr>
        <w:rFonts w:ascii="Courier New" w:hAnsi="Courier New" w:cs="Courier New"/>
        <w:strike w:val="0"/>
        <w:dstrike w:val="0"/>
      </w:rPr>
    </w:lvl>
    <w:lvl w:ilvl="2" w:tplc="FFFFFFFF">
      <w:start w:val="1"/>
      <w:numFmt w:val="bullet"/>
      <w:lvlText w:val=""/>
      <w:lvlJc w:val="left"/>
      <w:pPr>
        <w:ind w:left="2160" w:hanging="360"/>
      </w:pPr>
      <w:rPr>
        <w:rFonts w:ascii="Wingdings" w:hAnsi="Wingdings" w:cs="Wingdings"/>
        <w:strike w:val="0"/>
        <w:dstrike w:val="0"/>
      </w:rPr>
    </w:lvl>
    <w:lvl w:ilvl="3" w:tplc="FFFFFFFF">
      <w:start w:val="1"/>
      <w:numFmt w:val="bullet"/>
      <w:lvlText w:val=""/>
      <w:lvlJc w:val="left"/>
      <w:pPr>
        <w:ind w:left="2880" w:hanging="360"/>
      </w:pPr>
      <w:rPr>
        <w:rFonts w:ascii="Symbol" w:hAnsi="Symbol" w:cs="Symbol"/>
        <w:strike w:val="0"/>
        <w:dstrike w:val="0"/>
      </w:rPr>
    </w:lvl>
    <w:lvl w:ilvl="4" w:tplc="FFFFFFFF">
      <w:start w:val="1"/>
      <w:numFmt w:val="bullet"/>
      <w:lvlText w:val="o"/>
      <w:lvlJc w:val="left"/>
      <w:pPr>
        <w:ind w:left="3600" w:hanging="360"/>
      </w:pPr>
      <w:rPr>
        <w:rFonts w:ascii="Courier New" w:hAnsi="Courier New" w:cs="Courier New"/>
        <w:strike w:val="0"/>
        <w:dstrike w:val="0"/>
      </w:rPr>
    </w:lvl>
    <w:lvl w:ilvl="5" w:tplc="FFFFFFFF">
      <w:start w:val="1"/>
      <w:numFmt w:val="bullet"/>
      <w:lvlText w:val=""/>
      <w:lvlJc w:val="left"/>
      <w:pPr>
        <w:ind w:left="4320" w:hanging="360"/>
      </w:pPr>
      <w:rPr>
        <w:rFonts w:ascii="Wingdings" w:hAnsi="Wingdings" w:cs="Wingdings"/>
        <w:strike w:val="0"/>
        <w:dstrike w:val="0"/>
      </w:rPr>
    </w:lvl>
    <w:lvl w:ilvl="6" w:tplc="FFFFFFFF">
      <w:start w:val="1"/>
      <w:numFmt w:val="bullet"/>
      <w:lvlText w:val=""/>
      <w:lvlJc w:val="left"/>
      <w:pPr>
        <w:ind w:left="5040" w:hanging="360"/>
      </w:pPr>
      <w:rPr>
        <w:rFonts w:ascii="Symbol" w:hAnsi="Symbol" w:cs="Symbol"/>
        <w:strike w:val="0"/>
        <w:dstrike w:val="0"/>
      </w:rPr>
    </w:lvl>
    <w:lvl w:ilvl="7" w:tplc="FFFFFFFF">
      <w:start w:val="1"/>
      <w:numFmt w:val="bullet"/>
      <w:lvlText w:val="o"/>
      <w:lvlJc w:val="left"/>
      <w:pPr>
        <w:ind w:left="5760" w:hanging="360"/>
      </w:pPr>
      <w:rPr>
        <w:rFonts w:ascii="Courier New" w:hAnsi="Courier New" w:cs="Courier New"/>
        <w:strike w:val="0"/>
        <w:dstrike w:val="0"/>
      </w:rPr>
    </w:lvl>
    <w:lvl w:ilvl="8" w:tplc="FFFFFFFF">
      <w:start w:val="1"/>
      <w:numFmt w:val="bullet"/>
      <w:lvlText w:val=""/>
      <w:lvlJc w:val="left"/>
      <w:pPr>
        <w:ind w:left="6480" w:hanging="360"/>
      </w:pPr>
      <w:rPr>
        <w:rFonts w:ascii="Wingdings" w:hAnsi="Wingdings" w:cs="Wingdings"/>
        <w:strike w:val="0"/>
        <w:dstrike w:val="0"/>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SWDocIDLocation" w:val="0"/>
  </w:docVars>
  <w:rsids>
    <w:rsidRoot w:val="00EC665B"/>
    <w:rsid w:val="000F054C"/>
    <w:rsid w:val="001A2CB1"/>
    <w:rsid w:val="0041086F"/>
    <w:rsid w:val="00501B7D"/>
    <w:rsid w:val="0054087C"/>
    <w:rsid w:val="006935B3"/>
    <w:rsid w:val="007B562C"/>
    <w:rsid w:val="00A13668"/>
    <w:rsid w:val="00CA41CD"/>
    <w:rsid w:val="00EB5AB5"/>
    <w:rsid w:val="00EC6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68"/>
    <w:pPr>
      <w:widowControl w:val="0"/>
      <w:autoSpaceDE w:val="0"/>
      <w:autoSpaceDN w:val="0"/>
      <w:adjustRightInd w:val="0"/>
      <w:spacing w:after="0" w:line="240" w:lineRule="auto"/>
    </w:pPr>
    <w:rPr>
      <w:rFonts w:ascii="Cambria" w:hAnsi="Cambria" w:cs="Cambria"/>
      <w:sz w:val="24"/>
      <w:szCs w:val="24"/>
    </w:rPr>
  </w:style>
  <w:style w:type="paragraph" w:styleId="Heading1">
    <w:name w:val="heading 1"/>
    <w:basedOn w:val="Normal"/>
    <w:next w:val="Normal"/>
    <w:link w:val="Heading1Char"/>
    <w:uiPriority w:val="99"/>
    <w:qFormat/>
    <w:rsid w:val="00A13668"/>
    <w:pPr>
      <w:keepNext/>
      <w:keepLines/>
      <w:outlineLvl w:val="0"/>
    </w:pPr>
    <w:rPr>
      <w:rFonts w:ascii="CG Times" w:hAnsi="CG Times" w:cs="CG Times"/>
      <w:b/>
      <w:bCs/>
      <w:color w:val="000000"/>
    </w:rPr>
  </w:style>
  <w:style w:type="paragraph" w:styleId="Heading2">
    <w:name w:val="heading 2"/>
    <w:basedOn w:val="Normal"/>
    <w:next w:val="Normal"/>
    <w:link w:val="Heading2Char"/>
    <w:uiPriority w:val="99"/>
    <w:qFormat/>
    <w:rsid w:val="00A13668"/>
    <w:pPr>
      <w:keepNext/>
      <w:keepLines/>
      <w:outlineLvl w:val="1"/>
    </w:pPr>
    <w:rPr>
      <w:rFonts w:ascii="CG Times" w:hAnsi="CG Times" w:cs="CG Times"/>
      <w:b/>
      <w:bCs/>
      <w:color w:val="000000"/>
    </w:rPr>
  </w:style>
  <w:style w:type="paragraph" w:styleId="Heading3">
    <w:name w:val="heading 3"/>
    <w:basedOn w:val="Normal"/>
    <w:next w:val="Normal"/>
    <w:link w:val="Heading3Char"/>
    <w:uiPriority w:val="99"/>
    <w:qFormat/>
    <w:rsid w:val="00A13668"/>
    <w:pPr>
      <w:keepNext/>
      <w:keepLines/>
      <w:outlineLvl w:val="2"/>
    </w:pPr>
    <w:rPr>
      <w:rFonts w:ascii="CG Times" w:hAnsi="CG Times" w:cs="CG Times"/>
      <w:b/>
      <w:bCs/>
      <w:color w:val="000000"/>
    </w:rPr>
  </w:style>
  <w:style w:type="paragraph" w:styleId="Heading4">
    <w:name w:val="heading 4"/>
    <w:basedOn w:val="Normal"/>
    <w:next w:val="Normal"/>
    <w:link w:val="Heading4Char"/>
    <w:uiPriority w:val="99"/>
    <w:qFormat/>
    <w:rsid w:val="00A13668"/>
    <w:pPr>
      <w:keepNext/>
      <w:keepLines/>
      <w:spacing w:before="200"/>
      <w:outlineLvl w:val="3"/>
    </w:pPr>
    <w:rPr>
      <w:rFonts w:ascii="CG Times" w:hAnsi="CG Times" w:cs="CG Times"/>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3668"/>
    <w:pPr>
      <w:ind w:left="720"/>
    </w:pPr>
  </w:style>
  <w:style w:type="character" w:styleId="Hyperlink">
    <w:name w:val="Hyperlink"/>
    <w:basedOn w:val="DefaultParagraphFont"/>
    <w:uiPriority w:val="99"/>
    <w:rsid w:val="00A13668"/>
    <w:rPr>
      <w:color w:val="000000"/>
    </w:rPr>
  </w:style>
  <w:style w:type="paragraph" w:styleId="Footer">
    <w:name w:val="footer"/>
    <w:basedOn w:val="Normal"/>
    <w:link w:val="FooterChar"/>
    <w:uiPriority w:val="99"/>
    <w:rsid w:val="00A13668"/>
  </w:style>
  <w:style w:type="character" w:customStyle="1" w:styleId="FooterChar">
    <w:name w:val="Footer Char"/>
    <w:basedOn w:val="DefaultParagraphFont"/>
    <w:link w:val="Footer"/>
    <w:uiPriority w:val="99"/>
    <w:rsid w:val="00A13668"/>
  </w:style>
  <w:style w:type="character" w:styleId="PageNumber">
    <w:name w:val="page number"/>
    <w:basedOn w:val="DefaultParagraphFont"/>
    <w:uiPriority w:val="99"/>
    <w:rsid w:val="00A13668"/>
  </w:style>
  <w:style w:type="character" w:styleId="CommentReference">
    <w:name w:val="annotation reference"/>
    <w:basedOn w:val="DefaultParagraphFont"/>
    <w:uiPriority w:val="99"/>
    <w:rsid w:val="00A13668"/>
    <w:rPr>
      <w:sz w:val="16"/>
      <w:szCs w:val="16"/>
    </w:rPr>
  </w:style>
  <w:style w:type="paragraph" w:styleId="CommentText">
    <w:name w:val="annotation text"/>
    <w:basedOn w:val="Normal"/>
    <w:link w:val="CommentTextChar"/>
    <w:uiPriority w:val="99"/>
    <w:rsid w:val="00A13668"/>
    <w:rPr>
      <w:sz w:val="20"/>
      <w:szCs w:val="20"/>
    </w:rPr>
  </w:style>
  <w:style w:type="character" w:customStyle="1" w:styleId="CommentTextChar">
    <w:name w:val="Comment Text Char"/>
    <w:basedOn w:val="DefaultParagraphFont"/>
    <w:link w:val="CommentText"/>
    <w:uiPriority w:val="99"/>
    <w:rsid w:val="00A13668"/>
    <w:rPr>
      <w:sz w:val="20"/>
      <w:szCs w:val="20"/>
    </w:rPr>
  </w:style>
  <w:style w:type="paragraph" w:styleId="CommentSubject">
    <w:name w:val="annotation subject"/>
    <w:basedOn w:val="CommentText"/>
    <w:next w:val="CommentText"/>
    <w:link w:val="CommentSubjectChar"/>
    <w:uiPriority w:val="99"/>
    <w:rsid w:val="00A13668"/>
    <w:rPr>
      <w:b/>
      <w:bCs/>
    </w:rPr>
  </w:style>
  <w:style w:type="character" w:customStyle="1" w:styleId="CommentSubjectChar">
    <w:name w:val="Comment Subject Char"/>
    <w:basedOn w:val="CommentTextChar"/>
    <w:link w:val="CommentSubject"/>
    <w:uiPriority w:val="99"/>
    <w:rsid w:val="00A13668"/>
    <w:rPr>
      <w:b/>
      <w:bCs/>
    </w:rPr>
  </w:style>
  <w:style w:type="paragraph" w:styleId="BalloonText">
    <w:name w:val="Balloon Text"/>
    <w:basedOn w:val="Normal"/>
    <w:link w:val="BalloonTextChar"/>
    <w:uiPriority w:val="99"/>
    <w:rsid w:val="00A13668"/>
    <w:rPr>
      <w:rFonts w:ascii="Tahoma" w:hAnsi="Tahoma" w:cs="Tahoma"/>
      <w:sz w:val="16"/>
      <w:szCs w:val="16"/>
    </w:rPr>
  </w:style>
  <w:style w:type="character" w:customStyle="1" w:styleId="BalloonTextChar">
    <w:name w:val="Balloon Text Char"/>
    <w:basedOn w:val="DefaultParagraphFont"/>
    <w:link w:val="BalloonText"/>
    <w:uiPriority w:val="99"/>
    <w:rsid w:val="00A13668"/>
    <w:rPr>
      <w:rFonts w:ascii="Tahoma" w:hAnsi="Tahoma" w:cs="Tahoma"/>
      <w:sz w:val="16"/>
      <w:szCs w:val="16"/>
    </w:rPr>
  </w:style>
  <w:style w:type="character" w:styleId="FollowedHyperlink">
    <w:name w:val="FollowedHyperlink"/>
    <w:basedOn w:val="DefaultParagraphFont"/>
    <w:uiPriority w:val="99"/>
    <w:rsid w:val="00A13668"/>
    <w:rPr>
      <w:color w:val="800080"/>
      <w:u w:val="single"/>
    </w:rPr>
  </w:style>
  <w:style w:type="paragraph" w:styleId="EndnoteText">
    <w:name w:val="endnote text"/>
    <w:basedOn w:val="Normal"/>
    <w:link w:val="EndnoteTextChar"/>
    <w:uiPriority w:val="99"/>
    <w:rsid w:val="00A13668"/>
  </w:style>
  <w:style w:type="character" w:customStyle="1" w:styleId="EndnoteTextChar">
    <w:name w:val="Endnote Text Char"/>
    <w:basedOn w:val="DefaultParagraphFont"/>
    <w:link w:val="EndnoteText"/>
    <w:uiPriority w:val="99"/>
    <w:rsid w:val="00A13668"/>
  </w:style>
  <w:style w:type="character" w:styleId="EndnoteReference">
    <w:name w:val="endnote reference"/>
    <w:basedOn w:val="DefaultParagraphFont"/>
    <w:uiPriority w:val="99"/>
    <w:rsid w:val="00A13668"/>
  </w:style>
  <w:style w:type="paragraph" w:styleId="Header">
    <w:name w:val="header"/>
    <w:basedOn w:val="Normal"/>
    <w:link w:val="HeaderChar"/>
    <w:uiPriority w:val="99"/>
    <w:rsid w:val="00A13668"/>
  </w:style>
  <w:style w:type="character" w:customStyle="1" w:styleId="HeaderChar">
    <w:name w:val="Header Char"/>
    <w:basedOn w:val="DefaultParagraphFont"/>
    <w:link w:val="Header"/>
    <w:uiPriority w:val="99"/>
    <w:rsid w:val="00A13668"/>
  </w:style>
  <w:style w:type="paragraph" w:customStyle="1" w:styleId="BTBasic">
    <w:name w:val="BT Basic"/>
    <w:uiPriority w:val="99"/>
    <w:rsid w:val="00A1366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A13668"/>
    <w:rPr>
      <w:rFonts w:ascii="CG Times" w:hAnsi="CG Times" w:cs="CG Times"/>
      <w:b/>
      <w:bCs/>
      <w:color w:val="000000"/>
      <w:sz w:val="28"/>
      <w:szCs w:val="28"/>
    </w:rPr>
  </w:style>
  <w:style w:type="character" w:customStyle="1" w:styleId="Heading2Char">
    <w:name w:val="Heading 2 Char"/>
    <w:basedOn w:val="DefaultParagraphFont"/>
    <w:link w:val="Heading2"/>
    <w:uiPriority w:val="99"/>
    <w:rsid w:val="00A13668"/>
    <w:rPr>
      <w:rFonts w:ascii="CG Times" w:hAnsi="CG Times" w:cs="CG Times"/>
      <w:b/>
      <w:bCs/>
      <w:color w:val="000000"/>
      <w:sz w:val="26"/>
      <w:szCs w:val="26"/>
    </w:rPr>
  </w:style>
  <w:style w:type="character" w:customStyle="1" w:styleId="Heading3Char">
    <w:name w:val="Heading 3 Char"/>
    <w:basedOn w:val="DefaultParagraphFont"/>
    <w:link w:val="Heading3"/>
    <w:uiPriority w:val="99"/>
    <w:rsid w:val="00A13668"/>
    <w:rPr>
      <w:rFonts w:ascii="CG Times" w:hAnsi="CG Times" w:cs="CG Times"/>
      <w:b/>
      <w:bCs/>
      <w:color w:val="000000"/>
    </w:rPr>
  </w:style>
  <w:style w:type="character" w:customStyle="1" w:styleId="Heading4Char">
    <w:name w:val="Heading 4 Char"/>
    <w:basedOn w:val="DefaultParagraphFont"/>
    <w:link w:val="Heading4"/>
    <w:uiPriority w:val="99"/>
    <w:rsid w:val="00A13668"/>
    <w:rPr>
      <w:b/>
      <w:bCs/>
      <w:color w:val="4F81BD"/>
    </w:rPr>
  </w:style>
  <w:style w:type="paragraph" w:styleId="Title">
    <w:name w:val="Title"/>
    <w:basedOn w:val="Normal"/>
    <w:next w:val="Normal"/>
    <w:link w:val="TitleChar"/>
    <w:uiPriority w:val="99"/>
    <w:qFormat/>
    <w:rsid w:val="00A13668"/>
    <w:pPr>
      <w:jc w:val="center"/>
    </w:pPr>
    <w:rPr>
      <w:rFonts w:ascii="CG Times" w:hAnsi="CG Times" w:cs="CG Times"/>
      <w:b/>
      <w:bCs/>
      <w:color w:val="000000"/>
      <w:u w:val="single"/>
    </w:rPr>
  </w:style>
  <w:style w:type="character" w:customStyle="1" w:styleId="TitleChar">
    <w:name w:val="Title Char"/>
    <w:basedOn w:val="DefaultParagraphFont"/>
    <w:link w:val="Title"/>
    <w:uiPriority w:val="99"/>
    <w:rsid w:val="00A13668"/>
    <w:rPr>
      <w:b/>
      <w:bCs/>
      <w:color w:val="000000"/>
      <w:sz w:val="52"/>
      <w:szCs w:val="52"/>
      <w:u w:val="single"/>
    </w:rPr>
  </w:style>
  <w:style w:type="character" w:styleId="Strong">
    <w:name w:val="Strong"/>
    <w:basedOn w:val="DefaultParagraphFont"/>
    <w:uiPriority w:val="99"/>
    <w:qFormat/>
    <w:rsid w:val="00A13668"/>
    <w:rPr>
      <w:b/>
      <w:bCs/>
    </w:rPr>
  </w:style>
  <w:style w:type="paragraph" w:customStyle="1" w:styleId="Indent5">
    <w:name w:val="Indent5"/>
    <w:uiPriority w:val="99"/>
    <w:rsid w:val="00A13668"/>
    <w:pPr>
      <w:widowControl w:val="0"/>
      <w:autoSpaceDE w:val="0"/>
      <w:autoSpaceDN w:val="0"/>
      <w:adjustRightInd w:val="0"/>
      <w:spacing w:after="0" w:line="240" w:lineRule="auto"/>
      <w:ind w:left="720"/>
    </w:pPr>
    <w:rPr>
      <w:rFonts w:ascii="CG Times" w:hAnsi="CG Times" w:cs="CG Times"/>
      <w:sz w:val="24"/>
      <w:szCs w:val="24"/>
    </w:rPr>
  </w:style>
  <w:style w:type="paragraph" w:customStyle="1" w:styleId="DoubleIndent5">
    <w:name w:val="DoubleIndent5"/>
    <w:uiPriority w:val="99"/>
    <w:rsid w:val="00A13668"/>
    <w:pPr>
      <w:widowControl w:val="0"/>
      <w:autoSpaceDE w:val="0"/>
      <w:autoSpaceDN w:val="0"/>
      <w:adjustRightInd w:val="0"/>
      <w:spacing w:after="0" w:line="240" w:lineRule="auto"/>
      <w:ind w:left="720" w:right="720"/>
    </w:pPr>
    <w:rPr>
      <w:rFonts w:ascii="Calibri" w:hAnsi="Calibri" w:cs="Calibri"/>
      <w:sz w:val="24"/>
      <w:szCs w:val="24"/>
    </w:rPr>
  </w:style>
  <w:style w:type="paragraph" w:customStyle="1" w:styleId="IncreaseIndent5">
    <w:name w:val="IncreaseIndent5"/>
    <w:uiPriority w:val="99"/>
    <w:rsid w:val="00A13668"/>
    <w:pPr>
      <w:widowControl w:val="0"/>
      <w:autoSpaceDE w:val="0"/>
      <w:autoSpaceDN w:val="0"/>
      <w:adjustRightInd w:val="0"/>
      <w:spacing w:after="0" w:line="240" w:lineRule="auto"/>
      <w:ind w:left="1440"/>
    </w:pPr>
    <w:rPr>
      <w:rFonts w:ascii="CG Times" w:hAnsi="CG Times" w:cs="CG Times"/>
      <w:sz w:val="24"/>
      <w:szCs w:val="24"/>
    </w:rPr>
  </w:style>
  <w:style w:type="paragraph" w:customStyle="1" w:styleId="IncreaseDoubleIndent5">
    <w:name w:val="IncreaseDoubleIndent5"/>
    <w:uiPriority w:val="99"/>
    <w:rsid w:val="00A13668"/>
    <w:pPr>
      <w:widowControl w:val="0"/>
      <w:autoSpaceDE w:val="0"/>
      <w:autoSpaceDN w:val="0"/>
      <w:adjustRightInd w:val="0"/>
      <w:spacing w:after="0" w:line="240" w:lineRule="auto"/>
      <w:ind w:left="1440" w:right="1440"/>
    </w:pPr>
    <w:rPr>
      <w:rFonts w:ascii="Calibri" w:hAnsi="Calibri" w:cs="Calibri"/>
      <w:sz w:val="24"/>
      <w:szCs w:val="24"/>
    </w:rPr>
  </w:style>
  <w:style w:type="paragraph" w:customStyle="1" w:styleId="DecreaseIndent5">
    <w:name w:val="DecreaseIndent5"/>
    <w:uiPriority w:val="99"/>
    <w:rsid w:val="00A13668"/>
    <w:pPr>
      <w:widowControl w:val="0"/>
      <w:autoSpaceDE w:val="0"/>
      <w:autoSpaceDN w:val="0"/>
      <w:adjustRightInd w:val="0"/>
      <w:spacing w:after="0" w:line="240" w:lineRule="auto"/>
    </w:pPr>
    <w:rPr>
      <w:rFonts w:ascii="CG Times" w:hAnsi="CG Times" w:cs="CG Times"/>
      <w:sz w:val="24"/>
      <w:szCs w:val="24"/>
    </w:rPr>
  </w:style>
  <w:style w:type="paragraph" w:customStyle="1" w:styleId="DecreaseDoubleIndent5">
    <w:name w:val="DecreaseDoubleIndent5"/>
    <w:uiPriority w:val="99"/>
    <w:rsid w:val="00A13668"/>
    <w:pPr>
      <w:widowControl w:val="0"/>
      <w:autoSpaceDE w:val="0"/>
      <w:autoSpaceDN w:val="0"/>
      <w:adjustRightInd w:val="0"/>
      <w:spacing w:after="0" w:line="240" w:lineRule="auto"/>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mregistry.com/about/sponsored-commu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2907</Words>
  <Characters>16557</Characters>
  <Application>Microsoft Office Word</Application>
  <DocSecurity>0</DocSecurity>
  <Lines>137</Lines>
  <Paragraphs>38</Paragraphs>
  <ScaleCrop>false</ScaleCrop>
  <Company>NetChoice</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digacla</cp:lastModifiedBy>
  <cp:revision>2</cp:revision>
  <dcterms:created xsi:type="dcterms:W3CDTF">2012-04-17T21:24:00Z</dcterms:created>
  <dcterms:modified xsi:type="dcterms:W3CDTF">2012-04-17T21:24:00Z</dcterms:modified>
</cp:coreProperties>
</file>