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6BDCA" w14:textId="77777777" w:rsidR="00651BD5" w:rsidRDefault="00651BD5" w:rsidP="00651BD5">
      <w:pPr>
        <w:pStyle w:val="AddressBlock"/>
      </w:pPr>
      <w:bookmarkStart w:id="0" w:name="bkmAddressee"/>
      <w:bookmarkStart w:id="1" w:name="bkmGroup"/>
      <w:bookmarkEnd w:id="0"/>
    </w:p>
    <w:p w14:paraId="5146BDCB" w14:textId="77777777" w:rsidR="00651BD5" w:rsidRDefault="00651BD5" w:rsidP="00651BD5">
      <w:pPr>
        <w:pStyle w:val="AddressBlock"/>
      </w:pPr>
    </w:p>
    <w:p w14:paraId="5146BDCC" w14:textId="77777777" w:rsidR="00651BD5" w:rsidRDefault="00651BD5" w:rsidP="00651BD5">
      <w:pPr>
        <w:pStyle w:val="AddressBlock"/>
      </w:pPr>
      <w:proofErr w:type="gramStart"/>
      <w:r>
        <w:t>by</w:t>
      </w:r>
      <w:proofErr w:type="gramEnd"/>
      <w:r>
        <w:t xml:space="preserve"> email: public-comments@ianacg.org</w:t>
      </w:r>
    </w:p>
    <w:p w14:paraId="5146BDCD" w14:textId="77777777" w:rsidR="00651BD5" w:rsidRDefault="00651BD5" w:rsidP="00651BD5">
      <w:pPr>
        <w:pStyle w:val="AddressBlock"/>
      </w:pPr>
    </w:p>
    <w:p w14:paraId="5146BDCE" w14:textId="77777777" w:rsidR="00651BD5" w:rsidRDefault="00651BD5" w:rsidP="00651BD5">
      <w:pPr>
        <w:pStyle w:val="AddressBlock"/>
      </w:pPr>
    </w:p>
    <w:p w14:paraId="5146BDCF" w14:textId="57B156B7" w:rsidR="00651BD5" w:rsidRDefault="00A36470" w:rsidP="00651BD5">
      <w:pPr>
        <w:pStyle w:val="AddressBlock"/>
      </w:pPr>
      <w:bookmarkStart w:id="2" w:name="bkmTheDate"/>
      <w:r>
        <w:t>11</w:t>
      </w:r>
      <w:bookmarkStart w:id="3" w:name="_GoBack"/>
      <w:bookmarkEnd w:id="3"/>
      <w:r w:rsidR="00651BD5">
        <w:t xml:space="preserve"> September 2015</w:t>
      </w:r>
      <w:bookmarkEnd w:id="2"/>
    </w:p>
    <w:p w14:paraId="5146BDD0" w14:textId="77777777" w:rsidR="00651BD5" w:rsidRDefault="00651BD5" w:rsidP="00651BD5">
      <w:pPr>
        <w:pStyle w:val="AddressBlock"/>
      </w:pPr>
    </w:p>
    <w:p w14:paraId="5146BDD1" w14:textId="77777777" w:rsidR="00651BD5" w:rsidRDefault="00651BD5" w:rsidP="00651BD5">
      <w:pPr>
        <w:pStyle w:val="AddressBlock"/>
      </w:pPr>
    </w:p>
    <w:p w14:paraId="5146BDD2" w14:textId="77777777" w:rsidR="00651BD5" w:rsidRDefault="00651BD5" w:rsidP="00651BD5">
      <w:pPr>
        <w:pStyle w:val="AddressBlock"/>
      </w:pPr>
    </w:p>
    <w:p w14:paraId="5146BDD3" w14:textId="77777777" w:rsidR="00651BD5" w:rsidRPr="00C26340" w:rsidRDefault="00651BD5" w:rsidP="00651BD5">
      <w:pPr>
        <w:pStyle w:val="AddressBlock"/>
        <w:rPr>
          <w:b/>
          <w:sz w:val="24"/>
          <w:szCs w:val="24"/>
        </w:rPr>
      </w:pPr>
      <w:bookmarkStart w:id="4" w:name="bkmGreeting"/>
      <w:r w:rsidRPr="00C26340">
        <w:rPr>
          <w:b/>
          <w:sz w:val="24"/>
          <w:szCs w:val="24"/>
        </w:rPr>
        <w:t xml:space="preserve"> </w:t>
      </w:r>
      <w:bookmarkEnd w:id="4"/>
    </w:p>
    <w:p w14:paraId="5146BDD4" w14:textId="77777777" w:rsidR="00651BD5" w:rsidRPr="00C26340" w:rsidRDefault="00651BD5" w:rsidP="00651BD5">
      <w:pPr>
        <w:pStyle w:val="AddressBlock"/>
        <w:rPr>
          <w:b/>
          <w:sz w:val="24"/>
          <w:szCs w:val="24"/>
        </w:rPr>
      </w:pPr>
      <w:r w:rsidRPr="00C26340">
        <w:rPr>
          <w:b/>
          <w:sz w:val="24"/>
          <w:szCs w:val="24"/>
        </w:rPr>
        <w:t xml:space="preserve">Response to </w:t>
      </w:r>
      <w:r>
        <w:rPr>
          <w:b/>
          <w:sz w:val="24"/>
          <w:szCs w:val="24"/>
        </w:rPr>
        <w:t>t</w:t>
      </w:r>
      <w:r w:rsidRPr="00F76D75">
        <w:rPr>
          <w:b/>
          <w:sz w:val="24"/>
          <w:szCs w:val="24"/>
        </w:rPr>
        <w:t>he 2nd Draft Proposal on Work Stream 1 Recommendations </w:t>
      </w:r>
      <w:r w:rsidRPr="009D0994">
        <w:rPr>
          <w:b/>
          <w:sz w:val="24"/>
          <w:szCs w:val="24"/>
        </w:rPr>
        <w:t>of the CCWG-Accountability</w:t>
      </w:r>
    </w:p>
    <w:p w14:paraId="5146BDD5" w14:textId="77777777" w:rsidR="00651BD5" w:rsidRDefault="00651BD5" w:rsidP="00651BD5">
      <w:pPr>
        <w:pStyle w:val="AddressBlock"/>
      </w:pPr>
    </w:p>
    <w:bookmarkEnd w:id="1"/>
    <w:p w14:paraId="5146BDD6" w14:textId="77777777" w:rsidR="00651BD5" w:rsidRDefault="00651BD5" w:rsidP="00651BD5"/>
    <w:p w14:paraId="5146BDD7" w14:textId="407A0E6A" w:rsidR="00D55926" w:rsidRDefault="00651BD5" w:rsidP="00651BD5">
      <w:pPr>
        <w:spacing w:line="276" w:lineRule="auto"/>
        <w:jc w:val="both"/>
        <w:rPr>
          <w:lang w:val="en-GB" w:eastAsia="en-GB"/>
        </w:rPr>
      </w:pPr>
      <w:r>
        <w:t xml:space="preserve">The New Zealand Government wishes to acknowledge the </w:t>
      </w:r>
      <w:r w:rsidR="00D55926">
        <w:t xml:space="preserve">substantial </w:t>
      </w:r>
      <w:r>
        <w:t xml:space="preserve">work </w:t>
      </w:r>
      <w:r w:rsidR="00D55926">
        <w:t xml:space="preserve">undertaken by the CCWG </w:t>
      </w:r>
      <w:r>
        <w:t xml:space="preserve">in preparing the </w:t>
      </w:r>
      <w:r w:rsidR="00D55926">
        <w:t>Work Stream 1 proposals</w:t>
      </w:r>
      <w:r>
        <w:t>.</w:t>
      </w:r>
      <w:r w:rsidRPr="00C177CA">
        <w:rPr>
          <w:lang w:val="en-GB" w:eastAsia="en-GB"/>
        </w:rPr>
        <w:t xml:space="preserve"> </w:t>
      </w:r>
      <w:r>
        <w:rPr>
          <w:lang w:val="en-GB" w:eastAsia="en-GB"/>
        </w:rPr>
        <w:t xml:space="preserve"> </w:t>
      </w:r>
      <w:r w:rsidR="00D55926">
        <w:rPr>
          <w:lang w:val="en-GB" w:eastAsia="en-GB"/>
        </w:rPr>
        <w:t xml:space="preserve">These proposals represent a considerable time commitment from community volunteers, and we </w:t>
      </w:r>
      <w:r w:rsidR="002D5572">
        <w:rPr>
          <w:lang w:val="en-GB" w:eastAsia="en-GB"/>
        </w:rPr>
        <w:t xml:space="preserve">support </w:t>
      </w:r>
      <w:r w:rsidR="00D55926">
        <w:rPr>
          <w:lang w:val="en-GB" w:eastAsia="en-GB"/>
        </w:rPr>
        <w:t xml:space="preserve">the consultative approach the CCWG has taken to ensuring the process reflects the </w:t>
      </w:r>
      <w:r>
        <w:rPr>
          <w:lang w:val="en-GB" w:eastAsia="en-GB"/>
        </w:rPr>
        <w:t>multistakeholder, bottom-up process</w:t>
      </w:r>
      <w:r w:rsidR="00D55926">
        <w:rPr>
          <w:lang w:val="en-GB" w:eastAsia="en-GB"/>
        </w:rPr>
        <w:t>es</w:t>
      </w:r>
      <w:r>
        <w:rPr>
          <w:lang w:val="en-GB" w:eastAsia="en-GB"/>
        </w:rPr>
        <w:t xml:space="preserve"> </w:t>
      </w:r>
      <w:r w:rsidR="00D55926">
        <w:rPr>
          <w:lang w:val="en-GB" w:eastAsia="en-GB"/>
        </w:rPr>
        <w:t xml:space="preserve">that represent the foundation of internet governance. </w:t>
      </w:r>
    </w:p>
    <w:p w14:paraId="5146BDD8" w14:textId="77777777" w:rsidR="00651BD5" w:rsidRDefault="00651BD5" w:rsidP="00651BD5"/>
    <w:p w14:paraId="5146BDD9" w14:textId="77777777" w:rsidR="000908D5" w:rsidRDefault="000908D5" w:rsidP="000908D5">
      <w:pPr>
        <w:spacing w:line="276" w:lineRule="auto"/>
        <w:jc w:val="both"/>
      </w:pPr>
      <w:r>
        <w:t>As noted in our comments on the</w:t>
      </w:r>
      <w:r w:rsidRPr="000908D5">
        <w:t xml:space="preserve"> proposal to transition the stewardship of the Internet Assigned Numbers Authority (IANA), </w:t>
      </w:r>
      <w:r w:rsidR="00D55926">
        <w:t xml:space="preserve">we consider </w:t>
      </w:r>
      <w:r w:rsidRPr="000908D5">
        <w:t xml:space="preserve">enhancements to ICANN’s accountability </w:t>
      </w:r>
      <w:r w:rsidR="00D55926">
        <w:t xml:space="preserve">and transparency </w:t>
      </w:r>
      <w:r w:rsidRPr="000908D5">
        <w:t>are necessary for a successful IANA transition</w:t>
      </w:r>
      <w:r w:rsidR="00D55926">
        <w:t xml:space="preserve">, and </w:t>
      </w:r>
      <w:r w:rsidRPr="000908D5">
        <w:t xml:space="preserve">in order to fulfil the criteria </w:t>
      </w:r>
      <w:r w:rsidR="00D55926">
        <w:t xml:space="preserve">set forth by NTIA </w:t>
      </w:r>
      <w:r w:rsidRPr="000908D5">
        <w:t xml:space="preserve">for transition. </w:t>
      </w:r>
    </w:p>
    <w:p w14:paraId="5146BDDA" w14:textId="77777777" w:rsidR="000908D5" w:rsidRDefault="000908D5" w:rsidP="000908D5">
      <w:pPr>
        <w:spacing w:line="276" w:lineRule="auto"/>
        <w:jc w:val="both"/>
      </w:pPr>
    </w:p>
    <w:p w14:paraId="5146BDDB" w14:textId="6169D17F" w:rsidR="000908D5" w:rsidRDefault="00926304" w:rsidP="000908D5">
      <w:pPr>
        <w:spacing w:line="276" w:lineRule="auto"/>
        <w:jc w:val="both"/>
        <w:rPr>
          <w:lang w:val="en-GB" w:eastAsia="en-GB"/>
        </w:rPr>
      </w:pPr>
      <w:r>
        <w:t>Without prejudice to opinions that may be formed in the development of G</w:t>
      </w:r>
      <w:r w:rsidR="00380600">
        <w:t xml:space="preserve">overnmental Advisory </w:t>
      </w:r>
      <w:r>
        <w:t>C</w:t>
      </w:r>
      <w:r w:rsidR="00380600">
        <w:t>ommittee (GAC)</w:t>
      </w:r>
      <w:r>
        <w:t xml:space="preserve"> comment on the proposal, w</w:t>
      </w:r>
      <w:r w:rsidR="00D55926">
        <w:t>e are broadly supportive of the recommendations put forth in the 2</w:t>
      </w:r>
      <w:r w:rsidR="00D55926" w:rsidRPr="00D55926">
        <w:rPr>
          <w:vertAlign w:val="superscript"/>
        </w:rPr>
        <w:t>nd</w:t>
      </w:r>
      <w:r w:rsidR="00D55926">
        <w:t xml:space="preserve"> Draft Proposal. </w:t>
      </w:r>
      <w:r w:rsidR="000247D2">
        <w:t>In particular</w:t>
      </w:r>
      <w:r>
        <w:t>, we wish to note our support for the following measures:</w:t>
      </w:r>
    </w:p>
    <w:p w14:paraId="5146BDDC" w14:textId="77777777" w:rsidR="000908D5" w:rsidRPr="000908D5" w:rsidRDefault="000908D5" w:rsidP="00651BD5">
      <w:pPr>
        <w:spacing w:line="276" w:lineRule="auto"/>
        <w:jc w:val="both"/>
        <w:rPr>
          <w:lang w:val="en-GB"/>
        </w:rPr>
      </w:pPr>
    </w:p>
    <w:p w14:paraId="5146BDDD" w14:textId="77777777" w:rsidR="00651BD5" w:rsidRPr="005321B6" w:rsidRDefault="005321B6" w:rsidP="00926304">
      <w:pPr>
        <w:pStyle w:val="FootnoteText"/>
        <w:spacing w:line="276" w:lineRule="auto"/>
        <w:ind w:left="720"/>
        <w:jc w:val="both"/>
        <w:rPr>
          <w:b/>
          <w:sz w:val="22"/>
          <w:szCs w:val="22"/>
        </w:rPr>
      </w:pPr>
      <w:r w:rsidRPr="005321B6">
        <w:rPr>
          <w:b/>
          <w:sz w:val="22"/>
          <w:szCs w:val="22"/>
        </w:rPr>
        <w:t>Measures to enhance ICANN’s multistakeholder model and avoid capture</w:t>
      </w:r>
    </w:p>
    <w:p w14:paraId="5146BDDE" w14:textId="77777777" w:rsidR="005321B6" w:rsidRDefault="005321B6" w:rsidP="00926304">
      <w:pPr>
        <w:pStyle w:val="FootnoteText"/>
        <w:spacing w:line="276" w:lineRule="auto"/>
        <w:ind w:left="720"/>
        <w:jc w:val="both"/>
        <w:rPr>
          <w:sz w:val="22"/>
          <w:szCs w:val="22"/>
        </w:rPr>
      </w:pPr>
    </w:p>
    <w:p w14:paraId="5146BDDF" w14:textId="77777777" w:rsidR="005321B6" w:rsidRDefault="005321B6" w:rsidP="00926304">
      <w:pPr>
        <w:pStyle w:val="FootnoteText"/>
        <w:spacing w:line="276" w:lineRule="auto"/>
        <w:ind w:left="720"/>
        <w:jc w:val="both"/>
        <w:rPr>
          <w:sz w:val="22"/>
          <w:szCs w:val="22"/>
        </w:rPr>
      </w:pPr>
      <w:r>
        <w:rPr>
          <w:sz w:val="22"/>
          <w:szCs w:val="22"/>
        </w:rPr>
        <w:t xml:space="preserve">One of the challenges of the multistakeholder model is how decisions </w:t>
      </w:r>
      <w:r w:rsidR="006518B0">
        <w:rPr>
          <w:sz w:val="22"/>
          <w:szCs w:val="22"/>
        </w:rPr>
        <w:t xml:space="preserve">can be </w:t>
      </w:r>
      <w:r>
        <w:rPr>
          <w:sz w:val="22"/>
          <w:szCs w:val="22"/>
        </w:rPr>
        <w:t xml:space="preserve">made </w:t>
      </w:r>
      <w:r w:rsidR="006518B0">
        <w:rPr>
          <w:sz w:val="22"/>
          <w:szCs w:val="22"/>
        </w:rPr>
        <w:t xml:space="preserve">in a way that </w:t>
      </w:r>
      <w:r>
        <w:rPr>
          <w:sz w:val="22"/>
          <w:szCs w:val="22"/>
        </w:rPr>
        <w:t>balance</w:t>
      </w:r>
      <w:r w:rsidR="006518B0">
        <w:rPr>
          <w:sz w:val="22"/>
          <w:szCs w:val="22"/>
        </w:rPr>
        <w:t>s</w:t>
      </w:r>
      <w:r>
        <w:rPr>
          <w:sz w:val="22"/>
          <w:szCs w:val="22"/>
        </w:rPr>
        <w:t xml:space="preserve"> different stakeholders</w:t>
      </w:r>
      <w:r w:rsidR="006518B0">
        <w:rPr>
          <w:sz w:val="22"/>
          <w:szCs w:val="22"/>
        </w:rPr>
        <w:t>’</w:t>
      </w:r>
      <w:r>
        <w:rPr>
          <w:sz w:val="22"/>
          <w:szCs w:val="22"/>
        </w:rPr>
        <w:t xml:space="preserve"> views</w:t>
      </w:r>
      <w:r w:rsidR="006518B0">
        <w:rPr>
          <w:sz w:val="22"/>
          <w:szCs w:val="22"/>
        </w:rPr>
        <w:t xml:space="preserve">. To achieve this, the multistakeholder model needs to recognise both the value of consensus, and the ability for minority views to be represented. </w:t>
      </w:r>
    </w:p>
    <w:p w14:paraId="5146BDE0" w14:textId="77777777" w:rsidR="006518B0" w:rsidRDefault="006518B0" w:rsidP="00926304">
      <w:pPr>
        <w:pStyle w:val="FootnoteText"/>
        <w:spacing w:line="276" w:lineRule="auto"/>
        <w:ind w:left="720"/>
        <w:jc w:val="both"/>
        <w:rPr>
          <w:sz w:val="22"/>
          <w:szCs w:val="22"/>
        </w:rPr>
      </w:pPr>
    </w:p>
    <w:p w14:paraId="5146BDE1" w14:textId="77777777" w:rsidR="006518B0" w:rsidRDefault="006518B0" w:rsidP="00926304">
      <w:pPr>
        <w:pStyle w:val="FootnoteText"/>
        <w:spacing w:line="276" w:lineRule="auto"/>
        <w:ind w:left="720"/>
        <w:jc w:val="both"/>
        <w:rPr>
          <w:sz w:val="22"/>
          <w:szCs w:val="22"/>
        </w:rPr>
      </w:pPr>
      <w:r>
        <w:rPr>
          <w:sz w:val="22"/>
          <w:szCs w:val="22"/>
        </w:rPr>
        <w:t>We consider the accountability measures proposed through Stress Tests 18, 33, and 34</w:t>
      </w:r>
      <w:r w:rsidR="00190F06">
        <w:rPr>
          <w:sz w:val="22"/>
          <w:szCs w:val="22"/>
        </w:rPr>
        <w:t xml:space="preserve"> are necessary to ensure that a balance is struck between ensuring each AC/SO can present its perspectives, while avoiding capture or the use of advisory powers to override ICANN’s multistakeholder, bottom-up decisions making process.</w:t>
      </w:r>
    </w:p>
    <w:p w14:paraId="5146BDE2" w14:textId="77777777" w:rsidR="00926304" w:rsidRDefault="00926304" w:rsidP="00926304">
      <w:pPr>
        <w:pStyle w:val="FootnoteText"/>
        <w:spacing w:line="276" w:lineRule="auto"/>
        <w:ind w:left="720"/>
        <w:jc w:val="both"/>
        <w:rPr>
          <w:sz w:val="22"/>
          <w:szCs w:val="22"/>
        </w:rPr>
      </w:pPr>
    </w:p>
    <w:p w14:paraId="5146BDE3" w14:textId="4B5DC251" w:rsidR="001571C5" w:rsidRDefault="00190F06" w:rsidP="00926304">
      <w:pPr>
        <w:pStyle w:val="FootnoteText"/>
        <w:spacing w:line="276" w:lineRule="auto"/>
        <w:ind w:left="720"/>
        <w:jc w:val="both"/>
        <w:rPr>
          <w:sz w:val="22"/>
          <w:szCs w:val="22"/>
        </w:rPr>
      </w:pPr>
      <w:r w:rsidRPr="00615DD4">
        <w:rPr>
          <w:sz w:val="22"/>
          <w:szCs w:val="22"/>
        </w:rPr>
        <w:lastRenderedPageBreak/>
        <w:t xml:space="preserve">In particular we acknowledge the balance struck in Stress Test 18, which </w:t>
      </w:r>
      <w:r w:rsidR="001571C5" w:rsidRPr="001571C5">
        <w:rPr>
          <w:sz w:val="22"/>
          <w:szCs w:val="22"/>
        </w:rPr>
        <w:t xml:space="preserve">recognises the role Governments fulfil within ICANN in articulating and protecting public interest, while </w:t>
      </w:r>
      <w:r w:rsidR="001571C5" w:rsidRPr="00F348DB">
        <w:rPr>
          <w:sz w:val="22"/>
          <w:szCs w:val="22"/>
        </w:rPr>
        <w:t xml:space="preserve">avoiding a situation where split </w:t>
      </w:r>
      <w:r w:rsidR="00380600">
        <w:rPr>
          <w:sz w:val="22"/>
          <w:szCs w:val="22"/>
        </w:rPr>
        <w:t>GAC</w:t>
      </w:r>
      <w:r w:rsidR="001571C5" w:rsidRPr="001571C5">
        <w:rPr>
          <w:sz w:val="22"/>
          <w:szCs w:val="22"/>
        </w:rPr>
        <w:t xml:space="preserve"> </w:t>
      </w:r>
      <w:r w:rsidR="001571C5" w:rsidRPr="00F348DB">
        <w:rPr>
          <w:sz w:val="22"/>
          <w:szCs w:val="22"/>
        </w:rPr>
        <w:t>advice is able to “paralyse” a decision-making process by requiring the ICANN Board to find a mutually acceptable solution between multiple parties.</w:t>
      </w:r>
    </w:p>
    <w:p w14:paraId="5146BDE4" w14:textId="77777777" w:rsidR="00F348DB" w:rsidRPr="00615DD4" w:rsidRDefault="00F348DB" w:rsidP="00926304">
      <w:pPr>
        <w:pStyle w:val="FootnoteText"/>
        <w:spacing w:line="276" w:lineRule="auto"/>
        <w:ind w:left="720"/>
        <w:jc w:val="both"/>
        <w:rPr>
          <w:sz w:val="22"/>
          <w:szCs w:val="22"/>
        </w:rPr>
      </w:pPr>
    </w:p>
    <w:p w14:paraId="5146BDE5" w14:textId="4F14EF27" w:rsidR="00615DD4" w:rsidRDefault="001571C5" w:rsidP="00926304">
      <w:pPr>
        <w:pStyle w:val="FootnoteText"/>
        <w:spacing w:line="276" w:lineRule="auto"/>
        <w:ind w:left="720"/>
        <w:jc w:val="both"/>
        <w:rPr>
          <w:sz w:val="22"/>
          <w:szCs w:val="22"/>
        </w:rPr>
      </w:pPr>
      <w:r>
        <w:rPr>
          <w:sz w:val="22"/>
          <w:szCs w:val="22"/>
        </w:rPr>
        <w:t xml:space="preserve">We consider the proposed measures under Stress Test 18 </w:t>
      </w:r>
      <w:r w:rsidR="00190F06" w:rsidRPr="00615DD4">
        <w:rPr>
          <w:sz w:val="22"/>
          <w:szCs w:val="22"/>
        </w:rPr>
        <w:t>recogni</w:t>
      </w:r>
      <w:r>
        <w:rPr>
          <w:sz w:val="22"/>
          <w:szCs w:val="22"/>
        </w:rPr>
        <w:t>se</w:t>
      </w:r>
      <w:r w:rsidR="00380600">
        <w:rPr>
          <w:sz w:val="22"/>
          <w:szCs w:val="22"/>
        </w:rPr>
        <w:t>s</w:t>
      </w:r>
      <w:r w:rsidR="00190F06" w:rsidRPr="00615DD4">
        <w:rPr>
          <w:sz w:val="22"/>
          <w:szCs w:val="22"/>
        </w:rPr>
        <w:t xml:space="preserve"> the fundamental role of governments in international internet-related public policy issues, </w:t>
      </w:r>
      <w:r w:rsidR="00615DD4" w:rsidRPr="00615DD4">
        <w:rPr>
          <w:sz w:val="22"/>
          <w:szCs w:val="22"/>
        </w:rPr>
        <w:t xml:space="preserve">and that from time to time the GAC </w:t>
      </w:r>
      <w:r w:rsidR="00615DD4">
        <w:rPr>
          <w:sz w:val="22"/>
          <w:szCs w:val="22"/>
        </w:rPr>
        <w:t xml:space="preserve">may wish to </w:t>
      </w:r>
      <w:r w:rsidR="00615DD4" w:rsidRPr="00615DD4">
        <w:rPr>
          <w:sz w:val="22"/>
          <w:szCs w:val="22"/>
        </w:rPr>
        <w:t>give advice that covers more than one point of view</w:t>
      </w:r>
      <w:r w:rsidR="00615DD4">
        <w:rPr>
          <w:sz w:val="22"/>
          <w:szCs w:val="22"/>
        </w:rPr>
        <w:t xml:space="preserve">. However, it also ensures that where there is clear GAC consensus on a public policy issue, the </w:t>
      </w:r>
      <w:r w:rsidR="00615DD4" w:rsidRPr="00615DD4">
        <w:rPr>
          <w:sz w:val="22"/>
          <w:szCs w:val="22"/>
        </w:rPr>
        <w:t xml:space="preserve">ICANN </w:t>
      </w:r>
      <w:r w:rsidR="00380600">
        <w:rPr>
          <w:sz w:val="22"/>
          <w:szCs w:val="22"/>
        </w:rPr>
        <w:t xml:space="preserve">Board </w:t>
      </w:r>
      <w:r w:rsidR="00615DD4" w:rsidRPr="00615DD4">
        <w:rPr>
          <w:sz w:val="22"/>
          <w:szCs w:val="22"/>
        </w:rPr>
        <w:t>must give due deference to this advice and try to find “a mutually acceptable solution” between the GAC and other parties.</w:t>
      </w:r>
    </w:p>
    <w:p w14:paraId="5146BDE6" w14:textId="77777777" w:rsidR="00190F06" w:rsidRDefault="00190F06" w:rsidP="00926304">
      <w:pPr>
        <w:pStyle w:val="FootnoteText"/>
        <w:spacing w:line="276" w:lineRule="auto"/>
        <w:ind w:left="720"/>
        <w:jc w:val="both"/>
        <w:rPr>
          <w:sz w:val="22"/>
          <w:szCs w:val="22"/>
        </w:rPr>
      </w:pPr>
    </w:p>
    <w:p w14:paraId="5146BDE7" w14:textId="77777777" w:rsidR="00651BD5" w:rsidRDefault="001571C5" w:rsidP="00926304">
      <w:pPr>
        <w:pStyle w:val="FootnoteText"/>
        <w:spacing w:line="276" w:lineRule="auto"/>
        <w:ind w:left="720"/>
        <w:jc w:val="both"/>
        <w:rPr>
          <w:b/>
          <w:sz w:val="22"/>
          <w:szCs w:val="22"/>
        </w:rPr>
      </w:pPr>
      <w:r w:rsidRPr="001571C5">
        <w:rPr>
          <w:b/>
          <w:sz w:val="22"/>
          <w:szCs w:val="22"/>
        </w:rPr>
        <w:t>Clarity of advisory roles</w:t>
      </w:r>
    </w:p>
    <w:p w14:paraId="5146BDE8" w14:textId="77777777" w:rsidR="001571C5" w:rsidRPr="001571C5" w:rsidRDefault="001571C5" w:rsidP="00926304">
      <w:pPr>
        <w:pStyle w:val="FootnoteText"/>
        <w:spacing w:line="276" w:lineRule="auto"/>
        <w:ind w:left="720"/>
        <w:jc w:val="both"/>
        <w:rPr>
          <w:b/>
          <w:sz w:val="22"/>
          <w:szCs w:val="22"/>
        </w:rPr>
      </w:pPr>
    </w:p>
    <w:p w14:paraId="5146BDE9" w14:textId="77777777" w:rsidR="001571C5" w:rsidRDefault="00F348DB" w:rsidP="00926304">
      <w:pPr>
        <w:pStyle w:val="FootnoteText"/>
        <w:spacing w:line="276" w:lineRule="auto"/>
        <w:ind w:left="720"/>
        <w:jc w:val="both"/>
        <w:rPr>
          <w:sz w:val="22"/>
          <w:szCs w:val="22"/>
        </w:rPr>
      </w:pPr>
      <w:r>
        <w:rPr>
          <w:sz w:val="22"/>
          <w:szCs w:val="22"/>
        </w:rPr>
        <w:t xml:space="preserve">When considering the role of governments in internet governance, the Tunis Agenda recognises not only the need for governments to participate in internet governance discussions on equal footing, but also the value of the different perspectives and competencies stakeholders bring to a discussion. ICANN’s structure clearly recognises the Tunis Agenda’s vision of “enabling governments, </w:t>
      </w:r>
      <w:r w:rsidRPr="00F348DB">
        <w:rPr>
          <w:sz w:val="22"/>
          <w:szCs w:val="22"/>
        </w:rPr>
        <w:t>on an equal footing, to carry out their roles and responsibilities, in international public policy issues pertaining to the Internet, but not in the day-to-day technical and operational matters, that do not impact on international public policy issues</w:t>
      </w:r>
      <w:r>
        <w:rPr>
          <w:sz w:val="22"/>
          <w:szCs w:val="22"/>
        </w:rPr>
        <w:t xml:space="preserve">” through the SO/AC model. </w:t>
      </w:r>
      <w:r w:rsidR="00773E6F">
        <w:rPr>
          <w:sz w:val="22"/>
          <w:szCs w:val="22"/>
        </w:rPr>
        <w:t xml:space="preserve">This separation of roles is also recognised in CCWG’s Stress test 35. </w:t>
      </w:r>
      <w:r>
        <w:rPr>
          <w:sz w:val="22"/>
          <w:szCs w:val="22"/>
        </w:rPr>
        <w:t xml:space="preserve">We consider it is important to ensure the roles of operational and advisory communities continue to be clearly defined, and support the continuation of the GAC’s role as an advisory committee. </w:t>
      </w:r>
    </w:p>
    <w:p w14:paraId="5146BDEA" w14:textId="77777777" w:rsidR="001571C5" w:rsidRPr="00015E1A" w:rsidRDefault="001571C5" w:rsidP="00926304">
      <w:pPr>
        <w:pStyle w:val="FootnoteText"/>
        <w:spacing w:line="276" w:lineRule="auto"/>
        <w:ind w:left="720"/>
        <w:jc w:val="both"/>
        <w:rPr>
          <w:sz w:val="22"/>
          <w:szCs w:val="22"/>
        </w:rPr>
      </w:pPr>
    </w:p>
    <w:p w14:paraId="5146BDEB" w14:textId="77777777" w:rsidR="00D65E9C" w:rsidRPr="00D65E9C" w:rsidRDefault="00D65E9C" w:rsidP="00926304">
      <w:pPr>
        <w:ind w:left="720"/>
        <w:rPr>
          <w:b/>
        </w:rPr>
      </w:pPr>
      <w:r w:rsidRPr="00D65E9C">
        <w:rPr>
          <w:b/>
        </w:rPr>
        <w:t>Enumerated powers</w:t>
      </w:r>
    </w:p>
    <w:p w14:paraId="5146BDEC" w14:textId="77777777" w:rsidR="00CF3805" w:rsidRDefault="00CF3805" w:rsidP="00926304">
      <w:pPr>
        <w:ind w:left="720"/>
      </w:pPr>
    </w:p>
    <w:p w14:paraId="5146BDED" w14:textId="77777777" w:rsidR="00D65E9C" w:rsidRPr="00380600" w:rsidRDefault="00CF3805" w:rsidP="00380600">
      <w:pPr>
        <w:spacing w:line="276" w:lineRule="auto"/>
        <w:ind w:left="720"/>
        <w:jc w:val="both"/>
        <w:rPr>
          <w:rFonts w:eastAsiaTheme="minorEastAsia"/>
          <w:lang w:eastAsia="ja-JP"/>
        </w:rPr>
      </w:pPr>
      <w:r w:rsidRPr="00380600">
        <w:rPr>
          <w:rFonts w:eastAsiaTheme="minorEastAsia"/>
          <w:lang w:eastAsia="ja-JP"/>
        </w:rPr>
        <w:t xml:space="preserve">We welcome the clarification of ICANN’s role in the internet governance </w:t>
      </w:r>
      <w:proofErr w:type="gramStart"/>
      <w:r w:rsidRPr="00380600">
        <w:rPr>
          <w:rFonts w:eastAsiaTheme="minorEastAsia"/>
          <w:lang w:eastAsia="ja-JP"/>
        </w:rPr>
        <w:t>system</w:t>
      </w:r>
      <w:r w:rsidR="00926304" w:rsidRPr="00380600">
        <w:rPr>
          <w:rFonts w:eastAsiaTheme="minorEastAsia"/>
          <w:lang w:eastAsia="ja-JP"/>
        </w:rPr>
        <w:t>,</w:t>
      </w:r>
      <w:proofErr w:type="gramEnd"/>
      <w:r w:rsidR="00926304" w:rsidRPr="00380600">
        <w:rPr>
          <w:rFonts w:eastAsiaTheme="minorEastAsia"/>
          <w:lang w:eastAsia="ja-JP"/>
        </w:rPr>
        <w:t xml:space="preserve"> in particular, that ICANN’s powers are “enumerated” and cannot change without community support. </w:t>
      </w:r>
    </w:p>
    <w:p w14:paraId="5146BDEE" w14:textId="77777777" w:rsidR="00D65E9C" w:rsidRPr="00380600" w:rsidRDefault="00D65E9C" w:rsidP="00380600">
      <w:pPr>
        <w:spacing w:line="276" w:lineRule="auto"/>
        <w:ind w:left="720"/>
        <w:jc w:val="both"/>
        <w:rPr>
          <w:rFonts w:eastAsiaTheme="minorEastAsia"/>
          <w:lang w:eastAsia="ja-JP"/>
        </w:rPr>
      </w:pPr>
    </w:p>
    <w:p w14:paraId="5146BDEF" w14:textId="77777777" w:rsidR="00773E6F" w:rsidRPr="00F348DB" w:rsidRDefault="00773E6F" w:rsidP="00380600">
      <w:pPr>
        <w:spacing w:line="276" w:lineRule="auto"/>
        <w:ind w:left="720"/>
        <w:jc w:val="both"/>
        <w:rPr>
          <w:rFonts w:eastAsiaTheme="minorEastAsia"/>
          <w:lang w:eastAsia="ja-JP"/>
        </w:rPr>
      </w:pPr>
      <w:r w:rsidRPr="00F348DB">
        <w:rPr>
          <w:rFonts w:eastAsiaTheme="minorEastAsia"/>
          <w:lang w:eastAsia="ja-JP"/>
        </w:rPr>
        <w:t>We also support mechanisms to ensure advisory committees’ do not advise ICANN to act outside of its current authority. A decision to extend ICANN’s role is a significant change that should only be made through the formal process for amending fundamental bylaws</w:t>
      </w:r>
      <w:r w:rsidR="00926304">
        <w:rPr>
          <w:rFonts w:eastAsiaTheme="minorEastAsia"/>
          <w:lang w:eastAsia="ja-JP"/>
        </w:rPr>
        <w:t>.</w:t>
      </w:r>
    </w:p>
    <w:p w14:paraId="5146BDF0" w14:textId="77777777" w:rsidR="00773E6F" w:rsidRDefault="00773E6F" w:rsidP="00773E6F"/>
    <w:p w14:paraId="17FD1B55" w14:textId="77777777" w:rsidR="00380600" w:rsidRDefault="00380600"/>
    <w:p w14:paraId="640E5768" w14:textId="77777777" w:rsidR="00380600" w:rsidRDefault="00380600"/>
    <w:p w14:paraId="153C0E38" w14:textId="77777777" w:rsidR="00380600" w:rsidRDefault="00380600"/>
    <w:p w14:paraId="3BFA413A" w14:textId="77777777" w:rsidR="00380600" w:rsidRDefault="00380600"/>
    <w:p w14:paraId="5146BDF1" w14:textId="77777777" w:rsidR="00F12755" w:rsidRDefault="00926304">
      <w:r>
        <w:lastRenderedPageBreak/>
        <w:t>We also wish to note our concerns regarding two aspects of the accountability proposals:</w:t>
      </w:r>
    </w:p>
    <w:p w14:paraId="5146BDF2" w14:textId="77777777" w:rsidR="00926304" w:rsidRDefault="00926304" w:rsidP="00926304">
      <w:pPr>
        <w:ind w:left="720"/>
        <w:rPr>
          <w:b/>
        </w:rPr>
      </w:pPr>
    </w:p>
    <w:p w14:paraId="5146BDF3" w14:textId="77777777" w:rsidR="00926304" w:rsidRDefault="00926304" w:rsidP="00380600">
      <w:pPr>
        <w:keepNext/>
        <w:ind w:left="720"/>
        <w:rPr>
          <w:b/>
        </w:rPr>
      </w:pPr>
      <w:proofErr w:type="gramStart"/>
      <w:r w:rsidRPr="00926304">
        <w:rPr>
          <w:b/>
        </w:rPr>
        <w:t>ccTLD</w:t>
      </w:r>
      <w:proofErr w:type="gramEnd"/>
      <w:r w:rsidRPr="00926304">
        <w:rPr>
          <w:b/>
        </w:rPr>
        <w:t xml:space="preserve"> delegation/redelegation appeals process</w:t>
      </w:r>
    </w:p>
    <w:p w14:paraId="5146BDF4" w14:textId="77777777" w:rsidR="00926304" w:rsidRDefault="00926304" w:rsidP="005E603A">
      <w:pPr>
        <w:ind w:left="720"/>
        <w:jc w:val="both"/>
        <w:rPr>
          <w:b/>
        </w:rPr>
      </w:pPr>
    </w:p>
    <w:p w14:paraId="5146BDF5" w14:textId="721AFBAC" w:rsidR="00926304" w:rsidRDefault="00926304" w:rsidP="00380600">
      <w:pPr>
        <w:spacing w:line="276" w:lineRule="auto"/>
        <w:ind w:left="720"/>
        <w:jc w:val="both"/>
      </w:pPr>
      <w:r>
        <w:t>Stress Test</w:t>
      </w:r>
      <w:r w:rsidRPr="00926304">
        <w:t xml:space="preserve"> 21 considers a situation where </w:t>
      </w:r>
      <w:r>
        <w:t xml:space="preserve">a government demands ICANN rescind responsibility for management of a ccTLD from an incumbent ccTLD manager. Noting the </w:t>
      </w:r>
      <w:r w:rsidR="00871335">
        <w:t xml:space="preserve">ccNSO Policy Development Process </w:t>
      </w:r>
      <w:r w:rsidR="0069300E">
        <w:t xml:space="preserve">(PDP) </w:t>
      </w:r>
      <w:r w:rsidR="00871335">
        <w:t xml:space="preserve">that is </w:t>
      </w:r>
      <w:r w:rsidR="00380600">
        <w:t xml:space="preserve">planned regarding </w:t>
      </w:r>
      <w:r w:rsidR="00871335">
        <w:t xml:space="preserve">delegation and redelegation of ccTLDs, one of the proposed accountability measures is to exclude ccTLD delegation/redelegation issues from any appeal mechanism. </w:t>
      </w:r>
      <w:proofErr w:type="gramStart"/>
      <w:r w:rsidR="00380600">
        <w:t>ccTLD</w:t>
      </w:r>
      <w:proofErr w:type="gramEnd"/>
      <w:r w:rsidR="00380600">
        <w:t xml:space="preserve"> delegation/redelegation has been proposed </w:t>
      </w:r>
      <w:r w:rsidR="00871335">
        <w:t xml:space="preserve">as </w:t>
      </w:r>
      <w:r w:rsidR="00380600">
        <w:t>an exclusion</w:t>
      </w:r>
      <w:r w:rsidR="00871335">
        <w:t xml:space="preserve"> </w:t>
      </w:r>
      <w:r w:rsidR="004E2E7A">
        <w:t xml:space="preserve">to the Independent Review Process (IRP) </w:t>
      </w:r>
      <w:r w:rsidR="00871335">
        <w:t>in paragraph 8, page 40 of the proposal.</w:t>
      </w:r>
      <w:r w:rsidR="00691AA6">
        <w:t xml:space="preserve"> This recommendation is also included in the CWG-Stewardship Proposal that forms part of the</w:t>
      </w:r>
      <w:r w:rsidR="00691AA6" w:rsidRPr="00691AA6">
        <w:t xml:space="preserve"> proposal to transition the stewardship of the Internet Assigned Numbers Authority</w:t>
      </w:r>
      <w:r w:rsidR="00691AA6">
        <w:t>.</w:t>
      </w:r>
    </w:p>
    <w:p w14:paraId="5146BDF6" w14:textId="77777777" w:rsidR="00871335" w:rsidRDefault="00871335" w:rsidP="00380600">
      <w:pPr>
        <w:spacing w:line="276" w:lineRule="auto"/>
        <w:ind w:left="720"/>
        <w:jc w:val="both"/>
      </w:pPr>
    </w:p>
    <w:p w14:paraId="5146BDF7" w14:textId="3E4B6146" w:rsidR="004E2E7A" w:rsidRDefault="00871335" w:rsidP="00380600">
      <w:pPr>
        <w:spacing w:line="276" w:lineRule="auto"/>
        <w:ind w:left="720"/>
        <w:jc w:val="both"/>
      </w:pPr>
      <w:r>
        <w:t xml:space="preserve">While we acknowledge the commitment of the ccNSO in developing a clearer process for ccTLD delegation/redelegation, we do not consider </w:t>
      </w:r>
      <w:r w:rsidR="006A462C">
        <w:t xml:space="preserve">a potential </w:t>
      </w:r>
      <w:r w:rsidR="0069300E">
        <w:t xml:space="preserve">PDP is </w:t>
      </w:r>
      <w:r w:rsidR="004E2E7A">
        <w:t xml:space="preserve">sufficient </w:t>
      </w:r>
      <w:r w:rsidR="0069300E">
        <w:t xml:space="preserve">rationale for excluding ccTLD delegation/redelegation from the </w:t>
      </w:r>
      <w:r w:rsidR="004E2E7A">
        <w:t>IRP</w:t>
      </w:r>
      <w:r w:rsidR="0069300E">
        <w:t xml:space="preserve">. </w:t>
      </w:r>
    </w:p>
    <w:p w14:paraId="5146BDF8" w14:textId="77777777" w:rsidR="004E2E7A" w:rsidRDefault="004E2E7A" w:rsidP="00380600">
      <w:pPr>
        <w:spacing w:line="276" w:lineRule="auto"/>
        <w:ind w:left="720"/>
        <w:jc w:val="both"/>
      </w:pPr>
    </w:p>
    <w:p w14:paraId="5146BDF9" w14:textId="75A9E1B5" w:rsidR="00871335" w:rsidRPr="00926304" w:rsidRDefault="0069300E" w:rsidP="00380600">
      <w:pPr>
        <w:spacing w:line="276" w:lineRule="auto"/>
        <w:ind w:left="720"/>
        <w:jc w:val="both"/>
      </w:pPr>
      <w:r>
        <w:t xml:space="preserve">The PDP process will need to balance the expectations of both governments and ccTLD managers, and the breadth of approaches taken to ccTLDs means the PDP will not be a quick. </w:t>
      </w:r>
      <w:r w:rsidR="004E2E7A">
        <w:t xml:space="preserve">If </w:t>
      </w:r>
      <w:r>
        <w:t xml:space="preserve">ccTLD delegation/redelegation </w:t>
      </w:r>
      <w:r w:rsidR="004E2E7A">
        <w:t xml:space="preserve">is excluded </w:t>
      </w:r>
      <w:r>
        <w:t>from the IRP</w:t>
      </w:r>
      <w:r w:rsidR="00380600">
        <w:t>,</w:t>
      </w:r>
      <w:r>
        <w:t xml:space="preserve"> </w:t>
      </w:r>
      <w:r w:rsidR="004E2E7A">
        <w:t>this risks leaving both existing ccTLD managers</w:t>
      </w:r>
      <w:r>
        <w:t xml:space="preserve"> and governments in limbo in the event </w:t>
      </w:r>
      <w:r w:rsidR="004E2E7A">
        <w:t>of a dispute</w:t>
      </w:r>
      <w:r>
        <w:t xml:space="preserve">. </w:t>
      </w:r>
      <w:r w:rsidR="004E2E7A">
        <w:t>While</w:t>
      </w:r>
      <w:r w:rsidR="00380600">
        <w:t xml:space="preserve"> we recognise that</w:t>
      </w:r>
      <w:r w:rsidR="004E2E7A">
        <w:t xml:space="preserve"> the existing process for delegation/redelegation needs improvement, these decisions should still be subject to review to ensure that due process has been followed and documented.</w:t>
      </w:r>
    </w:p>
    <w:p w14:paraId="5146BDFA" w14:textId="77777777" w:rsidR="00926304" w:rsidRPr="00926304" w:rsidRDefault="00926304" w:rsidP="00380600">
      <w:pPr>
        <w:spacing w:line="276" w:lineRule="auto"/>
        <w:ind w:left="720"/>
        <w:rPr>
          <w:b/>
        </w:rPr>
      </w:pPr>
    </w:p>
    <w:p w14:paraId="5146BDFB" w14:textId="77777777" w:rsidR="00926304" w:rsidRDefault="00926304" w:rsidP="00926304">
      <w:pPr>
        <w:ind w:left="720"/>
        <w:rPr>
          <w:b/>
        </w:rPr>
      </w:pPr>
      <w:r w:rsidRPr="00926304">
        <w:rPr>
          <w:b/>
        </w:rPr>
        <w:t>Late addition of a fundamental bylaw on Human Rights</w:t>
      </w:r>
    </w:p>
    <w:p w14:paraId="5146BDFC" w14:textId="77777777" w:rsidR="004E2E7A" w:rsidRDefault="004E2E7A" w:rsidP="00926304">
      <w:pPr>
        <w:ind w:left="720"/>
        <w:rPr>
          <w:b/>
        </w:rPr>
      </w:pPr>
    </w:p>
    <w:p w14:paraId="5146BDFD" w14:textId="117FC952" w:rsidR="004E2E7A" w:rsidRDefault="004E2E7A" w:rsidP="00E05C98">
      <w:pPr>
        <w:spacing w:line="276" w:lineRule="auto"/>
        <w:ind w:left="720"/>
        <w:jc w:val="both"/>
      </w:pPr>
      <w:proofErr w:type="gramStart"/>
      <w:r w:rsidRPr="004E2E7A">
        <w:t>Page 25, Paragraph 152</w:t>
      </w:r>
      <w:r>
        <w:t xml:space="preserve"> of the draft report notes that “the group has achieved consensus on including a human rights related commitment in ICANN’s Bylaws within its defined Mission.</w:t>
      </w:r>
      <w:proofErr w:type="gramEnd"/>
      <w:r>
        <w:t xml:space="preserve"> However, no particular wording currently proposed achieved consensus.” While we welcome </w:t>
      </w:r>
      <w:r w:rsidR="00E05C98">
        <w:t xml:space="preserve">a </w:t>
      </w:r>
      <w:r w:rsidR="00343D4E">
        <w:t xml:space="preserve">discussion of </w:t>
      </w:r>
      <w:r>
        <w:t xml:space="preserve">ICANN’s </w:t>
      </w:r>
      <w:r w:rsidR="00343D4E">
        <w:t>role in respecting human rights, and the possible inclusion of human rights as a bylaw within ICANN, we have some reservations with the inclusion of text at this late stage in the CCWG process.</w:t>
      </w:r>
    </w:p>
    <w:p w14:paraId="5146BDFE" w14:textId="77777777" w:rsidR="00343D4E" w:rsidRDefault="00343D4E" w:rsidP="00E05C98">
      <w:pPr>
        <w:spacing w:line="276" w:lineRule="auto"/>
        <w:ind w:left="720"/>
        <w:jc w:val="both"/>
      </w:pPr>
    </w:p>
    <w:p w14:paraId="5146BDFF" w14:textId="6857BC0B" w:rsidR="00343D4E" w:rsidRDefault="00343D4E" w:rsidP="00291467">
      <w:pPr>
        <w:spacing w:line="276" w:lineRule="auto"/>
        <w:ind w:left="720"/>
        <w:jc w:val="both"/>
      </w:pPr>
      <w:r>
        <w:t xml:space="preserve">As indicated by the recent establishment of a Cross-Community Working Party on ICANN’s Corporate and Social Responsibility to Respect Human Rights and the GAC Working Group on Human Rights and International Law, there is substantial community interest in developing a shared understand of ICANN’s role in </w:t>
      </w:r>
      <w:r w:rsidR="005E603A">
        <w:t xml:space="preserve">human rights. However, these working groups have also indicated that there is significant discussion to be had </w:t>
      </w:r>
      <w:r w:rsidR="00291467">
        <w:t>in order to develop</w:t>
      </w:r>
      <w:r w:rsidR="005E603A">
        <w:t xml:space="preserve"> a shared understanding of what ICANN’s role should be in human rights. This is further indicated by the challenge CCWG</w:t>
      </w:r>
      <w:r w:rsidR="00291467">
        <w:t>-</w:t>
      </w:r>
      <w:r w:rsidR="00291467">
        <w:lastRenderedPageBreak/>
        <w:t>Accountability</w:t>
      </w:r>
      <w:r w:rsidR="005E603A">
        <w:t xml:space="preserve"> has had in achieving consensus on the late addition of text to the bylaws.</w:t>
      </w:r>
    </w:p>
    <w:p w14:paraId="5146BE00" w14:textId="77777777" w:rsidR="005E603A" w:rsidRDefault="005E603A" w:rsidP="00291467">
      <w:pPr>
        <w:spacing w:line="276" w:lineRule="auto"/>
        <w:ind w:left="720"/>
        <w:jc w:val="both"/>
      </w:pPr>
    </w:p>
    <w:p w14:paraId="5146BE01" w14:textId="34CF97FC" w:rsidR="005E603A" w:rsidRPr="004E2E7A" w:rsidRDefault="005E603A" w:rsidP="00291467">
      <w:pPr>
        <w:spacing w:line="276" w:lineRule="auto"/>
        <w:ind w:left="720"/>
        <w:jc w:val="both"/>
      </w:pPr>
      <w:r>
        <w:t xml:space="preserve">We consider it is important to develop a shared understanding </w:t>
      </w:r>
      <w:r w:rsidR="00291467">
        <w:t xml:space="preserve">of ICANN’s role in human rights </w:t>
      </w:r>
      <w:r>
        <w:t xml:space="preserve">and </w:t>
      </w:r>
      <w:r w:rsidR="00291467">
        <w:t xml:space="preserve">in developing </w:t>
      </w:r>
      <w:r>
        <w:t>consensus bylaw text</w:t>
      </w:r>
      <w:r w:rsidR="00291467">
        <w:t>.</w:t>
      </w:r>
      <w:r>
        <w:t xml:space="preserve"> </w:t>
      </w:r>
      <w:r w:rsidR="00291467">
        <w:t>T</w:t>
      </w:r>
      <w:r>
        <w:t>his process should not be rushed. We would question whether the addition of such text is a necessary for the successful transition of the IANA Stewardship role, or whether it would be more appropriate to consider this in the context of Work Stream 2, allowing further time for the community to reach consensus.</w:t>
      </w:r>
    </w:p>
    <w:sectPr w:rsidR="005E603A" w:rsidRPr="004E2E7A" w:rsidSect="00F12755">
      <w:headerReference w:type="default" r:id="rId7"/>
      <w:footerReference w:type="default" r:id="rId8"/>
      <w:pgSz w:w="11906" w:h="16838"/>
      <w:pgMar w:top="2722" w:right="1701" w:bottom="1418"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6BE04" w14:textId="77777777" w:rsidR="00F12755" w:rsidRDefault="00F12755">
      <w:r>
        <w:separator/>
      </w:r>
    </w:p>
  </w:endnote>
  <w:endnote w:type="continuationSeparator" w:id="0">
    <w:p w14:paraId="5146BE05" w14:textId="77777777" w:rsidR="00F12755" w:rsidRDefault="00F1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BE0D" w14:textId="77777777" w:rsidR="00F12755" w:rsidRPr="00822A75" w:rsidRDefault="00F12755" w:rsidP="00F12755">
    <w:pPr>
      <w:pStyle w:val="WorkgroupFooter"/>
      <w:spacing w:after="0"/>
    </w:pPr>
    <w:r>
      <w:t>Commerce, Consumers, and Communications Branch</w:t>
    </w:r>
    <w:r>
      <w:rPr>
        <w:noProof/>
        <w:lang w:eastAsia="ja-JP"/>
      </w:rPr>
      <w:drawing>
        <wp:anchor distT="0" distB="0" distL="114300" distR="114300" simplePos="0" relativeHeight="251659264" behindDoc="1" locked="1" layoutInCell="1" allowOverlap="1" wp14:anchorId="5146BE13" wp14:editId="5146BE14">
          <wp:simplePos x="0" y="0"/>
          <wp:positionH relativeFrom="column">
            <wp:posOffset>-822960</wp:posOffset>
          </wp:positionH>
          <wp:positionV relativeFrom="page">
            <wp:posOffset>10001250</wp:posOffset>
          </wp:positionV>
          <wp:extent cx="1600200"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E colour footer.png"/>
                  <pic:cNvPicPr/>
                </pic:nvPicPr>
                <pic:blipFill rotWithShape="1">
                  <a:blip r:embed="rId1">
                    <a:extLst>
                      <a:ext uri="{28A0092B-C50C-407E-A947-70E740481C1C}">
                        <a14:useLocalDpi xmlns:a14="http://schemas.microsoft.com/office/drawing/2010/main" val="0"/>
                      </a:ext>
                    </a:extLst>
                  </a:blip>
                  <a:srcRect b="28695"/>
                  <a:stretch/>
                </pic:blipFill>
                <pic:spPr bwMode="auto">
                  <a:xfrm>
                    <a:off x="0" y="0"/>
                    <a:ext cx="160020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6BE0E" w14:textId="77777777" w:rsidR="00F12755" w:rsidRDefault="00F12755" w:rsidP="00F12755">
    <w:pPr>
      <w:pStyle w:val="AddressFooter"/>
    </w:pPr>
    <w:r>
      <w:t>Ministry of Business, Innovation and Employment</w:t>
    </w:r>
  </w:p>
  <w:p w14:paraId="5146BE0F" w14:textId="77777777" w:rsidR="00F12755" w:rsidRDefault="00F12755" w:rsidP="00F12755">
    <w:pPr>
      <w:pStyle w:val="AddressFooter"/>
    </w:pPr>
    <w:r>
      <w:t>15 Stout Street, PO Box 1473, Wellington 6140, NEW ZEALAND</w:t>
    </w:r>
  </w:p>
  <w:p w14:paraId="5146BE10" w14:textId="77777777" w:rsidR="00F12755" w:rsidRDefault="00F12755" w:rsidP="00F12755">
    <w:pPr>
      <w:pStyle w:val="AddressFooter"/>
    </w:pPr>
    <w:bookmarkStart w:id="5" w:name="bkmDocID"/>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6BE02" w14:textId="77777777" w:rsidR="00F12755" w:rsidRDefault="00F12755">
      <w:r>
        <w:separator/>
      </w:r>
    </w:p>
  </w:footnote>
  <w:footnote w:type="continuationSeparator" w:id="0">
    <w:p w14:paraId="5146BE03" w14:textId="77777777" w:rsidR="00F12755" w:rsidRDefault="00F1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BE06" w14:textId="77777777" w:rsidR="00F12755" w:rsidRDefault="00F12755">
    <w:pPr>
      <w:pStyle w:val="Header"/>
    </w:pPr>
    <w:r>
      <w:rPr>
        <w:noProof/>
        <w:lang w:eastAsia="ja-JP"/>
      </w:rPr>
      <w:drawing>
        <wp:anchor distT="0" distB="0" distL="114300" distR="114300" simplePos="0" relativeHeight="251660288" behindDoc="1" locked="1" layoutInCell="1" allowOverlap="1" wp14:anchorId="5146BE11" wp14:editId="5146BE12">
          <wp:simplePos x="0" y="0"/>
          <wp:positionH relativeFrom="column">
            <wp:posOffset>3279775</wp:posOffset>
          </wp:positionH>
          <wp:positionV relativeFrom="page">
            <wp:posOffset>6350</wp:posOffset>
          </wp:positionV>
          <wp:extent cx="3235960" cy="1144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E logo.png"/>
                  <pic:cNvPicPr/>
                </pic:nvPicPr>
                <pic:blipFill>
                  <a:blip r:embed="rId1">
                    <a:extLst>
                      <a:ext uri="{28A0092B-C50C-407E-A947-70E740481C1C}">
                        <a14:useLocalDpi xmlns:a14="http://schemas.microsoft.com/office/drawing/2010/main" val="0"/>
                      </a:ext>
                    </a:extLst>
                  </a:blip>
                  <a:stretch>
                    <a:fillRect/>
                  </a:stretch>
                </pic:blipFill>
                <pic:spPr>
                  <a:xfrm>
                    <a:off x="0" y="0"/>
                    <a:ext cx="3235960" cy="1144270"/>
                  </a:xfrm>
                  <a:prstGeom prst="rect">
                    <a:avLst/>
                  </a:prstGeom>
                </pic:spPr>
              </pic:pic>
            </a:graphicData>
          </a:graphic>
          <wp14:sizeRelH relativeFrom="page">
            <wp14:pctWidth>0</wp14:pctWidth>
          </wp14:sizeRelH>
          <wp14:sizeRelV relativeFrom="page">
            <wp14:pctHeight>0</wp14:pctHeight>
          </wp14:sizeRelV>
        </wp:anchor>
      </w:drawing>
    </w:r>
  </w:p>
  <w:p w14:paraId="5146BE07" w14:textId="77777777" w:rsidR="00F12755" w:rsidRDefault="00F12755">
    <w:pPr>
      <w:pStyle w:val="Header"/>
    </w:pPr>
  </w:p>
  <w:p w14:paraId="5146BE08" w14:textId="77777777" w:rsidR="00F12755" w:rsidRDefault="00F12755">
    <w:pPr>
      <w:pStyle w:val="Header"/>
    </w:pPr>
  </w:p>
  <w:p w14:paraId="5146BE09" w14:textId="77777777" w:rsidR="00F12755" w:rsidRDefault="00F12755">
    <w:pPr>
      <w:pStyle w:val="Header"/>
    </w:pPr>
  </w:p>
  <w:p w14:paraId="5146BE0A" w14:textId="77777777" w:rsidR="00F12755" w:rsidRDefault="00F12755">
    <w:pPr>
      <w:pStyle w:val="Header"/>
    </w:pPr>
  </w:p>
  <w:p w14:paraId="5146BE0B" w14:textId="77777777" w:rsidR="00F12755" w:rsidRDefault="00F12755">
    <w:pPr>
      <w:pStyle w:val="Header"/>
    </w:pPr>
  </w:p>
  <w:p w14:paraId="5146BE0C" w14:textId="77777777" w:rsidR="00F12755" w:rsidRDefault="00F12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D5"/>
    <w:rsid w:val="000247D2"/>
    <w:rsid w:val="000908D5"/>
    <w:rsid w:val="001571C5"/>
    <w:rsid w:val="00190F06"/>
    <w:rsid w:val="00275743"/>
    <w:rsid w:val="00291467"/>
    <w:rsid w:val="002D5572"/>
    <w:rsid w:val="00343D4E"/>
    <w:rsid w:val="00380600"/>
    <w:rsid w:val="004E2E7A"/>
    <w:rsid w:val="005321B6"/>
    <w:rsid w:val="005A6B60"/>
    <w:rsid w:val="005E603A"/>
    <w:rsid w:val="00615DD4"/>
    <w:rsid w:val="006518B0"/>
    <w:rsid w:val="00651BD5"/>
    <w:rsid w:val="00691AA6"/>
    <w:rsid w:val="0069300E"/>
    <w:rsid w:val="006A462C"/>
    <w:rsid w:val="00773E6F"/>
    <w:rsid w:val="00871335"/>
    <w:rsid w:val="00926304"/>
    <w:rsid w:val="00A36470"/>
    <w:rsid w:val="00CF3805"/>
    <w:rsid w:val="00D55926"/>
    <w:rsid w:val="00D65E9C"/>
    <w:rsid w:val="00E05C98"/>
    <w:rsid w:val="00E95109"/>
    <w:rsid w:val="00F12755"/>
    <w:rsid w:val="00F348D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D5"/>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51BD5"/>
    <w:pPr>
      <w:tabs>
        <w:tab w:val="center" w:pos="4513"/>
        <w:tab w:val="right" w:pos="9026"/>
      </w:tabs>
    </w:pPr>
  </w:style>
  <w:style w:type="character" w:customStyle="1" w:styleId="HeaderChar">
    <w:name w:val="Header Char"/>
    <w:basedOn w:val="DefaultParagraphFont"/>
    <w:link w:val="Header"/>
    <w:uiPriority w:val="99"/>
    <w:semiHidden/>
    <w:rsid w:val="00651BD5"/>
    <w:rPr>
      <w:rFonts w:eastAsiaTheme="minorHAnsi"/>
      <w:lang w:eastAsia="en-US"/>
    </w:rPr>
  </w:style>
  <w:style w:type="paragraph" w:customStyle="1" w:styleId="AddressBlock">
    <w:name w:val="Address Block"/>
    <w:basedOn w:val="Normal"/>
    <w:uiPriority w:val="99"/>
    <w:qFormat/>
    <w:rsid w:val="00651BD5"/>
  </w:style>
  <w:style w:type="paragraph" w:customStyle="1" w:styleId="WorkgroupFooter">
    <w:name w:val="Workgroup Footer"/>
    <w:basedOn w:val="Footer"/>
    <w:next w:val="AddressFooter"/>
    <w:uiPriority w:val="99"/>
    <w:qFormat/>
    <w:rsid w:val="00651BD5"/>
    <w:pPr>
      <w:spacing w:after="120"/>
      <w:ind w:left="1457"/>
    </w:pPr>
    <w:rPr>
      <w:b/>
      <w:sz w:val="14"/>
    </w:rPr>
  </w:style>
  <w:style w:type="paragraph" w:customStyle="1" w:styleId="AddressFooter">
    <w:name w:val="Address Footer"/>
    <w:basedOn w:val="Footer"/>
    <w:uiPriority w:val="99"/>
    <w:qFormat/>
    <w:rsid w:val="00651BD5"/>
    <w:pPr>
      <w:spacing w:before="120"/>
      <w:ind w:left="1457"/>
      <w:contextualSpacing/>
    </w:pPr>
    <w:rPr>
      <w:sz w:val="14"/>
    </w:rPr>
  </w:style>
  <w:style w:type="paragraph" w:styleId="Footer">
    <w:name w:val="footer"/>
    <w:basedOn w:val="Normal"/>
    <w:link w:val="FooterChar"/>
    <w:uiPriority w:val="99"/>
    <w:semiHidden/>
    <w:unhideWhenUsed/>
    <w:rsid w:val="00651BD5"/>
    <w:pPr>
      <w:tabs>
        <w:tab w:val="center" w:pos="4513"/>
        <w:tab w:val="right" w:pos="9026"/>
      </w:tabs>
    </w:pPr>
  </w:style>
  <w:style w:type="character" w:customStyle="1" w:styleId="FooterChar">
    <w:name w:val="Footer Char"/>
    <w:basedOn w:val="DefaultParagraphFont"/>
    <w:link w:val="Footer"/>
    <w:uiPriority w:val="99"/>
    <w:semiHidden/>
    <w:rsid w:val="00651BD5"/>
    <w:rPr>
      <w:rFonts w:eastAsiaTheme="minorHAnsi"/>
      <w:lang w:eastAsia="en-US"/>
    </w:rPr>
  </w:style>
  <w:style w:type="paragraph" w:styleId="FootnoteText">
    <w:name w:val="footnote text"/>
    <w:basedOn w:val="Normal"/>
    <w:link w:val="FootnoteTextChar"/>
    <w:uiPriority w:val="99"/>
    <w:unhideWhenUsed/>
    <w:rsid w:val="00651BD5"/>
    <w:rPr>
      <w:rFonts w:eastAsiaTheme="minorEastAsia"/>
      <w:sz w:val="20"/>
      <w:szCs w:val="20"/>
      <w:lang w:eastAsia="ja-JP"/>
    </w:rPr>
  </w:style>
  <w:style w:type="character" w:customStyle="1" w:styleId="FootnoteTextChar">
    <w:name w:val="Footnote Text Char"/>
    <w:basedOn w:val="DefaultParagraphFont"/>
    <w:link w:val="FootnoteText"/>
    <w:uiPriority w:val="99"/>
    <w:rsid w:val="00651BD5"/>
    <w:rPr>
      <w:sz w:val="20"/>
      <w:szCs w:val="20"/>
    </w:rPr>
  </w:style>
  <w:style w:type="character" w:styleId="CommentReference">
    <w:name w:val="annotation reference"/>
    <w:basedOn w:val="DefaultParagraphFont"/>
    <w:uiPriority w:val="99"/>
    <w:semiHidden/>
    <w:unhideWhenUsed/>
    <w:rsid w:val="00190F06"/>
    <w:rPr>
      <w:sz w:val="16"/>
      <w:szCs w:val="16"/>
    </w:rPr>
  </w:style>
  <w:style w:type="paragraph" w:styleId="CommentText">
    <w:name w:val="annotation text"/>
    <w:basedOn w:val="Normal"/>
    <w:link w:val="CommentTextChar"/>
    <w:uiPriority w:val="99"/>
    <w:semiHidden/>
    <w:unhideWhenUsed/>
    <w:rsid w:val="00190F06"/>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190F06"/>
    <w:rPr>
      <w:sz w:val="20"/>
      <w:szCs w:val="20"/>
      <w:lang w:val="en-US" w:eastAsia="en-US"/>
    </w:rPr>
  </w:style>
  <w:style w:type="paragraph" w:styleId="BalloonText">
    <w:name w:val="Balloon Text"/>
    <w:basedOn w:val="Normal"/>
    <w:link w:val="BalloonTextChar"/>
    <w:uiPriority w:val="99"/>
    <w:semiHidden/>
    <w:unhideWhenUsed/>
    <w:rsid w:val="00190F06"/>
    <w:rPr>
      <w:rFonts w:ascii="Tahoma" w:hAnsi="Tahoma" w:cs="Tahoma"/>
      <w:sz w:val="16"/>
      <w:szCs w:val="16"/>
    </w:rPr>
  </w:style>
  <w:style w:type="character" w:customStyle="1" w:styleId="BalloonTextChar">
    <w:name w:val="Balloon Text Char"/>
    <w:basedOn w:val="DefaultParagraphFont"/>
    <w:link w:val="BalloonText"/>
    <w:uiPriority w:val="99"/>
    <w:semiHidden/>
    <w:rsid w:val="00190F0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D5"/>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51BD5"/>
    <w:pPr>
      <w:tabs>
        <w:tab w:val="center" w:pos="4513"/>
        <w:tab w:val="right" w:pos="9026"/>
      </w:tabs>
    </w:pPr>
  </w:style>
  <w:style w:type="character" w:customStyle="1" w:styleId="HeaderChar">
    <w:name w:val="Header Char"/>
    <w:basedOn w:val="DefaultParagraphFont"/>
    <w:link w:val="Header"/>
    <w:uiPriority w:val="99"/>
    <w:semiHidden/>
    <w:rsid w:val="00651BD5"/>
    <w:rPr>
      <w:rFonts w:eastAsiaTheme="minorHAnsi"/>
      <w:lang w:eastAsia="en-US"/>
    </w:rPr>
  </w:style>
  <w:style w:type="paragraph" w:customStyle="1" w:styleId="AddressBlock">
    <w:name w:val="Address Block"/>
    <w:basedOn w:val="Normal"/>
    <w:uiPriority w:val="99"/>
    <w:qFormat/>
    <w:rsid w:val="00651BD5"/>
  </w:style>
  <w:style w:type="paragraph" w:customStyle="1" w:styleId="WorkgroupFooter">
    <w:name w:val="Workgroup Footer"/>
    <w:basedOn w:val="Footer"/>
    <w:next w:val="AddressFooter"/>
    <w:uiPriority w:val="99"/>
    <w:qFormat/>
    <w:rsid w:val="00651BD5"/>
    <w:pPr>
      <w:spacing w:after="120"/>
      <w:ind w:left="1457"/>
    </w:pPr>
    <w:rPr>
      <w:b/>
      <w:sz w:val="14"/>
    </w:rPr>
  </w:style>
  <w:style w:type="paragraph" w:customStyle="1" w:styleId="AddressFooter">
    <w:name w:val="Address Footer"/>
    <w:basedOn w:val="Footer"/>
    <w:uiPriority w:val="99"/>
    <w:qFormat/>
    <w:rsid w:val="00651BD5"/>
    <w:pPr>
      <w:spacing w:before="120"/>
      <w:ind w:left="1457"/>
      <w:contextualSpacing/>
    </w:pPr>
    <w:rPr>
      <w:sz w:val="14"/>
    </w:rPr>
  </w:style>
  <w:style w:type="paragraph" w:styleId="Footer">
    <w:name w:val="footer"/>
    <w:basedOn w:val="Normal"/>
    <w:link w:val="FooterChar"/>
    <w:uiPriority w:val="99"/>
    <w:semiHidden/>
    <w:unhideWhenUsed/>
    <w:rsid w:val="00651BD5"/>
    <w:pPr>
      <w:tabs>
        <w:tab w:val="center" w:pos="4513"/>
        <w:tab w:val="right" w:pos="9026"/>
      </w:tabs>
    </w:pPr>
  </w:style>
  <w:style w:type="character" w:customStyle="1" w:styleId="FooterChar">
    <w:name w:val="Footer Char"/>
    <w:basedOn w:val="DefaultParagraphFont"/>
    <w:link w:val="Footer"/>
    <w:uiPriority w:val="99"/>
    <w:semiHidden/>
    <w:rsid w:val="00651BD5"/>
    <w:rPr>
      <w:rFonts w:eastAsiaTheme="minorHAnsi"/>
      <w:lang w:eastAsia="en-US"/>
    </w:rPr>
  </w:style>
  <w:style w:type="paragraph" w:styleId="FootnoteText">
    <w:name w:val="footnote text"/>
    <w:basedOn w:val="Normal"/>
    <w:link w:val="FootnoteTextChar"/>
    <w:uiPriority w:val="99"/>
    <w:unhideWhenUsed/>
    <w:rsid w:val="00651BD5"/>
    <w:rPr>
      <w:rFonts w:eastAsiaTheme="minorEastAsia"/>
      <w:sz w:val="20"/>
      <w:szCs w:val="20"/>
      <w:lang w:eastAsia="ja-JP"/>
    </w:rPr>
  </w:style>
  <w:style w:type="character" w:customStyle="1" w:styleId="FootnoteTextChar">
    <w:name w:val="Footnote Text Char"/>
    <w:basedOn w:val="DefaultParagraphFont"/>
    <w:link w:val="FootnoteText"/>
    <w:uiPriority w:val="99"/>
    <w:rsid w:val="00651BD5"/>
    <w:rPr>
      <w:sz w:val="20"/>
      <w:szCs w:val="20"/>
    </w:rPr>
  </w:style>
  <w:style w:type="character" w:styleId="CommentReference">
    <w:name w:val="annotation reference"/>
    <w:basedOn w:val="DefaultParagraphFont"/>
    <w:uiPriority w:val="99"/>
    <w:semiHidden/>
    <w:unhideWhenUsed/>
    <w:rsid w:val="00190F06"/>
    <w:rPr>
      <w:sz w:val="16"/>
      <w:szCs w:val="16"/>
    </w:rPr>
  </w:style>
  <w:style w:type="paragraph" w:styleId="CommentText">
    <w:name w:val="annotation text"/>
    <w:basedOn w:val="Normal"/>
    <w:link w:val="CommentTextChar"/>
    <w:uiPriority w:val="99"/>
    <w:semiHidden/>
    <w:unhideWhenUsed/>
    <w:rsid w:val="00190F06"/>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190F06"/>
    <w:rPr>
      <w:sz w:val="20"/>
      <w:szCs w:val="20"/>
      <w:lang w:val="en-US" w:eastAsia="en-US"/>
    </w:rPr>
  </w:style>
  <w:style w:type="paragraph" w:styleId="BalloonText">
    <w:name w:val="Balloon Text"/>
    <w:basedOn w:val="Normal"/>
    <w:link w:val="BalloonTextChar"/>
    <w:uiPriority w:val="99"/>
    <w:semiHidden/>
    <w:unhideWhenUsed/>
    <w:rsid w:val="00190F06"/>
    <w:rPr>
      <w:rFonts w:ascii="Tahoma" w:hAnsi="Tahoma" w:cs="Tahoma"/>
      <w:sz w:val="16"/>
      <w:szCs w:val="16"/>
    </w:rPr>
  </w:style>
  <w:style w:type="character" w:customStyle="1" w:styleId="BalloonTextChar">
    <w:name w:val="Balloon Text Char"/>
    <w:basedOn w:val="DefaultParagraphFont"/>
    <w:link w:val="BalloonText"/>
    <w:uiPriority w:val="99"/>
    <w:semiHidden/>
    <w:rsid w:val="00190F0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53BD547B</Template>
  <TotalTime>6</TotalTime>
  <Pages>4</Pages>
  <Words>1120</Words>
  <Characters>6214</Characters>
  <Application>Microsoft Office Word</Application>
  <DocSecurity>0</DocSecurity>
  <Lines>135</Lines>
  <Paragraphs>25</Paragraphs>
  <ScaleCrop>false</ScaleCrop>
  <HeadingPairs>
    <vt:vector size="2" baseType="variant">
      <vt:variant>
        <vt:lpstr>Title</vt:lpstr>
      </vt:variant>
      <vt:variant>
        <vt:i4>1</vt:i4>
      </vt:variant>
    </vt:vector>
  </HeadingPairs>
  <TitlesOfParts>
    <vt:vector size="1" baseType="lpstr">
      <vt:lpstr/>
    </vt:vector>
  </TitlesOfParts>
  <Manager>28503850</Manager>
  <Company>Ministry of Economic Development</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Treloar</dc:creator>
  <cp:keywords/>
  <dc:description/>
  <cp:lastModifiedBy>Nicola Treloar</cp:lastModifiedBy>
  <cp:revision>7</cp:revision>
  <dcterms:created xsi:type="dcterms:W3CDTF">2015-09-08T05:22:00Z</dcterms:created>
  <dcterms:modified xsi:type="dcterms:W3CDTF">2015-09-10T20:36:00Z</dcterms:modified>
  <cp:category>28503850</cp:category>
</cp:coreProperties>
</file>