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8D52C" w14:textId="5269BF05" w:rsidR="00FE44E2" w:rsidRPr="00F97C4A" w:rsidRDefault="00744FBC" w:rsidP="00FE44E2">
      <w:pPr>
        <w:rPr>
          <w:rFonts w:asciiTheme="majorHAnsi" w:eastAsia="Times New Roman" w:hAnsiTheme="majorHAnsi" w:cs="Times New Roman"/>
          <w:sz w:val="28"/>
          <w:szCs w:val="28"/>
        </w:rPr>
      </w:pPr>
      <w:r w:rsidRPr="00F97C4A">
        <w:rPr>
          <w:rFonts w:asciiTheme="majorHAnsi" w:hAnsiTheme="majorHAnsi" w:cs="Cambria"/>
          <w:sz w:val="28"/>
          <w:szCs w:val="28"/>
        </w:rPr>
        <w:t>Under 15</w:t>
      </w:r>
      <w:bookmarkStart w:id="0" w:name="_GoBack"/>
      <w:bookmarkEnd w:id="0"/>
      <w:r w:rsidRPr="00F97C4A">
        <w:rPr>
          <w:rFonts w:asciiTheme="majorHAnsi" w:hAnsiTheme="majorHAnsi" w:cs="Cambria"/>
          <w:sz w:val="28"/>
          <w:szCs w:val="28"/>
        </w:rPr>
        <w:t xml:space="preserve"> U.S.C. 1525, t</w:t>
      </w:r>
      <w:r w:rsidR="00C26974" w:rsidRPr="00F97C4A">
        <w:rPr>
          <w:rFonts w:asciiTheme="majorHAnsi" w:hAnsiTheme="majorHAnsi" w:cs="Cambria"/>
          <w:sz w:val="28"/>
          <w:szCs w:val="28"/>
        </w:rPr>
        <w:t xml:space="preserve">he U.S. Department of Commerce (“DOC”) </w:t>
      </w:r>
      <w:r w:rsidR="00DC7815" w:rsidRPr="00F97C4A">
        <w:rPr>
          <w:rFonts w:asciiTheme="majorHAnsi" w:hAnsiTheme="majorHAnsi" w:cs="Cambria"/>
          <w:sz w:val="28"/>
          <w:szCs w:val="28"/>
        </w:rPr>
        <w:t>should not exercise</w:t>
      </w:r>
      <w:r w:rsidRPr="00F97C4A">
        <w:rPr>
          <w:rFonts w:asciiTheme="majorHAnsi" w:hAnsiTheme="majorHAnsi" w:cs="Cambria"/>
          <w:sz w:val="28"/>
          <w:szCs w:val="28"/>
        </w:rPr>
        <w:t xml:space="preserve"> Joint Project Authority (“JPA”) with ICANN </w:t>
      </w:r>
      <w:r w:rsidR="003B479C" w:rsidRPr="00F97C4A">
        <w:rPr>
          <w:rFonts w:asciiTheme="majorHAnsi" w:hAnsiTheme="majorHAnsi" w:cs="Cambria"/>
          <w:sz w:val="28"/>
          <w:szCs w:val="28"/>
        </w:rPr>
        <w:t xml:space="preserve">for the IANA transition </w:t>
      </w:r>
      <w:r w:rsidR="00DC7815" w:rsidRPr="00F97C4A">
        <w:rPr>
          <w:rFonts w:asciiTheme="majorHAnsi" w:hAnsiTheme="majorHAnsi" w:cs="Cambria"/>
          <w:sz w:val="28"/>
          <w:szCs w:val="28"/>
        </w:rPr>
        <w:t>and should instead follow</w:t>
      </w:r>
      <w:r w:rsidRPr="00F97C4A">
        <w:rPr>
          <w:rFonts w:asciiTheme="majorHAnsi" w:hAnsiTheme="majorHAnsi" w:cs="Cambria"/>
          <w:sz w:val="28"/>
          <w:szCs w:val="28"/>
        </w:rPr>
        <w:t xml:space="preserve"> statutory and regulatory requirements relating to the award of procurement contracts</w:t>
      </w:r>
      <w:r w:rsidR="007B563E" w:rsidRPr="00F97C4A">
        <w:rPr>
          <w:rFonts w:asciiTheme="majorHAnsi" w:hAnsiTheme="majorHAnsi" w:cs="Cambria"/>
          <w:sz w:val="28"/>
          <w:szCs w:val="28"/>
        </w:rPr>
        <w:t xml:space="preserve"> in relation to the delegation of the IANA function away from the National Telecommunications and Information Administration (“NTIA”)</w:t>
      </w:r>
      <w:r w:rsidR="00DC7815" w:rsidRPr="00F97C4A">
        <w:rPr>
          <w:rFonts w:asciiTheme="majorHAnsi" w:hAnsiTheme="majorHAnsi" w:cs="Cambria"/>
          <w:sz w:val="28"/>
          <w:szCs w:val="28"/>
        </w:rPr>
        <w:t xml:space="preserve">.  The DOC should not be allowed to </w:t>
      </w:r>
      <w:r w:rsidR="00C26974" w:rsidRPr="00F97C4A">
        <w:rPr>
          <w:rFonts w:asciiTheme="majorHAnsi" w:hAnsiTheme="majorHAnsi" w:cs="Cambria"/>
          <w:sz w:val="28"/>
          <w:szCs w:val="28"/>
        </w:rPr>
        <w:t xml:space="preserve">sole source </w:t>
      </w:r>
      <w:r w:rsidR="00DC7815" w:rsidRPr="00F97C4A">
        <w:rPr>
          <w:rFonts w:asciiTheme="majorHAnsi" w:hAnsiTheme="majorHAnsi" w:cs="Cambria"/>
          <w:sz w:val="28"/>
          <w:szCs w:val="28"/>
        </w:rPr>
        <w:t xml:space="preserve">both the DNS and </w:t>
      </w:r>
      <w:r w:rsidR="00C26974" w:rsidRPr="00F97C4A">
        <w:rPr>
          <w:rFonts w:asciiTheme="majorHAnsi" w:hAnsiTheme="majorHAnsi" w:cs="Cambria"/>
          <w:sz w:val="28"/>
          <w:szCs w:val="28"/>
        </w:rPr>
        <w:t xml:space="preserve">the IANA functions to </w:t>
      </w:r>
      <w:r w:rsidR="007B563E" w:rsidRPr="00F97C4A">
        <w:rPr>
          <w:rFonts w:asciiTheme="majorHAnsi" w:hAnsiTheme="majorHAnsi" w:cs="Cambria"/>
          <w:sz w:val="28"/>
          <w:szCs w:val="28"/>
        </w:rPr>
        <w:t xml:space="preserve">the same entity, namely </w:t>
      </w:r>
      <w:r w:rsidR="00C26974" w:rsidRPr="00F97C4A">
        <w:rPr>
          <w:rFonts w:asciiTheme="majorHAnsi" w:hAnsiTheme="majorHAnsi" w:cs="Cambria"/>
          <w:sz w:val="28"/>
          <w:szCs w:val="28"/>
        </w:rPr>
        <w:t>the Internet Corporation for Assigned Names and Numbers (“ICANN”)</w:t>
      </w:r>
      <w:r w:rsidR="00475388">
        <w:rPr>
          <w:rFonts w:asciiTheme="majorHAnsi" w:hAnsiTheme="majorHAnsi" w:cs="Cambria"/>
          <w:sz w:val="28"/>
          <w:szCs w:val="28"/>
        </w:rPr>
        <w:t xml:space="preserve"> and should diversif</w:t>
      </w:r>
      <w:r w:rsidR="007B563E" w:rsidRPr="00F97C4A">
        <w:rPr>
          <w:rFonts w:asciiTheme="majorHAnsi" w:hAnsiTheme="majorHAnsi" w:cs="Cambria"/>
          <w:sz w:val="28"/>
          <w:szCs w:val="28"/>
        </w:rPr>
        <w:t>y control of the Internet architecture to prevent capture</w:t>
      </w:r>
      <w:r w:rsidRPr="00F97C4A">
        <w:rPr>
          <w:rFonts w:asciiTheme="majorHAnsi" w:hAnsiTheme="majorHAnsi" w:cs="Cambria"/>
          <w:sz w:val="28"/>
          <w:szCs w:val="28"/>
        </w:rPr>
        <w:t xml:space="preserve">.  </w:t>
      </w:r>
      <w:r w:rsidR="00C26974" w:rsidRPr="00F97C4A">
        <w:rPr>
          <w:rFonts w:asciiTheme="majorHAnsi" w:hAnsiTheme="majorHAnsi" w:cs="Cambria"/>
          <w:sz w:val="28"/>
          <w:szCs w:val="28"/>
        </w:rPr>
        <w:t xml:space="preserve"> The IANA functions serve as a key component of the Internet architecture with widespread global impacts</w:t>
      </w:r>
      <w:r w:rsidR="00DC7815" w:rsidRPr="00F97C4A">
        <w:rPr>
          <w:rFonts w:asciiTheme="majorHAnsi" w:hAnsiTheme="majorHAnsi" w:cs="Cambria"/>
          <w:sz w:val="28"/>
          <w:szCs w:val="28"/>
        </w:rPr>
        <w:t>.  Contract diversity is necessary for a global resource such as the Internet</w:t>
      </w:r>
      <w:r w:rsidR="00C26974" w:rsidRPr="00F97C4A">
        <w:rPr>
          <w:rFonts w:asciiTheme="majorHAnsi" w:hAnsiTheme="majorHAnsi" w:cs="Cambria"/>
          <w:sz w:val="28"/>
          <w:szCs w:val="28"/>
        </w:rPr>
        <w:t>.  The U.S. Government, Internet Stakeholders and the Internet Community as a whole cannot afford to allow ICANN or any other single entity to possess both the naming and numbering functions of the Internet where it could fall prey to undue influence by foreign governments or allow such corruption to take hold and control the global Internet</w:t>
      </w:r>
      <w:r w:rsidR="007B563E" w:rsidRPr="00F97C4A">
        <w:rPr>
          <w:rFonts w:asciiTheme="majorHAnsi" w:hAnsiTheme="majorHAnsi" w:cs="Cambria"/>
          <w:sz w:val="28"/>
          <w:szCs w:val="28"/>
        </w:rPr>
        <w:t xml:space="preserve"> resource we all come to rely on in our day to day businesses and personal lives</w:t>
      </w:r>
      <w:r w:rsidR="00C26974" w:rsidRPr="00F97C4A">
        <w:rPr>
          <w:rFonts w:asciiTheme="majorHAnsi" w:hAnsiTheme="majorHAnsi" w:cs="Cambria"/>
          <w:sz w:val="28"/>
          <w:szCs w:val="28"/>
        </w:rPr>
        <w:t>.  To do so, would prove catastrophic to governments</w:t>
      </w:r>
      <w:r w:rsidR="007B563E" w:rsidRPr="00F97C4A">
        <w:rPr>
          <w:rFonts w:asciiTheme="majorHAnsi" w:hAnsiTheme="majorHAnsi" w:cs="Cambria"/>
          <w:sz w:val="28"/>
          <w:szCs w:val="28"/>
        </w:rPr>
        <w:t>, the public, businesses and</w:t>
      </w:r>
      <w:r w:rsidR="00C26974" w:rsidRPr="00F97C4A">
        <w:rPr>
          <w:rFonts w:asciiTheme="majorHAnsi" w:hAnsiTheme="majorHAnsi" w:cs="Cambria"/>
          <w:sz w:val="28"/>
          <w:szCs w:val="28"/>
        </w:rPr>
        <w:t xml:space="preserve"> economies worldwide.   </w:t>
      </w:r>
    </w:p>
    <w:p w14:paraId="7A6825DA" w14:textId="77777777" w:rsidR="00C26974" w:rsidRPr="00F97C4A" w:rsidRDefault="00C26974" w:rsidP="00FE44E2">
      <w:pPr>
        <w:rPr>
          <w:rFonts w:asciiTheme="majorHAnsi" w:hAnsiTheme="majorHAnsi"/>
          <w:sz w:val="28"/>
          <w:szCs w:val="28"/>
        </w:rPr>
      </w:pPr>
    </w:p>
    <w:p w14:paraId="2886103F" w14:textId="0429E7BE" w:rsidR="008052E5" w:rsidRPr="00F97C4A" w:rsidRDefault="00557F79" w:rsidP="00557F79">
      <w:pPr>
        <w:rPr>
          <w:rFonts w:asciiTheme="majorHAnsi" w:hAnsiTheme="majorHAnsi"/>
          <w:sz w:val="28"/>
          <w:szCs w:val="28"/>
        </w:rPr>
      </w:pPr>
      <w:r w:rsidRPr="00F97C4A">
        <w:rPr>
          <w:rFonts w:asciiTheme="majorHAnsi" w:hAnsiTheme="majorHAnsi"/>
          <w:sz w:val="28"/>
          <w:szCs w:val="28"/>
        </w:rPr>
        <w:t xml:space="preserve">As recently seen in the </w:t>
      </w:r>
      <w:r w:rsidRPr="00F97C4A">
        <w:rPr>
          <w:rFonts w:asciiTheme="majorHAnsi" w:hAnsiTheme="majorHAnsi"/>
          <w:i/>
          <w:sz w:val="28"/>
          <w:szCs w:val="28"/>
        </w:rPr>
        <w:t>DCA Trust v. ICANN (.AFRICA)</w:t>
      </w:r>
      <w:r w:rsidRPr="00F97C4A">
        <w:rPr>
          <w:rFonts w:asciiTheme="majorHAnsi" w:hAnsiTheme="majorHAnsi"/>
          <w:sz w:val="28"/>
          <w:szCs w:val="28"/>
        </w:rPr>
        <w:t xml:space="preserve"> Independent Review Process,</w:t>
      </w:r>
      <w:r w:rsidR="008052E5" w:rsidRPr="00F97C4A">
        <w:rPr>
          <w:rFonts w:asciiTheme="majorHAnsi" w:hAnsiTheme="majorHAnsi"/>
          <w:sz w:val="28"/>
          <w:szCs w:val="28"/>
        </w:rPr>
        <w:t xml:space="preserve"> I hope you will find the following quotes as troubling as I do:</w:t>
      </w:r>
    </w:p>
    <w:p w14:paraId="7B33900B" w14:textId="77777777" w:rsidR="008052E5" w:rsidRPr="00F97C4A" w:rsidRDefault="008052E5" w:rsidP="00557F79">
      <w:pPr>
        <w:rPr>
          <w:rFonts w:asciiTheme="majorHAnsi" w:hAnsiTheme="majorHAnsi"/>
          <w:sz w:val="28"/>
          <w:szCs w:val="28"/>
        </w:rPr>
      </w:pPr>
    </w:p>
    <w:p w14:paraId="2DDB5DD9" w14:textId="77777777" w:rsidR="008052E5" w:rsidRPr="00F97C4A" w:rsidRDefault="00557F79" w:rsidP="00DC7815">
      <w:pPr>
        <w:ind w:left="720"/>
        <w:rPr>
          <w:rFonts w:asciiTheme="majorHAnsi" w:hAnsiTheme="majorHAnsi"/>
          <w:i/>
          <w:sz w:val="28"/>
          <w:szCs w:val="28"/>
        </w:rPr>
      </w:pPr>
      <w:r w:rsidRPr="00F97C4A">
        <w:rPr>
          <w:rFonts w:asciiTheme="majorHAnsi" w:hAnsiTheme="majorHAnsi"/>
          <w:sz w:val="28"/>
          <w:szCs w:val="28"/>
        </w:rPr>
        <w:t xml:space="preserve"> </w:t>
      </w:r>
      <w:r w:rsidR="008052E5" w:rsidRPr="00F97C4A">
        <w:rPr>
          <w:rFonts w:asciiTheme="majorHAnsi" w:hAnsiTheme="majorHAnsi"/>
          <w:i/>
          <w:sz w:val="28"/>
          <w:szCs w:val="28"/>
        </w:rPr>
        <w:t>“</w:t>
      </w:r>
      <w:r w:rsidR="00FE44E2" w:rsidRPr="00F97C4A">
        <w:rPr>
          <w:rFonts w:asciiTheme="majorHAnsi" w:hAnsiTheme="majorHAnsi"/>
          <w:i/>
          <w:sz w:val="28"/>
          <w:szCs w:val="28"/>
        </w:rPr>
        <w:t xml:space="preserve">As set out in Article IV (Accountability and Review) of ICANN’s Bylaws, in carrying out its mission as set out in its Bylaws, </w:t>
      </w:r>
      <w:r w:rsidR="00FE44E2" w:rsidRPr="00ED2744">
        <w:rPr>
          <w:rFonts w:asciiTheme="majorHAnsi" w:hAnsiTheme="majorHAnsi"/>
          <w:b/>
          <w:i/>
          <w:sz w:val="28"/>
          <w:szCs w:val="28"/>
          <w:u w:val="single"/>
        </w:rPr>
        <w:t>ICANN should be accountable to the community for operating in a manner that is consistent with these Bylaws and with due regard for the core values set forth in Article I of the Bylaws</w:t>
      </w:r>
      <w:r w:rsidR="00FE44E2" w:rsidRPr="00F97C4A">
        <w:rPr>
          <w:rStyle w:val="FootnoteReference"/>
          <w:rFonts w:asciiTheme="majorHAnsi" w:hAnsiTheme="majorHAnsi"/>
          <w:i/>
          <w:sz w:val="28"/>
          <w:szCs w:val="28"/>
        </w:rPr>
        <w:footnoteReference w:id="1"/>
      </w:r>
      <w:r w:rsidR="008052E5" w:rsidRPr="00F97C4A">
        <w:rPr>
          <w:rFonts w:asciiTheme="majorHAnsi" w:hAnsiTheme="majorHAnsi"/>
          <w:i/>
          <w:sz w:val="28"/>
          <w:szCs w:val="28"/>
        </w:rPr>
        <w:t>”</w:t>
      </w:r>
    </w:p>
    <w:p w14:paraId="022EC43D" w14:textId="77777777" w:rsidR="008052E5" w:rsidRPr="00F97C4A" w:rsidRDefault="008052E5" w:rsidP="00DC7815">
      <w:pPr>
        <w:ind w:left="720"/>
        <w:rPr>
          <w:rFonts w:asciiTheme="majorHAnsi" w:hAnsiTheme="majorHAnsi"/>
          <w:i/>
          <w:sz w:val="28"/>
          <w:szCs w:val="28"/>
        </w:rPr>
      </w:pPr>
    </w:p>
    <w:p w14:paraId="7257A8BF" w14:textId="77777777" w:rsidR="008052E5" w:rsidRPr="00F97C4A" w:rsidRDefault="008052E5" w:rsidP="00DC7815">
      <w:pPr>
        <w:ind w:left="720"/>
        <w:rPr>
          <w:rFonts w:asciiTheme="majorHAnsi" w:hAnsiTheme="majorHAnsi"/>
          <w:i/>
          <w:sz w:val="28"/>
          <w:szCs w:val="28"/>
        </w:rPr>
      </w:pPr>
      <w:r w:rsidRPr="00F97C4A">
        <w:rPr>
          <w:rFonts w:asciiTheme="majorHAnsi" w:hAnsiTheme="majorHAnsi"/>
          <w:i/>
          <w:sz w:val="28"/>
          <w:szCs w:val="28"/>
        </w:rPr>
        <w:t>“</w:t>
      </w:r>
      <w:r w:rsidR="00FE44E2" w:rsidRPr="00F97C4A">
        <w:rPr>
          <w:rFonts w:asciiTheme="majorHAnsi" w:hAnsiTheme="majorHAnsi"/>
          <w:i/>
          <w:sz w:val="28"/>
          <w:szCs w:val="28"/>
        </w:rPr>
        <w:t xml:space="preserve">In this IRP, among the allegations advanced by DCA Trust against ICANN, is that </w:t>
      </w:r>
      <w:r w:rsidR="00FE44E2" w:rsidRPr="00ED2744">
        <w:rPr>
          <w:rFonts w:asciiTheme="majorHAnsi" w:hAnsiTheme="majorHAnsi"/>
          <w:b/>
          <w:i/>
          <w:sz w:val="28"/>
          <w:szCs w:val="28"/>
          <w:u w:val="single"/>
        </w:rPr>
        <w:t>the ICANN Board, and its constituent body, the GAC, breached their obligation to act transparently and in conformity with procedures that ensured fairness</w:t>
      </w:r>
      <w:r w:rsidR="00FE44E2" w:rsidRPr="00F97C4A">
        <w:rPr>
          <w:rFonts w:asciiTheme="majorHAnsi" w:hAnsiTheme="majorHAnsi"/>
          <w:i/>
          <w:sz w:val="28"/>
          <w:szCs w:val="28"/>
        </w:rPr>
        <w:t xml:space="preserve">. In particular, DCA Trust criticizes the </w:t>
      </w:r>
      <w:r w:rsidR="00FE44E2" w:rsidRPr="00ED2744">
        <w:rPr>
          <w:rFonts w:asciiTheme="majorHAnsi" w:hAnsiTheme="majorHAnsi"/>
          <w:b/>
          <w:i/>
          <w:sz w:val="28"/>
          <w:szCs w:val="28"/>
          <w:u w:val="single"/>
        </w:rPr>
        <w:t>ICANN Board</w:t>
      </w:r>
      <w:r w:rsidR="00FE44E2" w:rsidRPr="00F97C4A">
        <w:rPr>
          <w:rFonts w:asciiTheme="majorHAnsi" w:hAnsiTheme="majorHAnsi"/>
          <w:i/>
          <w:sz w:val="28"/>
          <w:szCs w:val="28"/>
        </w:rPr>
        <w:t xml:space="preserve"> here, </w:t>
      </w:r>
      <w:r w:rsidR="00FE44E2" w:rsidRPr="00ED2744">
        <w:rPr>
          <w:rFonts w:asciiTheme="majorHAnsi" w:hAnsiTheme="majorHAnsi"/>
          <w:b/>
          <w:i/>
          <w:sz w:val="28"/>
          <w:szCs w:val="28"/>
          <w:u w:val="single"/>
        </w:rPr>
        <w:t xml:space="preserve">for allowing itself to be guided by the GAC, a body “with apparently no distinct rules, limited public </w:t>
      </w:r>
      <w:r w:rsidR="00FE44E2" w:rsidRPr="00ED2744">
        <w:rPr>
          <w:rFonts w:asciiTheme="majorHAnsi" w:hAnsiTheme="majorHAnsi"/>
          <w:b/>
          <w:i/>
          <w:sz w:val="28"/>
          <w:szCs w:val="28"/>
          <w:u w:val="single"/>
        </w:rPr>
        <w:lastRenderedPageBreak/>
        <w:t>records, fluid definitions of membership and quorums” and unfair procedures in</w:t>
      </w:r>
      <w:r w:rsidRPr="00ED2744">
        <w:rPr>
          <w:rFonts w:asciiTheme="majorHAnsi" w:hAnsiTheme="majorHAnsi"/>
          <w:b/>
          <w:i/>
          <w:sz w:val="28"/>
          <w:szCs w:val="28"/>
          <w:u w:val="single"/>
        </w:rPr>
        <w:t xml:space="preserve"> </w:t>
      </w:r>
      <w:r w:rsidR="00FE44E2" w:rsidRPr="00ED2744">
        <w:rPr>
          <w:rFonts w:asciiTheme="majorHAnsi" w:hAnsiTheme="majorHAnsi"/>
          <w:b/>
          <w:i/>
          <w:sz w:val="28"/>
          <w:szCs w:val="28"/>
          <w:u w:val="single"/>
        </w:rPr>
        <w:t>dealing with the issues before it</w:t>
      </w:r>
      <w:r w:rsidR="00FE44E2" w:rsidRPr="00F97C4A">
        <w:rPr>
          <w:rStyle w:val="FootnoteReference"/>
          <w:rFonts w:asciiTheme="majorHAnsi" w:hAnsiTheme="majorHAnsi"/>
          <w:i/>
          <w:sz w:val="28"/>
          <w:szCs w:val="28"/>
        </w:rPr>
        <w:footnoteReference w:id="2"/>
      </w:r>
      <w:r w:rsidRPr="00F97C4A">
        <w:rPr>
          <w:rFonts w:asciiTheme="majorHAnsi" w:hAnsiTheme="majorHAnsi"/>
          <w:i/>
          <w:sz w:val="28"/>
          <w:szCs w:val="28"/>
        </w:rPr>
        <w:t>”</w:t>
      </w:r>
    </w:p>
    <w:p w14:paraId="7BA8E9C1" w14:textId="77777777" w:rsidR="008052E5" w:rsidRPr="00F97C4A" w:rsidRDefault="008052E5" w:rsidP="00DC7815">
      <w:pPr>
        <w:ind w:left="720"/>
        <w:rPr>
          <w:rFonts w:asciiTheme="majorHAnsi" w:hAnsiTheme="majorHAnsi"/>
          <w:i/>
          <w:sz w:val="28"/>
          <w:szCs w:val="28"/>
        </w:rPr>
      </w:pPr>
    </w:p>
    <w:p w14:paraId="1A1C9B95" w14:textId="66D1CA74" w:rsidR="008052E5" w:rsidRPr="00F97C4A" w:rsidRDefault="008052E5" w:rsidP="00DC7815">
      <w:pPr>
        <w:ind w:left="720"/>
        <w:rPr>
          <w:rFonts w:asciiTheme="majorHAnsi" w:eastAsia="Times New Roman" w:hAnsiTheme="majorHAnsi" w:cs="Times New Roman"/>
          <w:i/>
          <w:sz w:val="28"/>
          <w:szCs w:val="28"/>
        </w:rPr>
      </w:pPr>
      <w:r w:rsidRPr="00F97C4A">
        <w:rPr>
          <w:rFonts w:asciiTheme="majorHAnsi" w:eastAsia="Times New Roman" w:hAnsiTheme="majorHAnsi" w:cs="Times New Roman"/>
          <w:i/>
          <w:sz w:val="28"/>
          <w:szCs w:val="28"/>
        </w:rPr>
        <w:t>“</w:t>
      </w:r>
      <w:r w:rsidR="00FE44E2" w:rsidRPr="00F97C4A">
        <w:rPr>
          <w:rFonts w:asciiTheme="majorHAnsi" w:eastAsia="Times New Roman" w:hAnsiTheme="majorHAnsi" w:cs="Times New Roman"/>
          <w:b/>
          <w:i/>
          <w:sz w:val="28"/>
          <w:szCs w:val="28"/>
        </w:rPr>
        <w:t>ARBITRATOR KESSEDJIAN:</w:t>
      </w:r>
      <w:r w:rsidR="00FE44E2" w:rsidRPr="00F97C4A">
        <w:rPr>
          <w:rFonts w:asciiTheme="majorHAnsi" w:eastAsia="Times New Roman" w:hAnsiTheme="majorHAnsi" w:cs="Times New Roman"/>
          <w:i/>
          <w:sz w:val="28"/>
          <w:szCs w:val="28"/>
        </w:rPr>
        <w:t xml:space="preserve"> So, basically, you're telling us that </w:t>
      </w:r>
      <w:r w:rsidR="00FE44E2" w:rsidRPr="00ED2744">
        <w:rPr>
          <w:rFonts w:asciiTheme="majorHAnsi" w:eastAsia="Times New Roman" w:hAnsiTheme="majorHAnsi" w:cs="Times New Roman"/>
          <w:b/>
          <w:i/>
          <w:sz w:val="28"/>
          <w:szCs w:val="28"/>
          <w:u w:val="single"/>
        </w:rPr>
        <w:t>the GAC takes a decision to object to an applicant, and no reasons, no rationale, no discussion of the concepts that are in the rules</w:t>
      </w:r>
      <w:r w:rsidR="00FE44E2" w:rsidRPr="00F97C4A">
        <w:rPr>
          <w:rFonts w:asciiTheme="majorHAnsi" w:eastAsia="Times New Roman" w:hAnsiTheme="majorHAnsi" w:cs="Times New Roman"/>
          <w:i/>
          <w:sz w:val="28"/>
          <w:szCs w:val="28"/>
        </w:rPr>
        <w:t xml:space="preserve">? </w:t>
      </w:r>
    </w:p>
    <w:p w14:paraId="1950A720" w14:textId="77777777" w:rsidR="008052E5" w:rsidRPr="00F97C4A" w:rsidRDefault="008052E5" w:rsidP="00DC7815">
      <w:pPr>
        <w:ind w:left="720"/>
        <w:rPr>
          <w:rFonts w:asciiTheme="majorHAnsi" w:eastAsia="Times New Roman" w:hAnsiTheme="majorHAnsi" w:cs="Times New Roman"/>
          <w:i/>
          <w:sz w:val="28"/>
          <w:szCs w:val="28"/>
        </w:rPr>
      </w:pPr>
    </w:p>
    <w:p w14:paraId="54766FD3" w14:textId="15BB01D1" w:rsidR="00965C6A" w:rsidRPr="00F97C4A" w:rsidRDefault="00FE44E2" w:rsidP="00DC7815">
      <w:pPr>
        <w:ind w:left="720"/>
        <w:rPr>
          <w:rFonts w:asciiTheme="majorHAnsi" w:eastAsia="Times New Roman" w:hAnsiTheme="majorHAnsi" w:cs="Times New Roman"/>
          <w:i/>
          <w:sz w:val="28"/>
          <w:szCs w:val="28"/>
        </w:rPr>
      </w:pPr>
      <w:r w:rsidRPr="00F97C4A">
        <w:rPr>
          <w:rFonts w:asciiTheme="majorHAnsi" w:eastAsia="Times New Roman" w:hAnsiTheme="majorHAnsi" w:cs="Times New Roman"/>
          <w:b/>
          <w:i/>
          <w:sz w:val="28"/>
          <w:szCs w:val="28"/>
        </w:rPr>
        <w:t>THE WITNESS</w:t>
      </w:r>
      <w:r w:rsidR="008052E5" w:rsidRPr="00F97C4A">
        <w:rPr>
          <w:rFonts w:asciiTheme="majorHAnsi" w:eastAsia="Times New Roman" w:hAnsiTheme="majorHAnsi" w:cs="Times New Roman"/>
          <w:b/>
          <w:i/>
          <w:sz w:val="28"/>
          <w:szCs w:val="28"/>
        </w:rPr>
        <w:t xml:space="preserve"> [Ms. Heather Dryden, former GAC Chair]</w:t>
      </w:r>
      <w:r w:rsidRPr="00F97C4A">
        <w:rPr>
          <w:rFonts w:asciiTheme="majorHAnsi" w:eastAsia="Times New Roman" w:hAnsiTheme="majorHAnsi" w:cs="Times New Roman"/>
          <w:b/>
          <w:i/>
          <w:sz w:val="28"/>
          <w:szCs w:val="28"/>
        </w:rPr>
        <w:t>:</w:t>
      </w:r>
      <w:r w:rsidRPr="00F97C4A">
        <w:rPr>
          <w:rFonts w:asciiTheme="majorHAnsi" w:eastAsia="Times New Roman" w:hAnsiTheme="majorHAnsi" w:cs="Times New Roman"/>
          <w:i/>
          <w:sz w:val="28"/>
          <w:szCs w:val="28"/>
        </w:rPr>
        <w:t xml:space="preserve"> I'm telling you </w:t>
      </w:r>
      <w:r w:rsidRPr="00ED2744">
        <w:rPr>
          <w:rFonts w:asciiTheme="majorHAnsi" w:eastAsia="Times New Roman" w:hAnsiTheme="majorHAnsi" w:cs="Times New Roman"/>
          <w:b/>
          <w:i/>
          <w:sz w:val="28"/>
          <w:szCs w:val="28"/>
          <w:u w:val="single"/>
        </w:rPr>
        <w:t>the GAC did not provide a rationale</w:t>
      </w:r>
      <w:r w:rsidRPr="00F97C4A">
        <w:rPr>
          <w:rFonts w:asciiTheme="majorHAnsi" w:eastAsia="Times New Roman" w:hAnsiTheme="majorHAnsi" w:cs="Times New Roman"/>
          <w:i/>
          <w:sz w:val="28"/>
          <w:szCs w:val="28"/>
        </w:rPr>
        <w:t xml:space="preserve">. And that was </w:t>
      </w:r>
      <w:r w:rsidRPr="00ED2744">
        <w:rPr>
          <w:rFonts w:asciiTheme="majorHAnsi" w:eastAsia="Times New Roman" w:hAnsiTheme="majorHAnsi" w:cs="Times New Roman"/>
          <w:b/>
          <w:i/>
          <w:sz w:val="28"/>
          <w:szCs w:val="28"/>
          <w:u w:val="single"/>
        </w:rPr>
        <w:t>not a requirement for issuing a GAC</w:t>
      </w:r>
      <w:r w:rsidRPr="00F97C4A">
        <w:rPr>
          <w:rFonts w:asciiTheme="majorHAnsi" w:eastAsia="Times New Roman" w:hAnsiTheme="majorHAnsi" w:cs="Times New Roman"/>
          <w:i/>
          <w:sz w:val="28"/>
          <w:szCs w:val="28"/>
        </w:rPr>
        <w:t xml:space="preserve"> --</w:t>
      </w:r>
      <w:r w:rsidRPr="00F97C4A">
        <w:rPr>
          <w:rStyle w:val="FootnoteReference"/>
          <w:rFonts w:asciiTheme="majorHAnsi" w:hAnsiTheme="majorHAnsi"/>
          <w:i/>
          <w:sz w:val="28"/>
          <w:szCs w:val="28"/>
        </w:rPr>
        <w:footnoteReference w:id="3"/>
      </w:r>
      <w:r w:rsidR="00965C6A" w:rsidRPr="00F97C4A">
        <w:rPr>
          <w:rFonts w:asciiTheme="majorHAnsi" w:eastAsia="Times New Roman" w:hAnsiTheme="majorHAnsi" w:cs="Times New Roman"/>
          <w:i/>
          <w:sz w:val="28"/>
          <w:szCs w:val="28"/>
        </w:rPr>
        <w:t>"</w:t>
      </w:r>
    </w:p>
    <w:p w14:paraId="7CF287C2" w14:textId="77777777" w:rsidR="00965C6A" w:rsidRPr="00F97C4A" w:rsidRDefault="00965C6A" w:rsidP="00DC7815">
      <w:pPr>
        <w:ind w:left="720"/>
        <w:rPr>
          <w:rFonts w:asciiTheme="majorHAnsi" w:eastAsia="Times New Roman" w:hAnsiTheme="majorHAnsi" w:cs="Times New Roman"/>
          <w:i/>
          <w:sz w:val="28"/>
          <w:szCs w:val="28"/>
        </w:rPr>
      </w:pPr>
    </w:p>
    <w:p w14:paraId="7F2ACC62" w14:textId="66C8DFBB" w:rsidR="00965C6A" w:rsidRPr="00F97C4A" w:rsidRDefault="00965C6A" w:rsidP="00DC7815">
      <w:pPr>
        <w:ind w:left="720"/>
        <w:rPr>
          <w:rFonts w:asciiTheme="majorHAnsi" w:eastAsia="Times New Roman" w:hAnsiTheme="majorHAnsi" w:cs="Times New Roman"/>
          <w:i/>
          <w:sz w:val="28"/>
          <w:szCs w:val="28"/>
        </w:rPr>
      </w:pPr>
      <w:r w:rsidRPr="00F97C4A">
        <w:rPr>
          <w:rFonts w:asciiTheme="majorHAnsi" w:eastAsia="Times New Roman" w:hAnsiTheme="majorHAnsi" w:cs="Times New Roman"/>
          <w:i/>
          <w:sz w:val="28"/>
          <w:szCs w:val="28"/>
        </w:rPr>
        <w:t>“</w:t>
      </w:r>
      <w:r w:rsidR="00557F79" w:rsidRPr="00F97C4A">
        <w:rPr>
          <w:rFonts w:asciiTheme="majorHAnsi" w:eastAsia="Times New Roman" w:hAnsiTheme="majorHAnsi" w:cs="Times New Roman"/>
          <w:i/>
          <w:sz w:val="28"/>
          <w:szCs w:val="28"/>
        </w:rPr>
        <w:t xml:space="preserve">The Panel understands that the GAC provides advice to the ICANN Board on matters of public policy, especially in cases where ICANN activities and policies may interact with national laws or international agreements. The Panel also understands that </w:t>
      </w:r>
      <w:r w:rsidR="00557F79" w:rsidRPr="00ED2744">
        <w:rPr>
          <w:rFonts w:asciiTheme="majorHAnsi" w:eastAsia="Times New Roman" w:hAnsiTheme="majorHAnsi" w:cs="Times New Roman"/>
          <w:b/>
          <w:i/>
          <w:sz w:val="28"/>
          <w:szCs w:val="28"/>
          <w:u w:val="single"/>
        </w:rPr>
        <w:t>GAC advice is developed through consensus among member nations</w:t>
      </w:r>
      <w:r w:rsidR="00557F79" w:rsidRPr="00F97C4A">
        <w:rPr>
          <w:rFonts w:asciiTheme="majorHAnsi" w:eastAsia="Times New Roman" w:hAnsiTheme="majorHAnsi" w:cs="Times New Roman"/>
          <w:i/>
          <w:sz w:val="28"/>
          <w:szCs w:val="28"/>
        </w:rPr>
        <w:t xml:space="preserve">. Finally, the Panel understands that although </w:t>
      </w:r>
      <w:r w:rsidR="00557F79" w:rsidRPr="00ED2744">
        <w:rPr>
          <w:rFonts w:asciiTheme="majorHAnsi" w:eastAsia="Times New Roman" w:hAnsiTheme="majorHAnsi" w:cs="Times New Roman"/>
          <w:i/>
          <w:sz w:val="28"/>
          <w:szCs w:val="28"/>
          <w:u w:val="single"/>
        </w:rPr>
        <w:t xml:space="preserve">the </w:t>
      </w:r>
      <w:r w:rsidR="00557F79" w:rsidRPr="00ED2744">
        <w:rPr>
          <w:rFonts w:asciiTheme="majorHAnsi" w:eastAsia="Times New Roman" w:hAnsiTheme="majorHAnsi" w:cs="Times New Roman"/>
          <w:b/>
          <w:i/>
          <w:sz w:val="28"/>
          <w:szCs w:val="28"/>
          <w:u w:val="single"/>
        </w:rPr>
        <w:t>ICANN Board is required to consider GAC advice and recommendations, it is not obligated to follow those recommendations</w:t>
      </w:r>
      <w:r w:rsidR="00557F79" w:rsidRPr="00F97C4A">
        <w:rPr>
          <w:rStyle w:val="FootnoteReference"/>
          <w:rFonts w:asciiTheme="majorHAnsi" w:eastAsia="Times New Roman" w:hAnsiTheme="majorHAnsi" w:cs="Times New Roman"/>
          <w:i/>
          <w:sz w:val="28"/>
          <w:szCs w:val="28"/>
        </w:rPr>
        <w:footnoteReference w:id="4"/>
      </w:r>
      <w:r w:rsidRPr="00F97C4A">
        <w:rPr>
          <w:rFonts w:asciiTheme="majorHAnsi" w:eastAsia="Times New Roman" w:hAnsiTheme="majorHAnsi" w:cs="Times New Roman"/>
          <w:i/>
          <w:sz w:val="28"/>
          <w:szCs w:val="28"/>
        </w:rPr>
        <w:t>”</w:t>
      </w:r>
    </w:p>
    <w:p w14:paraId="330ECABE" w14:textId="77777777" w:rsidR="00965C6A" w:rsidRPr="00F97C4A" w:rsidRDefault="00965C6A" w:rsidP="00DC7815">
      <w:pPr>
        <w:ind w:left="720"/>
        <w:rPr>
          <w:rFonts w:asciiTheme="majorHAnsi" w:eastAsia="Times New Roman" w:hAnsiTheme="majorHAnsi" w:cs="Times New Roman"/>
          <w:i/>
          <w:sz w:val="28"/>
          <w:szCs w:val="28"/>
        </w:rPr>
      </w:pPr>
    </w:p>
    <w:p w14:paraId="32D42B7C" w14:textId="77777777" w:rsidR="00965C6A" w:rsidRPr="00F97C4A" w:rsidRDefault="00965C6A" w:rsidP="00DC7815">
      <w:pPr>
        <w:ind w:left="720"/>
        <w:rPr>
          <w:rFonts w:asciiTheme="majorHAnsi" w:hAnsiTheme="majorHAnsi"/>
          <w:i/>
          <w:sz w:val="28"/>
          <w:szCs w:val="28"/>
        </w:rPr>
      </w:pPr>
      <w:r w:rsidRPr="00F97C4A">
        <w:rPr>
          <w:rFonts w:asciiTheme="majorHAnsi" w:hAnsiTheme="majorHAnsi"/>
          <w:i/>
          <w:sz w:val="28"/>
          <w:szCs w:val="28"/>
        </w:rPr>
        <w:t>“</w:t>
      </w:r>
      <w:r w:rsidR="00557F79" w:rsidRPr="00F97C4A">
        <w:rPr>
          <w:rFonts w:asciiTheme="majorHAnsi" w:hAnsiTheme="majorHAnsi"/>
          <w:i/>
          <w:sz w:val="28"/>
          <w:szCs w:val="28"/>
        </w:rPr>
        <w:t xml:space="preserve">In light of the clear </w:t>
      </w:r>
      <w:r w:rsidR="00557F79" w:rsidRPr="00ED2744">
        <w:rPr>
          <w:rFonts w:asciiTheme="majorHAnsi" w:hAnsiTheme="majorHAnsi"/>
          <w:b/>
          <w:i/>
          <w:sz w:val="28"/>
          <w:szCs w:val="28"/>
          <w:u w:val="single"/>
        </w:rPr>
        <w:t>“Transparency” obligation</w:t>
      </w:r>
      <w:r w:rsidR="00557F79" w:rsidRPr="00F97C4A">
        <w:rPr>
          <w:rFonts w:asciiTheme="majorHAnsi" w:hAnsiTheme="majorHAnsi"/>
          <w:i/>
          <w:sz w:val="28"/>
          <w:szCs w:val="28"/>
        </w:rPr>
        <w:t xml:space="preserve"> provisions found in</w:t>
      </w:r>
      <w:r w:rsidR="00557F79" w:rsidRPr="00F97C4A">
        <w:rPr>
          <w:rFonts w:asciiTheme="majorHAnsi" w:eastAsia="Times New Roman" w:hAnsiTheme="majorHAnsi" w:cs="Times New Roman"/>
          <w:i/>
          <w:sz w:val="28"/>
          <w:szCs w:val="28"/>
        </w:rPr>
        <w:t xml:space="preserve"> </w:t>
      </w:r>
      <w:r w:rsidR="00557F79" w:rsidRPr="00F97C4A">
        <w:rPr>
          <w:rFonts w:asciiTheme="majorHAnsi" w:hAnsiTheme="majorHAnsi"/>
          <w:i/>
          <w:sz w:val="28"/>
          <w:szCs w:val="28"/>
        </w:rPr>
        <w:t xml:space="preserve">ICANN’s Bylaws, </w:t>
      </w:r>
      <w:r w:rsidR="00557F79" w:rsidRPr="00ED2744">
        <w:rPr>
          <w:rFonts w:asciiTheme="majorHAnsi" w:hAnsiTheme="majorHAnsi"/>
          <w:b/>
          <w:i/>
          <w:sz w:val="28"/>
          <w:szCs w:val="28"/>
          <w:u w:val="single"/>
        </w:rPr>
        <w:t>the Panel would have expected the ICANN Board</w:t>
      </w:r>
      <w:r w:rsidR="008052E5" w:rsidRPr="00ED2744">
        <w:rPr>
          <w:rFonts w:asciiTheme="majorHAnsi" w:eastAsia="Times New Roman" w:hAnsiTheme="majorHAnsi" w:cs="Times New Roman"/>
          <w:b/>
          <w:i/>
          <w:sz w:val="28"/>
          <w:szCs w:val="28"/>
          <w:u w:val="single"/>
        </w:rPr>
        <w:t xml:space="preserve"> </w:t>
      </w:r>
      <w:r w:rsidR="00557F79" w:rsidRPr="00ED2744">
        <w:rPr>
          <w:rFonts w:asciiTheme="majorHAnsi" w:hAnsiTheme="majorHAnsi"/>
          <w:b/>
          <w:i/>
          <w:sz w:val="28"/>
          <w:szCs w:val="28"/>
          <w:u w:val="single"/>
        </w:rPr>
        <w:t>to, at a minimum, investigate the matter further before rejecting DCA</w:t>
      </w:r>
      <w:r w:rsidR="008052E5" w:rsidRPr="00ED2744">
        <w:rPr>
          <w:rFonts w:asciiTheme="majorHAnsi" w:eastAsia="Times New Roman" w:hAnsiTheme="majorHAnsi" w:cs="Times New Roman"/>
          <w:b/>
          <w:i/>
          <w:sz w:val="28"/>
          <w:szCs w:val="28"/>
          <w:u w:val="single"/>
        </w:rPr>
        <w:t xml:space="preserve"> </w:t>
      </w:r>
      <w:r w:rsidR="00557F79" w:rsidRPr="00ED2744">
        <w:rPr>
          <w:rFonts w:asciiTheme="majorHAnsi" w:hAnsiTheme="majorHAnsi"/>
          <w:b/>
          <w:i/>
          <w:sz w:val="28"/>
          <w:szCs w:val="28"/>
          <w:u w:val="single"/>
        </w:rPr>
        <w:t>Trust’s application</w:t>
      </w:r>
      <w:r w:rsidR="00557F79" w:rsidRPr="00F97C4A">
        <w:rPr>
          <w:rStyle w:val="FootnoteReference"/>
          <w:rFonts w:asciiTheme="majorHAnsi" w:hAnsiTheme="majorHAnsi"/>
          <w:i/>
          <w:sz w:val="28"/>
          <w:szCs w:val="28"/>
        </w:rPr>
        <w:footnoteReference w:id="5"/>
      </w:r>
      <w:r w:rsidRPr="00F97C4A">
        <w:rPr>
          <w:rFonts w:asciiTheme="majorHAnsi" w:hAnsiTheme="majorHAnsi"/>
          <w:i/>
          <w:sz w:val="28"/>
          <w:szCs w:val="28"/>
        </w:rPr>
        <w:t>”</w:t>
      </w:r>
    </w:p>
    <w:p w14:paraId="4087B78B" w14:textId="77777777" w:rsidR="00965C6A" w:rsidRPr="00F97C4A" w:rsidRDefault="00965C6A" w:rsidP="00DC7815">
      <w:pPr>
        <w:ind w:left="720"/>
        <w:rPr>
          <w:rFonts w:asciiTheme="majorHAnsi" w:hAnsiTheme="majorHAnsi"/>
          <w:i/>
          <w:sz w:val="28"/>
          <w:szCs w:val="28"/>
        </w:rPr>
      </w:pPr>
    </w:p>
    <w:p w14:paraId="40D4AF54" w14:textId="22368F44" w:rsidR="00965C6A" w:rsidRPr="00F97C4A" w:rsidRDefault="00965C6A" w:rsidP="00DC7815">
      <w:pPr>
        <w:ind w:left="720"/>
        <w:rPr>
          <w:rFonts w:asciiTheme="majorHAnsi" w:hAnsiTheme="majorHAnsi"/>
          <w:i/>
          <w:sz w:val="28"/>
          <w:szCs w:val="28"/>
        </w:rPr>
      </w:pPr>
      <w:r w:rsidRPr="00F97C4A">
        <w:rPr>
          <w:rFonts w:asciiTheme="majorHAnsi" w:hAnsiTheme="majorHAnsi"/>
          <w:i/>
          <w:sz w:val="28"/>
          <w:szCs w:val="28"/>
        </w:rPr>
        <w:t>“…</w:t>
      </w:r>
      <w:proofErr w:type="gramStart"/>
      <w:r w:rsidR="00557F79" w:rsidRPr="00F97C4A">
        <w:rPr>
          <w:rFonts w:asciiTheme="majorHAnsi" w:eastAsia="Times New Roman" w:hAnsiTheme="majorHAnsi" w:cs="Times New Roman"/>
          <w:i/>
          <w:sz w:val="28"/>
          <w:szCs w:val="28"/>
        </w:rPr>
        <w:t>the</w:t>
      </w:r>
      <w:proofErr w:type="gramEnd"/>
      <w:r w:rsidR="00557F79" w:rsidRPr="00F97C4A">
        <w:rPr>
          <w:rFonts w:asciiTheme="majorHAnsi" w:eastAsia="Times New Roman" w:hAnsiTheme="majorHAnsi" w:cs="Times New Roman"/>
          <w:i/>
          <w:sz w:val="28"/>
          <w:szCs w:val="28"/>
        </w:rPr>
        <w:t xml:space="preserve"> Panel is unanimous in deciding that </w:t>
      </w:r>
      <w:r w:rsidR="00557F79" w:rsidRPr="00ED2744">
        <w:rPr>
          <w:rFonts w:asciiTheme="majorHAnsi" w:eastAsia="Times New Roman" w:hAnsiTheme="majorHAnsi" w:cs="Times New Roman"/>
          <w:b/>
          <w:i/>
          <w:sz w:val="28"/>
          <w:szCs w:val="28"/>
          <w:u w:val="single"/>
        </w:rPr>
        <w:t>DCA Trust is the prevailing party</w:t>
      </w:r>
      <w:r w:rsidR="00557F79" w:rsidRPr="00F97C4A">
        <w:rPr>
          <w:rFonts w:asciiTheme="majorHAnsi" w:eastAsia="Times New Roman" w:hAnsiTheme="majorHAnsi" w:cs="Times New Roman"/>
          <w:i/>
          <w:sz w:val="28"/>
          <w:szCs w:val="28"/>
        </w:rPr>
        <w:t xml:space="preserve"> in this IRP </w:t>
      </w:r>
      <w:r w:rsidR="00557F79" w:rsidRPr="00ED2744">
        <w:rPr>
          <w:rFonts w:asciiTheme="majorHAnsi" w:eastAsia="Times New Roman" w:hAnsiTheme="majorHAnsi" w:cs="Times New Roman"/>
          <w:b/>
          <w:i/>
          <w:sz w:val="28"/>
          <w:szCs w:val="28"/>
          <w:u w:val="single"/>
        </w:rPr>
        <w:t>and ICANN shall bear</w:t>
      </w:r>
      <w:r w:rsidR="00557F79" w:rsidRPr="00F97C4A">
        <w:rPr>
          <w:rFonts w:asciiTheme="majorHAnsi" w:eastAsia="Times New Roman" w:hAnsiTheme="majorHAnsi" w:cs="Times New Roman"/>
          <w:i/>
          <w:sz w:val="28"/>
          <w:szCs w:val="28"/>
        </w:rPr>
        <w:t xml:space="preserve">, pursuant to Article IV, Section 3, paragraph 18 of the Bylaws, Article 11 of Supplementary Procedures and Article 31 of the ICDR Rules, </w:t>
      </w:r>
      <w:r w:rsidR="00557F79" w:rsidRPr="00ED2744">
        <w:rPr>
          <w:rFonts w:asciiTheme="majorHAnsi" w:eastAsia="Times New Roman" w:hAnsiTheme="majorHAnsi" w:cs="Times New Roman"/>
          <w:b/>
          <w:i/>
          <w:sz w:val="28"/>
          <w:szCs w:val="28"/>
          <w:u w:val="single"/>
        </w:rPr>
        <w:t>the totality of the costs of this IRP and the totality of the costs of the IRP Provider</w:t>
      </w:r>
      <w:r w:rsidR="00557F79" w:rsidRPr="00F97C4A">
        <w:rPr>
          <w:rStyle w:val="FootnoteReference"/>
          <w:rFonts w:asciiTheme="majorHAnsi" w:eastAsia="Times New Roman" w:hAnsiTheme="majorHAnsi" w:cs="Times New Roman"/>
          <w:i/>
          <w:sz w:val="28"/>
          <w:szCs w:val="28"/>
        </w:rPr>
        <w:footnoteReference w:id="6"/>
      </w:r>
      <w:r w:rsidRPr="00F97C4A">
        <w:rPr>
          <w:rFonts w:asciiTheme="majorHAnsi" w:hAnsiTheme="majorHAnsi"/>
          <w:i/>
          <w:sz w:val="28"/>
          <w:szCs w:val="28"/>
        </w:rPr>
        <w:t>”</w:t>
      </w:r>
    </w:p>
    <w:p w14:paraId="35B89C49" w14:textId="77777777" w:rsidR="00965C6A" w:rsidRPr="00F97C4A" w:rsidRDefault="00965C6A" w:rsidP="00DC7815">
      <w:pPr>
        <w:ind w:left="720"/>
        <w:rPr>
          <w:rFonts w:asciiTheme="majorHAnsi" w:hAnsiTheme="majorHAnsi"/>
          <w:i/>
          <w:sz w:val="28"/>
          <w:szCs w:val="28"/>
        </w:rPr>
      </w:pPr>
    </w:p>
    <w:p w14:paraId="37E145DA" w14:textId="35C612CA" w:rsidR="00557F79" w:rsidRPr="00F97C4A" w:rsidRDefault="00965C6A" w:rsidP="00DC7815">
      <w:pPr>
        <w:ind w:left="720"/>
        <w:rPr>
          <w:rFonts w:asciiTheme="majorHAnsi" w:hAnsiTheme="majorHAnsi"/>
          <w:i/>
          <w:sz w:val="28"/>
          <w:szCs w:val="28"/>
        </w:rPr>
      </w:pPr>
      <w:r w:rsidRPr="00F97C4A">
        <w:rPr>
          <w:rFonts w:asciiTheme="majorHAnsi" w:hAnsiTheme="majorHAnsi"/>
          <w:i/>
          <w:sz w:val="28"/>
          <w:szCs w:val="28"/>
        </w:rPr>
        <w:t>“…</w:t>
      </w:r>
      <w:proofErr w:type="gramStart"/>
      <w:r w:rsidR="00557F79" w:rsidRPr="00ED2744">
        <w:rPr>
          <w:rFonts w:asciiTheme="majorHAnsi" w:hAnsiTheme="majorHAnsi"/>
          <w:b/>
          <w:i/>
          <w:sz w:val="28"/>
          <w:szCs w:val="28"/>
          <w:u w:val="single"/>
        </w:rPr>
        <w:t>the</w:t>
      </w:r>
      <w:proofErr w:type="gramEnd"/>
      <w:r w:rsidR="00557F79" w:rsidRPr="00ED2744">
        <w:rPr>
          <w:rFonts w:asciiTheme="majorHAnsi" w:hAnsiTheme="majorHAnsi"/>
          <w:b/>
          <w:i/>
          <w:sz w:val="28"/>
          <w:szCs w:val="28"/>
          <w:u w:val="single"/>
        </w:rPr>
        <w:t xml:space="preserve"> Panel declared that both the actions and inactions of the [ICANN] Board with respect to the application of DCA Trust relating to the .AFRICA gTLD were inconsistent with the [ICANN] Articles of Incorporation and Bylaws of ICAN</w:t>
      </w:r>
      <w:r w:rsidR="00557F79" w:rsidRPr="00F97C4A">
        <w:rPr>
          <w:rFonts w:asciiTheme="majorHAnsi" w:hAnsiTheme="majorHAnsi"/>
          <w:b/>
          <w:i/>
          <w:sz w:val="28"/>
          <w:szCs w:val="28"/>
        </w:rPr>
        <w:t>N</w:t>
      </w:r>
      <w:r w:rsidR="00557F79" w:rsidRPr="00F97C4A">
        <w:rPr>
          <w:rFonts w:asciiTheme="majorHAnsi" w:hAnsiTheme="majorHAnsi"/>
          <w:i/>
          <w:sz w:val="28"/>
          <w:szCs w:val="28"/>
        </w:rPr>
        <w:t>.</w:t>
      </w:r>
      <w:r w:rsidR="00557F79" w:rsidRPr="00F97C4A">
        <w:rPr>
          <w:rStyle w:val="FootnoteReference"/>
          <w:rFonts w:asciiTheme="majorHAnsi" w:hAnsiTheme="majorHAnsi"/>
          <w:i/>
          <w:sz w:val="28"/>
          <w:szCs w:val="28"/>
        </w:rPr>
        <w:footnoteReference w:id="7"/>
      </w:r>
      <w:r w:rsidR="00557F79" w:rsidRPr="00F97C4A">
        <w:rPr>
          <w:rFonts w:asciiTheme="majorHAnsi" w:hAnsiTheme="majorHAnsi"/>
          <w:i/>
          <w:sz w:val="28"/>
          <w:szCs w:val="28"/>
        </w:rPr>
        <w:t xml:space="preserve">” </w:t>
      </w:r>
    </w:p>
    <w:p w14:paraId="3087E226" w14:textId="6D1B24EF" w:rsidR="007B563E" w:rsidRPr="00F97C4A" w:rsidRDefault="00B3047B" w:rsidP="00FA4455">
      <w:pPr>
        <w:pStyle w:val="NormalWeb"/>
        <w:shd w:val="clear" w:color="auto" w:fill="FFFFFF"/>
        <w:spacing w:line="315" w:lineRule="atLeast"/>
        <w:rPr>
          <w:rFonts w:asciiTheme="majorHAnsi" w:hAnsiTheme="majorHAnsi"/>
          <w:sz w:val="28"/>
          <w:szCs w:val="28"/>
        </w:rPr>
      </w:pPr>
      <w:r w:rsidRPr="00F97C4A">
        <w:rPr>
          <w:rFonts w:asciiTheme="majorHAnsi" w:hAnsiTheme="majorHAnsi"/>
          <w:sz w:val="28"/>
          <w:szCs w:val="28"/>
        </w:rPr>
        <w:t xml:space="preserve">ICANN </w:t>
      </w:r>
      <w:r w:rsidR="00DC7815" w:rsidRPr="00F97C4A">
        <w:rPr>
          <w:rFonts w:asciiTheme="majorHAnsi" w:hAnsiTheme="majorHAnsi"/>
          <w:sz w:val="28"/>
          <w:szCs w:val="28"/>
        </w:rPr>
        <w:t xml:space="preserve">has yet to conform to </w:t>
      </w:r>
      <w:r w:rsidR="00744FBC" w:rsidRPr="00F97C4A">
        <w:rPr>
          <w:rFonts w:asciiTheme="majorHAnsi" w:hAnsiTheme="majorHAnsi"/>
          <w:sz w:val="28"/>
          <w:szCs w:val="28"/>
        </w:rPr>
        <w:t>the U.S. Department of Commerce Affirmation of Commitments (“AOC”)</w:t>
      </w:r>
      <w:r w:rsidR="00DC7815" w:rsidRPr="00F97C4A">
        <w:rPr>
          <w:rFonts w:asciiTheme="majorHAnsi" w:hAnsiTheme="majorHAnsi"/>
          <w:sz w:val="28"/>
          <w:szCs w:val="28"/>
        </w:rPr>
        <w:t xml:space="preserve"> and they have had </w:t>
      </w:r>
      <w:r w:rsidR="007B563E" w:rsidRPr="00F97C4A">
        <w:rPr>
          <w:rFonts w:asciiTheme="majorHAnsi" w:hAnsiTheme="majorHAnsi"/>
          <w:sz w:val="28"/>
          <w:szCs w:val="28"/>
        </w:rPr>
        <w:t xml:space="preserve">over </w:t>
      </w:r>
      <w:r w:rsidR="00B05769">
        <w:rPr>
          <w:rFonts w:asciiTheme="majorHAnsi" w:hAnsiTheme="majorHAnsi"/>
          <w:sz w:val="28"/>
          <w:szCs w:val="28"/>
        </w:rPr>
        <w:t>five years</w:t>
      </w:r>
      <w:r w:rsidR="00DC7815" w:rsidRPr="00F97C4A">
        <w:rPr>
          <w:rFonts w:asciiTheme="majorHAnsi" w:hAnsiTheme="majorHAnsi"/>
          <w:sz w:val="28"/>
          <w:szCs w:val="28"/>
        </w:rPr>
        <w:t xml:space="preserve"> to do so</w:t>
      </w:r>
      <w:r w:rsidRPr="00F97C4A">
        <w:rPr>
          <w:rFonts w:asciiTheme="majorHAnsi" w:hAnsiTheme="majorHAnsi"/>
          <w:sz w:val="28"/>
          <w:szCs w:val="28"/>
        </w:rPr>
        <w:t>. O</w:t>
      </w:r>
      <w:r w:rsidR="00744FBC" w:rsidRPr="00F97C4A">
        <w:rPr>
          <w:rFonts w:asciiTheme="majorHAnsi" w:hAnsiTheme="majorHAnsi"/>
          <w:sz w:val="28"/>
          <w:szCs w:val="28"/>
        </w:rPr>
        <w:t xml:space="preserve">n the surface, ICANN would desire everyone </w:t>
      </w:r>
      <w:r w:rsidRPr="00F97C4A">
        <w:rPr>
          <w:rFonts w:asciiTheme="majorHAnsi" w:hAnsiTheme="majorHAnsi"/>
          <w:sz w:val="28"/>
          <w:szCs w:val="28"/>
        </w:rPr>
        <w:t>believe t</w:t>
      </w:r>
      <w:r w:rsidR="00965C6A" w:rsidRPr="00F97C4A">
        <w:rPr>
          <w:rFonts w:asciiTheme="majorHAnsi" w:hAnsiTheme="majorHAnsi"/>
          <w:sz w:val="28"/>
          <w:szCs w:val="28"/>
        </w:rPr>
        <w:t>hat t</w:t>
      </w:r>
      <w:r w:rsidRPr="00F97C4A">
        <w:rPr>
          <w:rFonts w:asciiTheme="majorHAnsi" w:hAnsiTheme="majorHAnsi"/>
          <w:sz w:val="28"/>
          <w:szCs w:val="28"/>
        </w:rPr>
        <w:t xml:space="preserve">hey are </w:t>
      </w:r>
      <w:r w:rsidR="00932D96" w:rsidRPr="00F97C4A">
        <w:rPr>
          <w:rFonts w:asciiTheme="majorHAnsi" w:hAnsiTheme="majorHAnsi"/>
          <w:sz w:val="28"/>
          <w:szCs w:val="28"/>
        </w:rPr>
        <w:t xml:space="preserve">an </w:t>
      </w:r>
      <w:r w:rsidR="00744FBC" w:rsidRPr="00F97C4A">
        <w:rPr>
          <w:rFonts w:asciiTheme="majorHAnsi" w:hAnsiTheme="majorHAnsi"/>
          <w:sz w:val="28"/>
          <w:szCs w:val="28"/>
        </w:rPr>
        <w:t>open</w:t>
      </w:r>
      <w:r w:rsidRPr="00F97C4A">
        <w:rPr>
          <w:rFonts w:asciiTheme="majorHAnsi" w:hAnsiTheme="majorHAnsi"/>
          <w:sz w:val="28"/>
          <w:szCs w:val="28"/>
        </w:rPr>
        <w:t>, accountab</w:t>
      </w:r>
      <w:r w:rsidR="00744FBC" w:rsidRPr="00F97C4A">
        <w:rPr>
          <w:rFonts w:asciiTheme="majorHAnsi" w:hAnsiTheme="majorHAnsi"/>
          <w:sz w:val="28"/>
          <w:szCs w:val="28"/>
        </w:rPr>
        <w:t>le</w:t>
      </w:r>
      <w:r w:rsidRPr="00F97C4A">
        <w:rPr>
          <w:rFonts w:asciiTheme="majorHAnsi" w:hAnsiTheme="majorHAnsi"/>
          <w:sz w:val="28"/>
          <w:szCs w:val="28"/>
        </w:rPr>
        <w:t xml:space="preserve"> and transparen</w:t>
      </w:r>
      <w:r w:rsidR="00744FBC" w:rsidRPr="00F97C4A">
        <w:rPr>
          <w:rFonts w:asciiTheme="majorHAnsi" w:hAnsiTheme="majorHAnsi"/>
          <w:sz w:val="28"/>
          <w:szCs w:val="28"/>
        </w:rPr>
        <w:t>t</w:t>
      </w:r>
      <w:r w:rsidRPr="00F97C4A">
        <w:rPr>
          <w:rFonts w:asciiTheme="majorHAnsi" w:hAnsiTheme="majorHAnsi"/>
          <w:sz w:val="28"/>
          <w:szCs w:val="28"/>
        </w:rPr>
        <w:t xml:space="preserve"> </w:t>
      </w:r>
      <w:r w:rsidR="00B05769">
        <w:rPr>
          <w:rFonts w:asciiTheme="majorHAnsi" w:hAnsiTheme="majorHAnsi"/>
          <w:sz w:val="28"/>
          <w:szCs w:val="28"/>
        </w:rPr>
        <w:t xml:space="preserve">organization but </w:t>
      </w:r>
      <w:r w:rsidR="00932D96" w:rsidRPr="00F97C4A">
        <w:rPr>
          <w:rFonts w:asciiTheme="majorHAnsi" w:hAnsiTheme="majorHAnsi"/>
          <w:sz w:val="28"/>
          <w:szCs w:val="28"/>
        </w:rPr>
        <w:t>those who interact with ICANN on a routine basis</w:t>
      </w:r>
      <w:r w:rsidR="00ED2744">
        <w:rPr>
          <w:rFonts w:asciiTheme="majorHAnsi" w:hAnsiTheme="majorHAnsi"/>
          <w:sz w:val="28"/>
          <w:szCs w:val="28"/>
        </w:rPr>
        <w:t>,</w:t>
      </w:r>
      <w:r w:rsidR="00932D96" w:rsidRPr="00F97C4A">
        <w:rPr>
          <w:rFonts w:asciiTheme="majorHAnsi" w:hAnsiTheme="majorHAnsi"/>
          <w:sz w:val="28"/>
          <w:szCs w:val="28"/>
        </w:rPr>
        <w:t xml:space="preserve"> understand otherwise.  For ICANN to be open, accountable and transparent would subject </w:t>
      </w:r>
      <w:r w:rsidR="007B563E" w:rsidRPr="00F97C4A">
        <w:rPr>
          <w:rFonts w:asciiTheme="majorHAnsi" w:hAnsiTheme="majorHAnsi"/>
          <w:sz w:val="28"/>
          <w:szCs w:val="28"/>
        </w:rPr>
        <w:t xml:space="preserve">them to increased </w:t>
      </w:r>
      <w:r w:rsidRPr="00F97C4A">
        <w:rPr>
          <w:rFonts w:asciiTheme="majorHAnsi" w:hAnsiTheme="majorHAnsi"/>
          <w:sz w:val="28"/>
          <w:szCs w:val="28"/>
        </w:rPr>
        <w:t>liability</w:t>
      </w:r>
      <w:r w:rsidR="00ED2744">
        <w:rPr>
          <w:rFonts w:asciiTheme="majorHAnsi" w:hAnsiTheme="majorHAnsi"/>
          <w:sz w:val="28"/>
          <w:szCs w:val="28"/>
        </w:rPr>
        <w:t xml:space="preserve"> for their actions or inactions</w:t>
      </w:r>
      <w:r w:rsidRPr="00F97C4A">
        <w:rPr>
          <w:rFonts w:asciiTheme="majorHAnsi" w:hAnsiTheme="majorHAnsi"/>
          <w:sz w:val="28"/>
          <w:szCs w:val="28"/>
        </w:rPr>
        <w:t xml:space="preserve">. </w:t>
      </w:r>
    </w:p>
    <w:p w14:paraId="082FF990" w14:textId="62870ADC" w:rsidR="00061013" w:rsidRDefault="00345EA2" w:rsidP="00061013">
      <w:pPr>
        <w:rPr>
          <w:rFonts w:asciiTheme="majorHAnsi" w:hAnsiTheme="majorHAnsi"/>
          <w:sz w:val="28"/>
          <w:szCs w:val="28"/>
        </w:rPr>
      </w:pPr>
      <w:r w:rsidRPr="00F97C4A">
        <w:rPr>
          <w:rFonts w:asciiTheme="majorHAnsi" w:hAnsiTheme="majorHAnsi"/>
          <w:sz w:val="28"/>
          <w:szCs w:val="28"/>
        </w:rPr>
        <w:t>In 2002, ICANN purposefully</w:t>
      </w:r>
      <w:r w:rsidR="007B563E" w:rsidRPr="00F97C4A">
        <w:rPr>
          <w:rFonts w:asciiTheme="majorHAnsi" w:hAnsiTheme="majorHAnsi"/>
          <w:sz w:val="28"/>
          <w:szCs w:val="28"/>
        </w:rPr>
        <w:t xml:space="preserve"> amended their Bylaws to omit any members</w:t>
      </w:r>
      <w:r w:rsidRPr="00F97C4A">
        <w:rPr>
          <w:rFonts w:asciiTheme="majorHAnsi" w:hAnsiTheme="majorHAnsi"/>
          <w:sz w:val="28"/>
          <w:szCs w:val="28"/>
        </w:rPr>
        <w:t xml:space="preserve"> </w:t>
      </w:r>
      <w:r w:rsidR="00061013">
        <w:rPr>
          <w:rFonts w:asciiTheme="majorHAnsi" w:hAnsiTheme="majorHAnsi"/>
          <w:sz w:val="28"/>
          <w:szCs w:val="28"/>
        </w:rPr>
        <w:t xml:space="preserve">so that the Board would </w:t>
      </w:r>
      <w:r w:rsidRPr="00F97C4A">
        <w:rPr>
          <w:rFonts w:asciiTheme="majorHAnsi" w:hAnsiTheme="majorHAnsi"/>
          <w:sz w:val="28"/>
          <w:szCs w:val="28"/>
        </w:rPr>
        <w:t>retain ultimate authority over ICANN</w:t>
      </w:r>
      <w:r w:rsidR="007B563E" w:rsidRPr="00F97C4A">
        <w:rPr>
          <w:rFonts w:asciiTheme="majorHAnsi" w:hAnsiTheme="majorHAnsi"/>
          <w:sz w:val="28"/>
          <w:szCs w:val="28"/>
        </w:rPr>
        <w:t xml:space="preserve">.  </w:t>
      </w:r>
      <w:r w:rsidR="00061013" w:rsidRPr="00F97C4A">
        <w:rPr>
          <w:rFonts w:asciiTheme="majorHAnsi" w:hAnsiTheme="majorHAnsi"/>
          <w:sz w:val="28"/>
          <w:szCs w:val="28"/>
        </w:rPr>
        <w:t>ICANN’s current Bylaws state:</w:t>
      </w:r>
    </w:p>
    <w:p w14:paraId="71B896F9" w14:textId="77777777" w:rsidR="00061013" w:rsidRPr="00F97C4A" w:rsidRDefault="00061013" w:rsidP="00061013">
      <w:pPr>
        <w:rPr>
          <w:rFonts w:asciiTheme="majorHAnsi" w:hAnsiTheme="majorHAnsi"/>
          <w:sz w:val="28"/>
          <w:szCs w:val="28"/>
        </w:rPr>
      </w:pPr>
    </w:p>
    <w:p w14:paraId="3385BB37" w14:textId="77777777" w:rsidR="00061013" w:rsidRPr="00F97C4A" w:rsidRDefault="00061013" w:rsidP="00061013">
      <w:pPr>
        <w:shd w:val="clear" w:color="auto" w:fill="FFFFFF"/>
        <w:ind w:left="720"/>
        <w:outlineLvl w:val="2"/>
        <w:rPr>
          <w:rFonts w:asciiTheme="majorHAnsi" w:eastAsia="Times New Roman" w:hAnsiTheme="majorHAnsi" w:cs="Times New Roman"/>
          <w:b/>
          <w:bCs/>
          <w:color w:val="333333"/>
          <w:sz w:val="28"/>
          <w:szCs w:val="28"/>
        </w:rPr>
      </w:pPr>
      <w:r w:rsidRPr="00F97C4A">
        <w:rPr>
          <w:rFonts w:asciiTheme="majorHAnsi" w:eastAsia="Times New Roman" w:hAnsiTheme="majorHAnsi" w:cs="Times New Roman"/>
          <w:b/>
          <w:bCs/>
          <w:color w:val="333333"/>
          <w:sz w:val="28"/>
          <w:szCs w:val="28"/>
        </w:rPr>
        <w:t>ARTICLE XVII: MEMBERS</w:t>
      </w:r>
    </w:p>
    <w:p w14:paraId="2C6C05C6" w14:textId="77777777" w:rsidR="00061013" w:rsidRPr="00F97C4A" w:rsidRDefault="00061013" w:rsidP="00061013">
      <w:pPr>
        <w:shd w:val="clear" w:color="auto" w:fill="FFFFFF"/>
        <w:spacing w:before="100" w:beforeAutospacing="1" w:after="100" w:afterAutospacing="1"/>
        <w:ind w:left="720"/>
        <w:rPr>
          <w:rFonts w:asciiTheme="majorHAnsi" w:hAnsiTheme="majorHAnsi" w:cs="Times New Roman"/>
          <w:color w:val="333333"/>
          <w:sz w:val="28"/>
          <w:szCs w:val="28"/>
        </w:rPr>
      </w:pPr>
      <w:r w:rsidRPr="00061013">
        <w:rPr>
          <w:rFonts w:asciiTheme="majorHAnsi" w:hAnsiTheme="majorHAnsi" w:cs="Times New Roman"/>
          <w:b/>
          <w:color w:val="333333"/>
          <w:sz w:val="28"/>
          <w:szCs w:val="28"/>
          <w:u w:val="single"/>
        </w:rPr>
        <w:t>ICANN shall not have members</w:t>
      </w:r>
      <w:r w:rsidRPr="00F97C4A">
        <w:rPr>
          <w:rFonts w:asciiTheme="majorHAnsi" w:hAnsiTheme="majorHAnsi" w:cs="Times New Roman"/>
          <w:color w:val="333333"/>
          <w:sz w:val="28"/>
          <w:szCs w:val="28"/>
        </w:rPr>
        <w:t>, as defined in the California Nonprofit Public Benefit Corporation Law ("CNPBCL"), notwithstanding the use of the term "Member" in these Bylaws, in any ICANN document, or in any action of the ICANN Board or staff.</w:t>
      </w:r>
      <w:r w:rsidRPr="00F97C4A">
        <w:rPr>
          <w:rStyle w:val="FootnoteReference"/>
          <w:rFonts w:asciiTheme="majorHAnsi" w:hAnsiTheme="majorHAnsi" w:cs="Times New Roman"/>
          <w:color w:val="333333"/>
          <w:sz w:val="28"/>
          <w:szCs w:val="28"/>
        </w:rPr>
        <w:footnoteReference w:id="8"/>
      </w:r>
    </w:p>
    <w:p w14:paraId="3BD2EA64" w14:textId="3770EA4D" w:rsidR="007B563E" w:rsidRPr="00F97C4A" w:rsidRDefault="00345EA2" w:rsidP="007B563E">
      <w:pPr>
        <w:rPr>
          <w:rFonts w:asciiTheme="majorHAnsi" w:eastAsia="Times New Roman" w:hAnsiTheme="majorHAnsi" w:cs="Times New Roman"/>
          <w:sz w:val="28"/>
          <w:szCs w:val="28"/>
        </w:rPr>
      </w:pPr>
      <w:r w:rsidRPr="00F97C4A">
        <w:rPr>
          <w:rFonts w:asciiTheme="majorHAnsi" w:eastAsia="Times New Roman" w:hAnsiTheme="majorHAnsi" w:cs="Times New Roman"/>
          <w:sz w:val="28"/>
          <w:szCs w:val="28"/>
        </w:rPr>
        <w:t xml:space="preserve">From </w:t>
      </w:r>
      <w:r w:rsidR="00061013">
        <w:rPr>
          <w:rFonts w:asciiTheme="majorHAnsi" w:eastAsia="Times New Roman" w:hAnsiTheme="majorHAnsi" w:cs="Times New Roman"/>
          <w:sz w:val="28"/>
          <w:szCs w:val="28"/>
        </w:rPr>
        <w:t xml:space="preserve">a </w:t>
      </w:r>
      <w:r w:rsidRPr="00F97C4A">
        <w:rPr>
          <w:rFonts w:asciiTheme="majorHAnsi" w:eastAsia="Times New Roman" w:hAnsiTheme="majorHAnsi" w:cs="Times New Roman"/>
          <w:sz w:val="28"/>
          <w:szCs w:val="28"/>
        </w:rPr>
        <w:t>governanc</w:t>
      </w:r>
      <w:r w:rsidR="00061013">
        <w:rPr>
          <w:rFonts w:asciiTheme="majorHAnsi" w:eastAsia="Times New Roman" w:hAnsiTheme="majorHAnsi" w:cs="Times New Roman"/>
          <w:sz w:val="28"/>
          <w:szCs w:val="28"/>
        </w:rPr>
        <w:t>e perspective, this purposeful act concentrated ultimate power in the ICANN B</w:t>
      </w:r>
      <w:r w:rsidRPr="00F97C4A">
        <w:rPr>
          <w:rFonts w:asciiTheme="majorHAnsi" w:eastAsia="Times New Roman" w:hAnsiTheme="majorHAnsi" w:cs="Times New Roman"/>
          <w:sz w:val="28"/>
          <w:szCs w:val="28"/>
        </w:rPr>
        <w:t>oard.</w:t>
      </w:r>
      <w:r w:rsidRPr="00F97C4A">
        <w:rPr>
          <w:rFonts w:asciiTheme="majorHAnsi" w:hAnsiTheme="majorHAnsi"/>
          <w:sz w:val="28"/>
          <w:szCs w:val="28"/>
        </w:rPr>
        <w:t xml:space="preserve"> </w:t>
      </w:r>
      <w:r w:rsidR="007B563E" w:rsidRPr="00F97C4A">
        <w:rPr>
          <w:rFonts w:asciiTheme="majorHAnsi" w:hAnsiTheme="majorHAnsi"/>
          <w:sz w:val="28"/>
          <w:szCs w:val="28"/>
        </w:rPr>
        <w:t xml:space="preserve">Under </w:t>
      </w:r>
      <w:r w:rsidR="007B563E" w:rsidRPr="00F97C4A">
        <w:rPr>
          <w:rFonts w:asciiTheme="majorHAnsi" w:eastAsia="Times New Roman" w:hAnsiTheme="majorHAnsi" w:cs="Times New Roman"/>
          <w:sz w:val="28"/>
          <w:szCs w:val="28"/>
        </w:rPr>
        <w:t xml:space="preserve">California Corporations Code §5310, it </w:t>
      </w:r>
      <w:r w:rsidR="00061013">
        <w:rPr>
          <w:rFonts w:asciiTheme="majorHAnsi" w:eastAsia="Times New Roman" w:hAnsiTheme="majorHAnsi" w:cs="Times New Roman"/>
          <w:sz w:val="28"/>
          <w:szCs w:val="28"/>
        </w:rPr>
        <w:t>provides</w:t>
      </w:r>
      <w:r w:rsidR="007B563E" w:rsidRPr="00F97C4A">
        <w:rPr>
          <w:rFonts w:asciiTheme="majorHAnsi" w:eastAsia="Times New Roman" w:hAnsiTheme="majorHAnsi" w:cs="Times New Roman"/>
          <w:sz w:val="28"/>
          <w:szCs w:val="28"/>
        </w:rPr>
        <w:t>:</w:t>
      </w:r>
    </w:p>
    <w:p w14:paraId="6824F3DE" w14:textId="77777777" w:rsidR="007B563E" w:rsidRPr="00F97C4A" w:rsidRDefault="007B563E" w:rsidP="007B563E">
      <w:pPr>
        <w:rPr>
          <w:rFonts w:asciiTheme="majorHAnsi" w:eastAsia="Times New Roman" w:hAnsiTheme="majorHAnsi" w:cs="Times New Roman"/>
          <w:sz w:val="28"/>
          <w:szCs w:val="28"/>
        </w:rPr>
      </w:pPr>
    </w:p>
    <w:p w14:paraId="7515A459" w14:textId="6538E1A4" w:rsidR="007B563E" w:rsidRPr="00F97C4A" w:rsidRDefault="007B563E" w:rsidP="007B563E">
      <w:pPr>
        <w:ind w:left="720"/>
        <w:rPr>
          <w:rFonts w:asciiTheme="majorHAnsi" w:eastAsia="Times New Roman" w:hAnsiTheme="majorHAnsi" w:cs="Times New Roman"/>
          <w:sz w:val="28"/>
          <w:szCs w:val="28"/>
        </w:rPr>
      </w:pPr>
      <w:r w:rsidRPr="00F97C4A">
        <w:rPr>
          <w:rFonts w:asciiTheme="majorHAnsi" w:eastAsia="Times New Roman" w:hAnsiTheme="majorHAnsi" w:cs="Times New Roman"/>
          <w:sz w:val="28"/>
          <w:szCs w:val="28"/>
        </w:rPr>
        <w:t xml:space="preserve">(a) A corporation may admit persons to membership, as provided in its articles or bylaws, or </w:t>
      </w:r>
      <w:r w:rsidRPr="00F97C4A">
        <w:rPr>
          <w:rFonts w:asciiTheme="majorHAnsi" w:eastAsia="Times New Roman" w:hAnsiTheme="majorHAnsi" w:cs="Times New Roman"/>
          <w:sz w:val="28"/>
          <w:szCs w:val="28"/>
          <w:u w:val="single"/>
        </w:rPr>
        <w:t>may provide in its articles or bylaws that it shall have no members</w:t>
      </w:r>
      <w:r w:rsidRPr="00F97C4A">
        <w:rPr>
          <w:rFonts w:asciiTheme="majorHAnsi" w:eastAsia="Times New Roman" w:hAnsiTheme="majorHAnsi" w:cs="Times New Roman"/>
          <w:sz w:val="28"/>
          <w:szCs w:val="28"/>
        </w:rPr>
        <w:t>. In the absence of any provision in its articles or bylaws providing for members, a corporation shall have no members.</w:t>
      </w:r>
    </w:p>
    <w:p w14:paraId="1EA93AAE" w14:textId="67AC676A" w:rsidR="007B563E" w:rsidRPr="00F97C4A" w:rsidRDefault="007B563E" w:rsidP="007B563E">
      <w:pPr>
        <w:ind w:left="720"/>
        <w:rPr>
          <w:rFonts w:asciiTheme="majorHAnsi" w:eastAsia="Times New Roman" w:hAnsiTheme="majorHAnsi" w:cs="Times New Roman"/>
          <w:sz w:val="28"/>
          <w:szCs w:val="28"/>
        </w:rPr>
      </w:pPr>
      <w:r w:rsidRPr="00F97C4A">
        <w:rPr>
          <w:rFonts w:asciiTheme="majorHAnsi" w:eastAsia="Times New Roman" w:hAnsiTheme="majorHAnsi" w:cs="Times New Roman"/>
          <w:sz w:val="28"/>
          <w:szCs w:val="28"/>
        </w:rPr>
        <w:t xml:space="preserve">(b) </w:t>
      </w:r>
      <w:r w:rsidRPr="00F97C4A">
        <w:rPr>
          <w:rFonts w:asciiTheme="majorHAnsi" w:eastAsia="Times New Roman" w:hAnsiTheme="majorHAnsi" w:cs="Times New Roman"/>
          <w:sz w:val="28"/>
          <w:szCs w:val="28"/>
          <w:u w:val="single"/>
        </w:rPr>
        <w:t>In the case of a corporation which has no members</w:t>
      </w:r>
      <w:r w:rsidRPr="00F97C4A">
        <w:rPr>
          <w:rFonts w:asciiTheme="majorHAnsi" w:eastAsia="Times New Roman" w:hAnsiTheme="majorHAnsi" w:cs="Times New Roman"/>
          <w:sz w:val="28"/>
          <w:szCs w:val="28"/>
        </w:rPr>
        <w:t>, any action for which there is no specific</w:t>
      </w:r>
      <w:r w:rsidR="00345EA2" w:rsidRPr="00F97C4A">
        <w:rPr>
          <w:rFonts w:asciiTheme="majorHAnsi" w:eastAsia="Times New Roman" w:hAnsiTheme="majorHAnsi" w:cs="Times New Roman"/>
          <w:sz w:val="28"/>
          <w:szCs w:val="28"/>
        </w:rPr>
        <w:t xml:space="preserve"> </w:t>
      </w:r>
      <w:r w:rsidRPr="00F97C4A">
        <w:rPr>
          <w:rFonts w:asciiTheme="majorHAnsi" w:eastAsia="Times New Roman" w:hAnsiTheme="majorHAnsi" w:cs="Times New Roman"/>
          <w:sz w:val="28"/>
          <w:szCs w:val="28"/>
        </w:rPr>
        <w:t>provision of this part applicable to a corporation which has no members and which would</w:t>
      </w:r>
      <w:r w:rsidR="00345EA2" w:rsidRPr="00F97C4A">
        <w:rPr>
          <w:rFonts w:asciiTheme="majorHAnsi" w:eastAsia="Times New Roman" w:hAnsiTheme="majorHAnsi" w:cs="Times New Roman"/>
          <w:sz w:val="28"/>
          <w:szCs w:val="28"/>
        </w:rPr>
        <w:t xml:space="preserve"> </w:t>
      </w:r>
      <w:r w:rsidRPr="00F97C4A">
        <w:rPr>
          <w:rFonts w:asciiTheme="majorHAnsi" w:eastAsia="Times New Roman" w:hAnsiTheme="majorHAnsi" w:cs="Times New Roman"/>
          <w:sz w:val="28"/>
          <w:szCs w:val="28"/>
        </w:rPr>
        <w:t>otherwise require approval by a majority o</w:t>
      </w:r>
      <w:r w:rsidR="00345EA2" w:rsidRPr="00F97C4A">
        <w:rPr>
          <w:rFonts w:asciiTheme="majorHAnsi" w:eastAsia="Times New Roman" w:hAnsiTheme="majorHAnsi" w:cs="Times New Roman"/>
          <w:sz w:val="28"/>
          <w:szCs w:val="28"/>
        </w:rPr>
        <w:t xml:space="preserve">f all members (Section 5033) or </w:t>
      </w:r>
      <w:r w:rsidRPr="00F97C4A">
        <w:rPr>
          <w:rFonts w:asciiTheme="majorHAnsi" w:eastAsia="Times New Roman" w:hAnsiTheme="majorHAnsi" w:cs="Times New Roman"/>
          <w:sz w:val="28"/>
          <w:szCs w:val="28"/>
        </w:rPr>
        <w:t>approval by the</w:t>
      </w:r>
      <w:r w:rsidR="00345EA2" w:rsidRPr="00F97C4A">
        <w:rPr>
          <w:rFonts w:asciiTheme="majorHAnsi" w:eastAsia="Times New Roman" w:hAnsiTheme="majorHAnsi" w:cs="Times New Roman"/>
          <w:sz w:val="28"/>
          <w:szCs w:val="28"/>
        </w:rPr>
        <w:t xml:space="preserve"> </w:t>
      </w:r>
      <w:r w:rsidRPr="00F97C4A">
        <w:rPr>
          <w:rFonts w:asciiTheme="majorHAnsi" w:eastAsia="Times New Roman" w:hAnsiTheme="majorHAnsi" w:cs="Times New Roman"/>
          <w:sz w:val="28"/>
          <w:szCs w:val="28"/>
        </w:rPr>
        <w:t xml:space="preserve">members (Section 5034) </w:t>
      </w:r>
      <w:r w:rsidRPr="00F97C4A">
        <w:rPr>
          <w:rFonts w:asciiTheme="majorHAnsi" w:eastAsia="Times New Roman" w:hAnsiTheme="majorHAnsi" w:cs="Times New Roman"/>
          <w:sz w:val="28"/>
          <w:szCs w:val="28"/>
          <w:u w:val="single"/>
        </w:rPr>
        <w:t>shall require only approval of the board</w:t>
      </w:r>
      <w:r w:rsidRPr="00F97C4A">
        <w:rPr>
          <w:rFonts w:asciiTheme="majorHAnsi" w:eastAsia="Times New Roman" w:hAnsiTheme="majorHAnsi" w:cs="Times New Roman"/>
          <w:sz w:val="28"/>
          <w:szCs w:val="28"/>
        </w:rPr>
        <w:t>, any provision of this part or the</w:t>
      </w:r>
      <w:r w:rsidR="00345EA2" w:rsidRPr="00F97C4A">
        <w:rPr>
          <w:rFonts w:asciiTheme="majorHAnsi" w:eastAsia="Times New Roman" w:hAnsiTheme="majorHAnsi" w:cs="Times New Roman"/>
          <w:sz w:val="28"/>
          <w:szCs w:val="28"/>
        </w:rPr>
        <w:t xml:space="preserve"> </w:t>
      </w:r>
      <w:r w:rsidRPr="00F97C4A">
        <w:rPr>
          <w:rFonts w:asciiTheme="majorHAnsi" w:eastAsia="Times New Roman" w:hAnsiTheme="majorHAnsi" w:cs="Times New Roman"/>
          <w:sz w:val="28"/>
          <w:szCs w:val="28"/>
        </w:rPr>
        <w:t>articles or bylaws to the contrary notwithstanding.</w:t>
      </w:r>
    </w:p>
    <w:p w14:paraId="05B002D1" w14:textId="01F60536" w:rsidR="007B563E" w:rsidRPr="00F97C4A" w:rsidRDefault="007B563E" w:rsidP="007B563E">
      <w:pPr>
        <w:ind w:left="720"/>
        <w:rPr>
          <w:rFonts w:asciiTheme="majorHAnsi" w:eastAsia="Times New Roman" w:hAnsiTheme="majorHAnsi" w:cs="Times New Roman"/>
          <w:sz w:val="28"/>
          <w:szCs w:val="28"/>
        </w:rPr>
      </w:pPr>
      <w:r w:rsidRPr="00F97C4A">
        <w:rPr>
          <w:rFonts w:asciiTheme="majorHAnsi" w:eastAsia="Times New Roman" w:hAnsiTheme="majorHAnsi" w:cs="Times New Roman"/>
          <w:sz w:val="28"/>
          <w:szCs w:val="28"/>
        </w:rPr>
        <w:t xml:space="preserve">(c) Reference in this part to a </w:t>
      </w:r>
      <w:proofErr w:type="gramStart"/>
      <w:r w:rsidRPr="00F97C4A">
        <w:rPr>
          <w:rFonts w:asciiTheme="majorHAnsi" w:eastAsia="Times New Roman" w:hAnsiTheme="majorHAnsi" w:cs="Times New Roman"/>
          <w:sz w:val="28"/>
          <w:szCs w:val="28"/>
        </w:rPr>
        <w:t>c</w:t>
      </w:r>
      <w:r w:rsidR="00345EA2" w:rsidRPr="00F97C4A">
        <w:rPr>
          <w:rFonts w:asciiTheme="majorHAnsi" w:eastAsia="Times New Roman" w:hAnsiTheme="majorHAnsi" w:cs="Times New Roman"/>
          <w:sz w:val="28"/>
          <w:szCs w:val="28"/>
        </w:rPr>
        <w:t>orporation which has no members</w:t>
      </w:r>
      <w:proofErr w:type="gramEnd"/>
      <w:r w:rsidR="00345EA2" w:rsidRPr="00F97C4A">
        <w:rPr>
          <w:rFonts w:asciiTheme="majorHAnsi" w:eastAsia="Times New Roman" w:hAnsiTheme="majorHAnsi" w:cs="Times New Roman"/>
          <w:sz w:val="28"/>
          <w:szCs w:val="28"/>
        </w:rPr>
        <w:t xml:space="preserve"> </w:t>
      </w:r>
      <w:r w:rsidRPr="00F97C4A">
        <w:rPr>
          <w:rFonts w:asciiTheme="majorHAnsi" w:eastAsia="Times New Roman" w:hAnsiTheme="majorHAnsi" w:cs="Times New Roman"/>
          <w:sz w:val="28"/>
          <w:szCs w:val="28"/>
        </w:rPr>
        <w:t>includes a corporation in which</w:t>
      </w:r>
      <w:r w:rsidR="00345EA2" w:rsidRPr="00F97C4A">
        <w:rPr>
          <w:rFonts w:asciiTheme="majorHAnsi" w:eastAsia="Times New Roman" w:hAnsiTheme="majorHAnsi" w:cs="Times New Roman"/>
          <w:sz w:val="28"/>
          <w:szCs w:val="28"/>
        </w:rPr>
        <w:t xml:space="preserve"> </w:t>
      </w:r>
      <w:r w:rsidRPr="00F97C4A">
        <w:rPr>
          <w:rFonts w:asciiTheme="majorHAnsi" w:eastAsia="Times New Roman" w:hAnsiTheme="majorHAnsi" w:cs="Times New Roman"/>
          <w:sz w:val="28"/>
          <w:szCs w:val="28"/>
        </w:rPr>
        <w:t>the directors are the only members.</w:t>
      </w:r>
    </w:p>
    <w:p w14:paraId="0B1E8AA9" w14:textId="5450C48A" w:rsidR="003A1B9F" w:rsidRPr="00F97C4A" w:rsidRDefault="00F97C4A" w:rsidP="003A1B9F">
      <w:pPr>
        <w:shd w:val="clear" w:color="auto" w:fill="FFFFFF"/>
        <w:spacing w:before="100" w:beforeAutospacing="1" w:after="100" w:afterAutospacing="1"/>
        <w:rPr>
          <w:rFonts w:asciiTheme="majorHAnsi" w:hAnsiTheme="majorHAnsi" w:cs="Times New Roman"/>
          <w:color w:val="333333"/>
          <w:sz w:val="28"/>
          <w:szCs w:val="28"/>
        </w:rPr>
      </w:pPr>
      <w:r>
        <w:rPr>
          <w:rFonts w:asciiTheme="majorHAnsi" w:hAnsiTheme="majorHAnsi" w:cs="Times New Roman"/>
          <w:color w:val="333333"/>
          <w:sz w:val="28"/>
          <w:szCs w:val="28"/>
        </w:rPr>
        <w:t>In</w:t>
      </w:r>
      <w:r w:rsidR="003A1B9F" w:rsidRPr="00F97C4A">
        <w:rPr>
          <w:rFonts w:asciiTheme="majorHAnsi" w:hAnsiTheme="majorHAnsi" w:cs="Times New Roman"/>
          <w:color w:val="333333"/>
          <w:sz w:val="28"/>
          <w:szCs w:val="28"/>
        </w:rPr>
        <w:t xml:space="preserve"> corporate “for-profit” entities, the </w:t>
      </w:r>
      <w:proofErr w:type="gramStart"/>
      <w:r w:rsidR="003A1B9F" w:rsidRPr="00F97C4A">
        <w:rPr>
          <w:rFonts w:asciiTheme="majorHAnsi" w:hAnsiTheme="majorHAnsi" w:cs="Times New Roman"/>
          <w:color w:val="333333"/>
          <w:sz w:val="28"/>
          <w:szCs w:val="28"/>
        </w:rPr>
        <w:t xml:space="preserve">board and the staff </w:t>
      </w:r>
      <w:r>
        <w:rPr>
          <w:rFonts w:asciiTheme="majorHAnsi" w:hAnsiTheme="majorHAnsi" w:cs="Times New Roman"/>
          <w:color w:val="333333"/>
          <w:sz w:val="28"/>
          <w:szCs w:val="28"/>
        </w:rPr>
        <w:t xml:space="preserve">powers </w:t>
      </w:r>
      <w:r w:rsidR="003A1B9F" w:rsidRPr="00F97C4A">
        <w:rPr>
          <w:rFonts w:asciiTheme="majorHAnsi" w:hAnsiTheme="majorHAnsi" w:cs="Times New Roman"/>
          <w:color w:val="333333"/>
          <w:sz w:val="28"/>
          <w:szCs w:val="28"/>
        </w:rPr>
        <w:t xml:space="preserve">would be balanced by the legal rights of stockholders, debt-holders, financial disclosures, and other </w:t>
      </w:r>
      <w:r>
        <w:rPr>
          <w:rFonts w:asciiTheme="majorHAnsi" w:hAnsiTheme="majorHAnsi" w:cs="Times New Roman"/>
          <w:color w:val="333333"/>
          <w:sz w:val="28"/>
          <w:szCs w:val="28"/>
        </w:rPr>
        <w:t xml:space="preserve">legal remedies </w:t>
      </w:r>
      <w:r w:rsidR="003A1B9F" w:rsidRPr="00F97C4A">
        <w:rPr>
          <w:rFonts w:asciiTheme="majorHAnsi" w:hAnsiTheme="majorHAnsi" w:cs="Times New Roman"/>
          <w:color w:val="333333"/>
          <w:sz w:val="28"/>
          <w:szCs w:val="28"/>
        </w:rPr>
        <w:t>not applicable to a non-profit entity</w:t>
      </w:r>
      <w:proofErr w:type="gramEnd"/>
      <w:r w:rsidR="003A1B9F" w:rsidRPr="00F97C4A">
        <w:rPr>
          <w:rFonts w:asciiTheme="majorHAnsi" w:hAnsiTheme="majorHAnsi" w:cs="Times New Roman"/>
          <w:color w:val="333333"/>
          <w:sz w:val="28"/>
          <w:szCs w:val="28"/>
        </w:rPr>
        <w:t>. As such, the controversies that have surrounded, and continue to surround ICANN, are based on inadequate corporate governance and accountability mechanisms.</w:t>
      </w:r>
    </w:p>
    <w:p w14:paraId="5A7A58E3" w14:textId="6A4FC7C8" w:rsidR="00DC7815" w:rsidRPr="00F97C4A" w:rsidRDefault="00B3047B" w:rsidP="00FA4455">
      <w:pPr>
        <w:pStyle w:val="NormalWeb"/>
        <w:shd w:val="clear" w:color="auto" w:fill="FFFFFF"/>
        <w:spacing w:line="315" w:lineRule="atLeast"/>
        <w:rPr>
          <w:rFonts w:asciiTheme="majorHAnsi" w:hAnsiTheme="majorHAnsi"/>
          <w:sz w:val="28"/>
          <w:szCs w:val="28"/>
        </w:rPr>
      </w:pPr>
      <w:r w:rsidRPr="00F97C4A">
        <w:rPr>
          <w:rFonts w:asciiTheme="majorHAnsi" w:hAnsiTheme="majorHAnsi"/>
          <w:sz w:val="28"/>
          <w:szCs w:val="28"/>
        </w:rPr>
        <w:t>ICANN has yet to demonstrate</w:t>
      </w:r>
      <w:r w:rsidR="00744FBC" w:rsidRPr="00F97C4A">
        <w:rPr>
          <w:rFonts w:asciiTheme="majorHAnsi" w:hAnsiTheme="majorHAnsi"/>
          <w:sz w:val="28"/>
          <w:szCs w:val="28"/>
        </w:rPr>
        <w:t>,</w:t>
      </w:r>
      <w:r w:rsidRPr="00F97C4A">
        <w:rPr>
          <w:rFonts w:asciiTheme="majorHAnsi" w:hAnsiTheme="majorHAnsi"/>
          <w:sz w:val="28"/>
          <w:szCs w:val="28"/>
        </w:rPr>
        <w:t xml:space="preserve"> in any meaningful way</w:t>
      </w:r>
      <w:r w:rsidR="00744FBC" w:rsidRPr="00F97C4A">
        <w:rPr>
          <w:rFonts w:asciiTheme="majorHAnsi" w:hAnsiTheme="majorHAnsi"/>
          <w:sz w:val="28"/>
          <w:szCs w:val="28"/>
        </w:rPr>
        <w:t>,</w:t>
      </w:r>
      <w:r w:rsidRPr="00F97C4A">
        <w:rPr>
          <w:rFonts w:asciiTheme="majorHAnsi" w:hAnsiTheme="majorHAnsi"/>
          <w:sz w:val="28"/>
          <w:szCs w:val="28"/>
        </w:rPr>
        <w:t xml:space="preserve"> their ability to </w:t>
      </w:r>
      <w:r w:rsidR="00965C6A" w:rsidRPr="00F97C4A">
        <w:rPr>
          <w:rFonts w:asciiTheme="majorHAnsi" w:hAnsiTheme="majorHAnsi"/>
          <w:sz w:val="28"/>
          <w:szCs w:val="28"/>
        </w:rPr>
        <w:t xml:space="preserve">conform </w:t>
      </w:r>
      <w:r w:rsidR="008D7197" w:rsidRPr="00F97C4A">
        <w:rPr>
          <w:rFonts w:asciiTheme="majorHAnsi" w:hAnsiTheme="majorHAnsi"/>
          <w:sz w:val="28"/>
          <w:szCs w:val="28"/>
        </w:rPr>
        <w:t>to</w:t>
      </w:r>
      <w:r w:rsidRPr="00F97C4A">
        <w:rPr>
          <w:rFonts w:asciiTheme="majorHAnsi" w:hAnsiTheme="majorHAnsi"/>
          <w:sz w:val="28"/>
          <w:szCs w:val="28"/>
        </w:rPr>
        <w:t xml:space="preserve"> the accountability and transparency</w:t>
      </w:r>
      <w:r w:rsidR="00744FBC" w:rsidRPr="00F97C4A">
        <w:rPr>
          <w:rFonts w:asciiTheme="majorHAnsi" w:hAnsiTheme="majorHAnsi"/>
          <w:sz w:val="28"/>
          <w:szCs w:val="28"/>
        </w:rPr>
        <w:t xml:space="preserve"> requirements </w:t>
      </w:r>
      <w:r w:rsidR="00932D96" w:rsidRPr="00F97C4A">
        <w:rPr>
          <w:rFonts w:asciiTheme="majorHAnsi" w:hAnsiTheme="majorHAnsi"/>
          <w:sz w:val="28"/>
          <w:szCs w:val="28"/>
        </w:rPr>
        <w:t xml:space="preserve">contained in the AOC </w:t>
      </w:r>
      <w:r w:rsidR="00744FBC" w:rsidRPr="00F97C4A">
        <w:rPr>
          <w:rFonts w:asciiTheme="majorHAnsi" w:hAnsiTheme="majorHAnsi"/>
          <w:sz w:val="28"/>
          <w:szCs w:val="28"/>
        </w:rPr>
        <w:t>other than surface level measures</w:t>
      </w:r>
      <w:r w:rsidR="00DC7815" w:rsidRPr="00F97C4A">
        <w:rPr>
          <w:rFonts w:asciiTheme="majorHAnsi" w:hAnsiTheme="majorHAnsi"/>
          <w:sz w:val="28"/>
          <w:szCs w:val="28"/>
        </w:rPr>
        <w:t xml:space="preserve"> to keep critics at bay</w:t>
      </w:r>
      <w:r w:rsidR="00B05769">
        <w:rPr>
          <w:rFonts w:asciiTheme="majorHAnsi" w:hAnsiTheme="majorHAnsi"/>
          <w:sz w:val="28"/>
          <w:szCs w:val="28"/>
        </w:rPr>
        <w:t xml:space="preserve"> and those changes were implemented at a glacial pace</w:t>
      </w:r>
      <w:r w:rsidRPr="00F97C4A">
        <w:rPr>
          <w:rFonts w:asciiTheme="majorHAnsi" w:hAnsiTheme="majorHAnsi"/>
          <w:sz w:val="28"/>
          <w:szCs w:val="28"/>
        </w:rPr>
        <w:t xml:space="preserve">. </w:t>
      </w:r>
      <w:r w:rsidR="00932D96" w:rsidRPr="00F97C4A">
        <w:rPr>
          <w:rFonts w:asciiTheme="majorHAnsi" w:hAnsiTheme="majorHAnsi"/>
          <w:sz w:val="28"/>
          <w:szCs w:val="28"/>
        </w:rPr>
        <w:t>At</w:t>
      </w:r>
      <w:r w:rsidR="00DC7815" w:rsidRPr="00F97C4A">
        <w:rPr>
          <w:rFonts w:asciiTheme="majorHAnsi" w:hAnsiTheme="majorHAnsi"/>
          <w:sz w:val="28"/>
          <w:szCs w:val="28"/>
        </w:rPr>
        <w:t xml:space="preserve"> some point, ICANN’s continuous </w:t>
      </w:r>
      <w:r w:rsidR="00932D96" w:rsidRPr="00F97C4A">
        <w:rPr>
          <w:rFonts w:asciiTheme="majorHAnsi" w:hAnsiTheme="majorHAnsi"/>
          <w:sz w:val="28"/>
          <w:szCs w:val="28"/>
        </w:rPr>
        <w:t xml:space="preserve">shielding </w:t>
      </w:r>
      <w:r w:rsidR="00DC7815" w:rsidRPr="00F97C4A">
        <w:rPr>
          <w:rFonts w:asciiTheme="majorHAnsi" w:hAnsiTheme="majorHAnsi"/>
          <w:sz w:val="28"/>
          <w:szCs w:val="28"/>
        </w:rPr>
        <w:t>of accountability and</w:t>
      </w:r>
      <w:r w:rsidR="00932D96" w:rsidRPr="00F97C4A">
        <w:rPr>
          <w:rFonts w:asciiTheme="majorHAnsi" w:hAnsiTheme="majorHAnsi"/>
          <w:sz w:val="28"/>
          <w:szCs w:val="28"/>
        </w:rPr>
        <w:t xml:space="preserve"> liability will be tested in a court of law </w:t>
      </w:r>
      <w:r w:rsidR="007B563E" w:rsidRPr="00F97C4A">
        <w:rPr>
          <w:rFonts w:asciiTheme="majorHAnsi" w:hAnsiTheme="majorHAnsi"/>
          <w:sz w:val="28"/>
          <w:szCs w:val="28"/>
        </w:rPr>
        <w:t>as</w:t>
      </w:r>
      <w:r w:rsidR="00DC7815" w:rsidRPr="00F97C4A">
        <w:rPr>
          <w:rFonts w:asciiTheme="majorHAnsi" w:hAnsiTheme="majorHAnsi"/>
          <w:sz w:val="28"/>
          <w:szCs w:val="28"/>
        </w:rPr>
        <w:t xml:space="preserve"> </w:t>
      </w:r>
      <w:r w:rsidR="00932D96" w:rsidRPr="00F97C4A">
        <w:rPr>
          <w:rFonts w:asciiTheme="majorHAnsi" w:hAnsiTheme="majorHAnsi"/>
          <w:sz w:val="28"/>
          <w:szCs w:val="28"/>
        </w:rPr>
        <w:t>unenforceable</w:t>
      </w:r>
      <w:r w:rsidR="00DC7815" w:rsidRPr="00F97C4A">
        <w:rPr>
          <w:rFonts w:asciiTheme="majorHAnsi" w:hAnsiTheme="majorHAnsi"/>
          <w:sz w:val="28"/>
          <w:szCs w:val="28"/>
        </w:rPr>
        <w:t xml:space="preserve">.  </w:t>
      </w:r>
      <w:r w:rsidR="00965C6A" w:rsidRPr="00F97C4A">
        <w:rPr>
          <w:rFonts w:asciiTheme="majorHAnsi" w:hAnsiTheme="majorHAnsi"/>
          <w:sz w:val="28"/>
          <w:szCs w:val="28"/>
        </w:rPr>
        <w:t xml:space="preserve">For example, </w:t>
      </w:r>
      <w:r w:rsidRPr="00F97C4A">
        <w:rPr>
          <w:rFonts w:asciiTheme="majorHAnsi" w:hAnsiTheme="majorHAnsi"/>
          <w:sz w:val="28"/>
          <w:szCs w:val="28"/>
        </w:rPr>
        <w:t>new gTLD applicant</w:t>
      </w:r>
      <w:r w:rsidR="00965C6A" w:rsidRPr="00F97C4A">
        <w:rPr>
          <w:rFonts w:asciiTheme="majorHAnsi" w:hAnsiTheme="majorHAnsi"/>
          <w:sz w:val="28"/>
          <w:szCs w:val="28"/>
        </w:rPr>
        <w:t>s</w:t>
      </w:r>
      <w:r w:rsidRPr="00F97C4A">
        <w:rPr>
          <w:rFonts w:asciiTheme="majorHAnsi" w:hAnsiTheme="majorHAnsi"/>
          <w:sz w:val="28"/>
          <w:szCs w:val="28"/>
        </w:rPr>
        <w:t xml:space="preserve"> must </w:t>
      </w:r>
      <w:r w:rsidR="007B563E" w:rsidRPr="00F97C4A">
        <w:rPr>
          <w:rFonts w:asciiTheme="majorHAnsi" w:hAnsiTheme="majorHAnsi"/>
          <w:sz w:val="28"/>
          <w:szCs w:val="28"/>
        </w:rPr>
        <w:t xml:space="preserve">pay $185,000 USD </w:t>
      </w:r>
      <w:r w:rsidR="00061013">
        <w:rPr>
          <w:rFonts w:asciiTheme="majorHAnsi" w:hAnsiTheme="majorHAnsi"/>
          <w:sz w:val="28"/>
          <w:szCs w:val="28"/>
        </w:rPr>
        <w:t xml:space="preserve">to apply for a gTLD extension </w:t>
      </w:r>
      <w:r w:rsidR="007B563E" w:rsidRPr="00F97C4A">
        <w:rPr>
          <w:rFonts w:asciiTheme="majorHAnsi" w:hAnsiTheme="majorHAnsi"/>
          <w:sz w:val="28"/>
          <w:szCs w:val="28"/>
        </w:rPr>
        <w:t xml:space="preserve">and </w:t>
      </w:r>
      <w:r w:rsidRPr="00F97C4A">
        <w:rPr>
          <w:rFonts w:asciiTheme="majorHAnsi" w:hAnsiTheme="majorHAnsi"/>
          <w:sz w:val="28"/>
          <w:szCs w:val="28"/>
        </w:rPr>
        <w:t>waive all rights to sue ICANN</w:t>
      </w:r>
      <w:r w:rsidR="00061013">
        <w:rPr>
          <w:rFonts w:asciiTheme="majorHAnsi" w:hAnsiTheme="majorHAnsi"/>
          <w:sz w:val="28"/>
          <w:szCs w:val="28"/>
        </w:rPr>
        <w:t xml:space="preserve"> and</w:t>
      </w:r>
      <w:r w:rsidRPr="00F97C4A">
        <w:rPr>
          <w:rFonts w:asciiTheme="majorHAnsi" w:hAnsiTheme="majorHAnsi"/>
          <w:sz w:val="28"/>
          <w:szCs w:val="28"/>
        </w:rPr>
        <w:t xml:space="preserve"> the only </w:t>
      </w:r>
      <w:r w:rsidR="00965C6A" w:rsidRPr="00F97C4A">
        <w:rPr>
          <w:rFonts w:asciiTheme="majorHAnsi" w:hAnsiTheme="majorHAnsi"/>
          <w:sz w:val="28"/>
          <w:szCs w:val="28"/>
        </w:rPr>
        <w:t>redress availab</w:t>
      </w:r>
      <w:r w:rsidR="00932D96" w:rsidRPr="00F97C4A">
        <w:rPr>
          <w:rFonts w:asciiTheme="majorHAnsi" w:hAnsiTheme="majorHAnsi"/>
          <w:sz w:val="28"/>
          <w:szCs w:val="28"/>
        </w:rPr>
        <w:t xml:space="preserve">le to applicants is through (1) </w:t>
      </w:r>
      <w:r w:rsidR="00DC7815" w:rsidRPr="00F97C4A">
        <w:rPr>
          <w:rFonts w:asciiTheme="majorHAnsi" w:hAnsiTheme="majorHAnsi"/>
          <w:sz w:val="28"/>
          <w:szCs w:val="28"/>
        </w:rPr>
        <w:t>the ICANN Ombudsman, who reports to and is compensated by the ICANN Board; (2</w:t>
      </w:r>
      <w:r w:rsidR="00932D96" w:rsidRPr="00F97C4A">
        <w:rPr>
          <w:rFonts w:asciiTheme="majorHAnsi" w:hAnsiTheme="majorHAnsi"/>
          <w:sz w:val="28"/>
          <w:szCs w:val="28"/>
        </w:rPr>
        <w:t xml:space="preserve">) </w:t>
      </w:r>
      <w:r w:rsidR="00061013">
        <w:rPr>
          <w:rFonts w:asciiTheme="majorHAnsi" w:hAnsiTheme="majorHAnsi"/>
          <w:sz w:val="28"/>
          <w:szCs w:val="28"/>
        </w:rPr>
        <w:t>a Reconsideration Request reviewed by</w:t>
      </w:r>
      <w:r w:rsidR="00DC7815" w:rsidRPr="00F97C4A">
        <w:rPr>
          <w:rFonts w:asciiTheme="majorHAnsi" w:hAnsiTheme="majorHAnsi"/>
          <w:sz w:val="28"/>
          <w:szCs w:val="28"/>
        </w:rPr>
        <w:t xml:space="preserve"> ICANN</w:t>
      </w:r>
      <w:r w:rsidR="00061013">
        <w:rPr>
          <w:rFonts w:asciiTheme="majorHAnsi" w:hAnsiTheme="majorHAnsi"/>
          <w:sz w:val="28"/>
          <w:szCs w:val="28"/>
        </w:rPr>
        <w:t>’s</w:t>
      </w:r>
      <w:r w:rsidR="00DC7815" w:rsidRPr="00F97C4A">
        <w:rPr>
          <w:rFonts w:asciiTheme="majorHAnsi" w:hAnsiTheme="majorHAnsi"/>
          <w:sz w:val="28"/>
          <w:szCs w:val="28"/>
        </w:rPr>
        <w:t xml:space="preserve"> Board Governance Committee (“BGC”); and (3) </w:t>
      </w:r>
      <w:r w:rsidR="00061013">
        <w:rPr>
          <w:rFonts w:asciiTheme="majorHAnsi" w:hAnsiTheme="majorHAnsi"/>
          <w:sz w:val="28"/>
          <w:szCs w:val="28"/>
        </w:rPr>
        <w:t>an</w:t>
      </w:r>
      <w:r w:rsidR="00932D96" w:rsidRPr="00F97C4A">
        <w:rPr>
          <w:rFonts w:asciiTheme="majorHAnsi" w:hAnsiTheme="majorHAnsi"/>
          <w:sz w:val="28"/>
          <w:szCs w:val="28"/>
        </w:rPr>
        <w:t xml:space="preserve"> Independent Review Process (“IRP”),</w:t>
      </w:r>
      <w:r w:rsidR="00061013">
        <w:rPr>
          <w:rFonts w:asciiTheme="majorHAnsi" w:hAnsiTheme="majorHAnsi"/>
          <w:sz w:val="28"/>
          <w:szCs w:val="28"/>
        </w:rPr>
        <w:t xml:space="preserve"> which is very limited in scope and narrowly construed</w:t>
      </w:r>
      <w:r w:rsidR="00744FBC" w:rsidRPr="00F97C4A">
        <w:rPr>
          <w:rFonts w:asciiTheme="majorHAnsi" w:hAnsiTheme="majorHAnsi"/>
          <w:sz w:val="28"/>
          <w:szCs w:val="28"/>
        </w:rPr>
        <w:t xml:space="preserve"> under ICANN’s Bylaws</w:t>
      </w:r>
      <w:r w:rsidR="008D7197" w:rsidRPr="00F97C4A">
        <w:rPr>
          <w:rFonts w:asciiTheme="majorHAnsi" w:hAnsiTheme="majorHAnsi"/>
          <w:sz w:val="28"/>
          <w:szCs w:val="28"/>
        </w:rPr>
        <w:t>.  In order to ha</w:t>
      </w:r>
      <w:r w:rsidR="007B563E" w:rsidRPr="00F97C4A">
        <w:rPr>
          <w:rFonts w:asciiTheme="majorHAnsi" w:hAnsiTheme="majorHAnsi"/>
          <w:sz w:val="28"/>
          <w:szCs w:val="28"/>
        </w:rPr>
        <w:t xml:space="preserve">ve standing to bring an IRP, a new gTLD </w:t>
      </w:r>
      <w:r w:rsidR="008D7197" w:rsidRPr="00F97C4A">
        <w:rPr>
          <w:rFonts w:asciiTheme="majorHAnsi" w:hAnsiTheme="majorHAnsi"/>
          <w:sz w:val="28"/>
          <w:szCs w:val="28"/>
        </w:rPr>
        <w:t xml:space="preserve">applicant must prove that </w:t>
      </w:r>
      <w:r w:rsidR="007B563E" w:rsidRPr="00F97C4A">
        <w:rPr>
          <w:rFonts w:asciiTheme="majorHAnsi" w:hAnsiTheme="majorHAnsi"/>
          <w:sz w:val="28"/>
          <w:szCs w:val="28"/>
        </w:rPr>
        <w:t>an ICANN Board</w:t>
      </w:r>
      <w:r w:rsidRPr="00F97C4A">
        <w:rPr>
          <w:rFonts w:asciiTheme="majorHAnsi" w:hAnsiTheme="majorHAnsi"/>
          <w:sz w:val="28"/>
          <w:szCs w:val="28"/>
        </w:rPr>
        <w:t xml:space="preserve"> action or inaction </w:t>
      </w:r>
      <w:r w:rsidR="008D7197" w:rsidRPr="00F97C4A">
        <w:rPr>
          <w:rFonts w:asciiTheme="majorHAnsi" w:hAnsiTheme="majorHAnsi"/>
          <w:sz w:val="28"/>
          <w:szCs w:val="28"/>
        </w:rPr>
        <w:t xml:space="preserve">violated </w:t>
      </w:r>
      <w:r w:rsidR="00744FBC" w:rsidRPr="00F97C4A">
        <w:rPr>
          <w:rFonts w:asciiTheme="majorHAnsi" w:hAnsiTheme="majorHAnsi"/>
          <w:sz w:val="28"/>
          <w:szCs w:val="28"/>
        </w:rPr>
        <w:t>ICANN’s</w:t>
      </w:r>
      <w:r w:rsidR="008D7197" w:rsidRPr="00F97C4A">
        <w:rPr>
          <w:rFonts w:asciiTheme="majorHAnsi" w:hAnsiTheme="majorHAnsi"/>
          <w:sz w:val="28"/>
          <w:szCs w:val="28"/>
        </w:rPr>
        <w:t xml:space="preserve"> </w:t>
      </w:r>
      <w:r w:rsidRPr="00F97C4A">
        <w:rPr>
          <w:rFonts w:asciiTheme="majorHAnsi" w:hAnsiTheme="majorHAnsi"/>
          <w:sz w:val="28"/>
          <w:szCs w:val="28"/>
        </w:rPr>
        <w:t>Articles of Incorporation or Bylaws.</w:t>
      </w:r>
      <w:r w:rsidR="00EA13B4" w:rsidRPr="00F97C4A">
        <w:rPr>
          <w:rFonts w:asciiTheme="majorHAnsi" w:hAnsiTheme="majorHAnsi"/>
          <w:sz w:val="28"/>
          <w:szCs w:val="28"/>
        </w:rPr>
        <w:t xml:space="preserve">  </w:t>
      </w:r>
      <w:r w:rsidR="008D7197" w:rsidRPr="00F97C4A">
        <w:rPr>
          <w:rFonts w:asciiTheme="majorHAnsi" w:hAnsiTheme="majorHAnsi"/>
          <w:sz w:val="28"/>
          <w:szCs w:val="28"/>
        </w:rPr>
        <w:t xml:space="preserve">ICANN has firmly held the position that new </w:t>
      </w:r>
      <w:r w:rsidR="007B563E" w:rsidRPr="00F97C4A">
        <w:rPr>
          <w:rFonts w:asciiTheme="majorHAnsi" w:hAnsiTheme="majorHAnsi"/>
          <w:sz w:val="28"/>
          <w:szCs w:val="28"/>
        </w:rPr>
        <w:t>gTLD applicant</w:t>
      </w:r>
      <w:r w:rsidR="008D7197" w:rsidRPr="00F97C4A">
        <w:rPr>
          <w:rFonts w:asciiTheme="majorHAnsi" w:hAnsiTheme="majorHAnsi"/>
          <w:sz w:val="28"/>
          <w:szCs w:val="28"/>
        </w:rPr>
        <w:t xml:space="preserve">s do not have standing to bring an IRP despite numerous IRP Panels </w:t>
      </w:r>
      <w:r w:rsidR="007B563E" w:rsidRPr="00F97C4A">
        <w:rPr>
          <w:rFonts w:asciiTheme="majorHAnsi" w:hAnsiTheme="majorHAnsi"/>
          <w:sz w:val="28"/>
          <w:szCs w:val="28"/>
        </w:rPr>
        <w:t>indicat</w:t>
      </w:r>
      <w:r w:rsidR="00932D96" w:rsidRPr="00F97C4A">
        <w:rPr>
          <w:rFonts w:asciiTheme="majorHAnsi" w:hAnsiTheme="majorHAnsi"/>
          <w:sz w:val="28"/>
          <w:szCs w:val="28"/>
        </w:rPr>
        <w:t>ing</w:t>
      </w:r>
      <w:r w:rsidR="00744FBC" w:rsidRPr="00F97C4A">
        <w:rPr>
          <w:rFonts w:asciiTheme="majorHAnsi" w:hAnsiTheme="majorHAnsi"/>
          <w:sz w:val="28"/>
          <w:szCs w:val="28"/>
        </w:rPr>
        <w:t xml:space="preserve"> </w:t>
      </w:r>
      <w:r w:rsidR="008D7197" w:rsidRPr="00F97C4A">
        <w:rPr>
          <w:rFonts w:asciiTheme="majorHAnsi" w:hAnsiTheme="majorHAnsi"/>
          <w:sz w:val="28"/>
          <w:szCs w:val="28"/>
        </w:rPr>
        <w:t xml:space="preserve">otherwise.  </w:t>
      </w:r>
      <w:r w:rsidR="00EA13B4" w:rsidRPr="00F97C4A">
        <w:rPr>
          <w:rFonts w:asciiTheme="majorHAnsi" w:hAnsiTheme="majorHAnsi"/>
          <w:sz w:val="28"/>
          <w:szCs w:val="28"/>
        </w:rPr>
        <w:t xml:space="preserve">The IRP process is </w:t>
      </w:r>
      <w:r w:rsidR="008D7197" w:rsidRPr="00F97C4A">
        <w:rPr>
          <w:rFonts w:asciiTheme="majorHAnsi" w:hAnsiTheme="majorHAnsi"/>
          <w:sz w:val="28"/>
          <w:szCs w:val="28"/>
        </w:rPr>
        <w:t xml:space="preserve">extremely </w:t>
      </w:r>
      <w:r w:rsidR="00EA13B4" w:rsidRPr="00F97C4A">
        <w:rPr>
          <w:rFonts w:asciiTheme="majorHAnsi" w:hAnsiTheme="majorHAnsi"/>
          <w:sz w:val="28"/>
          <w:szCs w:val="28"/>
        </w:rPr>
        <w:t>expensive (</w:t>
      </w:r>
      <w:r w:rsidRPr="00F97C4A">
        <w:rPr>
          <w:rFonts w:asciiTheme="majorHAnsi" w:hAnsiTheme="majorHAnsi"/>
          <w:sz w:val="28"/>
          <w:szCs w:val="28"/>
        </w:rPr>
        <w:t>typically in excess of $1M USD</w:t>
      </w:r>
      <w:r w:rsidR="00EA13B4" w:rsidRPr="00F97C4A">
        <w:rPr>
          <w:rFonts w:asciiTheme="majorHAnsi" w:hAnsiTheme="majorHAnsi"/>
          <w:sz w:val="28"/>
          <w:szCs w:val="28"/>
        </w:rPr>
        <w:t>)</w:t>
      </w:r>
      <w:r w:rsidR="00865F72">
        <w:rPr>
          <w:rFonts w:asciiTheme="majorHAnsi" w:hAnsiTheme="majorHAnsi"/>
          <w:sz w:val="28"/>
          <w:szCs w:val="28"/>
        </w:rPr>
        <w:t xml:space="preserve">, takes approximately two </w:t>
      </w:r>
      <w:r w:rsidRPr="00F97C4A">
        <w:rPr>
          <w:rFonts w:asciiTheme="majorHAnsi" w:hAnsiTheme="majorHAnsi"/>
          <w:sz w:val="28"/>
          <w:szCs w:val="28"/>
        </w:rPr>
        <w:t>years to resolve, and is a process which is heavily weighted in ICANN’s favor.</w:t>
      </w:r>
      <w:r w:rsidR="00EA13B4" w:rsidRPr="00F97C4A">
        <w:rPr>
          <w:rFonts w:asciiTheme="majorHAnsi" w:hAnsiTheme="majorHAnsi"/>
          <w:sz w:val="28"/>
          <w:szCs w:val="28"/>
        </w:rPr>
        <w:t xml:space="preserve">  Many critics are opposed to the IRP as a </w:t>
      </w:r>
      <w:r w:rsidR="008D7197" w:rsidRPr="00F97C4A">
        <w:rPr>
          <w:rFonts w:asciiTheme="majorHAnsi" w:hAnsiTheme="majorHAnsi"/>
          <w:sz w:val="28"/>
          <w:szCs w:val="28"/>
        </w:rPr>
        <w:t>viable</w:t>
      </w:r>
      <w:r w:rsidR="00EA13B4" w:rsidRPr="00F97C4A">
        <w:rPr>
          <w:rFonts w:asciiTheme="majorHAnsi" w:hAnsiTheme="majorHAnsi"/>
          <w:sz w:val="28"/>
          <w:szCs w:val="28"/>
        </w:rPr>
        <w:t xml:space="preserve"> accountability mechanism since ICANN views the </w:t>
      </w:r>
      <w:r w:rsidR="008D7197" w:rsidRPr="00F97C4A">
        <w:rPr>
          <w:rFonts w:asciiTheme="majorHAnsi" w:hAnsiTheme="majorHAnsi"/>
          <w:sz w:val="28"/>
          <w:szCs w:val="28"/>
        </w:rPr>
        <w:t>IRP outcome as</w:t>
      </w:r>
      <w:r w:rsidR="00744FBC" w:rsidRPr="00F97C4A">
        <w:rPr>
          <w:rFonts w:asciiTheme="majorHAnsi" w:hAnsiTheme="majorHAnsi"/>
          <w:sz w:val="28"/>
          <w:szCs w:val="28"/>
        </w:rPr>
        <w:t xml:space="preserve"> merely</w:t>
      </w:r>
      <w:r w:rsidR="008D7197" w:rsidRPr="00F97C4A">
        <w:rPr>
          <w:rFonts w:asciiTheme="majorHAnsi" w:hAnsiTheme="majorHAnsi"/>
          <w:sz w:val="28"/>
          <w:szCs w:val="28"/>
        </w:rPr>
        <w:t xml:space="preserve"> “discretionary” </w:t>
      </w:r>
      <w:r w:rsidR="00EA13B4" w:rsidRPr="00F97C4A">
        <w:rPr>
          <w:rFonts w:asciiTheme="majorHAnsi" w:hAnsiTheme="majorHAnsi"/>
          <w:sz w:val="28"/>
          <w:szCs w:val="28"/>
        </w:rPr>
        <w:t>upon the Board</w:t>
      </w:r>
      <w:r w:rsidR="007B563E" w:rsidRPr="00F97C4A">
        <w:rPr>
          <w:rFonts w:asciiTheme="majorHAnsi" w:hAnsiTheme="majorHAnsi"/>
          <w:sz w:val="28"/>
          <w:szCs w:val="28"/>
        </w:rPr>
        <w:t xml:space="preserve"> and not “binding” authority</w:t>
      </w:r>
      <w:r w:rsidR="00EA13B4" w:rsidRPr="00F97C4A">
        <w:rPr>
          <w:rFonts w:asciiTheme="majorHAnsi" w:hAnsiTheme="majorHAnsi"/>
          <w:sz w:val="28"/>
          <w:szCs w:val="28"/>
        </w:rPr>
        <w:t xml:space="preserve">. </w:t>
      </w:r>
    </w:p>
    <w:p w14:paraId="222385C2" w14:textId="7A2C065E" w:rsidR="00FA4455" w:rsidRPr="00F97C4A" w:rsidRDefault="008D7197" w:rsidP="00FA4455">
      <w:pPr>
        <w:pStyle w:val="NormalWeb"/>
        <w:shd w:val="clear" w:color="auto" w:fill="FFFFFF"/>
        <w:spacing w:line="315" w:lineRule="atLeast"/>
        <w:rPr>
          <w:rFonts w:asciiTheme="majorHAnsi" w:hAnsiTheme="majorHAnsi"/>
          <w:color w:val="000000"/>
          <w:sz w:val="28"/>
          <w:szCs w:val="28"/>
        </w:rPr>
      </w:pPr>
      <w:r w:rsidRPr="00F97C4A">
        <w:rPr>
          <w:rFonts w:asciiTheme="majorHAnsi" w:hAnsiTheme="majorHAnsi"/>
          <w:sz w:val="28"/>
          <w:szCs w:val="28"/>
        </w:rPr>
        <w:t>In the proposed framework</w:t>
      </w:r>
      <w:r w:rsidR="00744FBC" w:rsidRPr="00F97C4A">
        <w:rPr>
          <w:rFonts w:asciiTheme="majorHAnsi" w:hAnsiTheme="majorHAnsi"/>
          <w:sz w:val="28"/>
          <w:szCs w:val="28"/>
        </w:rPr>
        <w:t xml:space="preserve"> for the IANA transition, the ICANN Board</w:t>
      </w:r>
      <w:r w:rsidR="00DC7815" w:rsidRPr="00F97C4A">
        <w:rPr>
          <w:rFonts w:asciiTheme="majorHAnsi" w:hAnsiTheme="majorHAnsi"/>
          <w:sz w:val="28"/>
          <w:szCs w:val="28"/>
        </w:rPr>
        <w:t xml:space="preserve"> has been advised by their outside counsel (Jones Day)</w:t>
      </w:r>
      <w:r w:rsidR="00932D96" w:rsidRPr="00F97C4A">
        <w:rPr>
          <w:rFonts w:asciiTheme="majorHAnsi" w:hAnsiTheme="majorHAnsi"/>
          <w:sz w:val="28"/>
          <w:szCs w:val="28"/>
        </w:rPr>
        <w:t xml:space="preserve"> </w:t>
      </w:r>
      <w:r w:rsidR="00DC7815" w:rsidRPr="00F97C4A">
        <w:rPr>
          <w:rFonts w:asciiTheme="majorHAnsi" w:hAnsiTheme="majorHAnsi"/>
          <w:sz w:val="28"/>
          <w:szCs w:val="28"/>
        </w:rPr>
        <w:t xml:space="preserve">to </w:t>
      </w:r>
      <w:r w:rsidR="003A1B9F" w:rsidRPr="00F97C4A">
        <w:rPr>
          <w:rFonts w:asciiTheme="majorHAnsi" w:hAnsiTheme="majorHAnsi"/>
          <w:sz w:val="28"/>
          <w:szCs w:val="28"/>
        </w:rPr>
        <w:t>oppose</w:t>
      </w:r>
      <w:r w:rsidR="00744FBC" w:rsidRPr="00F97C4A">
        <w:rPr>
          <w:rFonts w:asciiTheme="majorHAnsi" w:hAnsiTheme="majorHAnsi"/>
          <w:sz w:val="28"/>
          <w:szCs w:val="28"/>
        </w:rPr>
        <w:t xml:space="preserve"> the Sole Member model</w:t>
      </w:r>
      <w:r w:rsidR="00932D96" w:rsidRPr="00F97C4A">
        <w:rPr>
          <w:rFonts w:asciiTheme="majorHAnsi" w:hAnsiTheme="majorHAnsi"/>
          <w:sz w:val="28"/>
          <w:szCs w:val="28"/>
        </w:rPr>
        <w:t xml:space="preserve">, as proposed by the Cross Community Working Group </w:t>
      </w:r>
      <w:r w:rsidR="00DC7815" w:rsidRPr="00F97C4A">
        <w:rPr>
          <w:rFonts w:asciiTheme="majorHAnsi" w:hAnsiTheme="majorHAnsi"/>
          <w:sz w:val="28"/>
          <w:szCs w:val="28"/>
        </w:rPr>
        <w:t xml:space="preserve">(“CCWG”), </w:t>
      </w:r>
      <w:r w:rsidR="00B05769">
        <w:rPr>
          <w:rFonts w:asciiTheme="majorHAnsi" w:hAnsiTheme="majorHAnsi"/>
          <w:sz w:val="28"/>
          <w:szCs w:val="28"/>
        </w:rPr>
        <w:t>and</w:t>
      </w:r>
      <w:r w:rsidR="00DC7815" w:rsidRPr="00F97C4A">
        <w:rPr>
          <w:rFonts w:asciiTheme="majorHAnsi" w:hAnsiTheme="majorHAnsi"/>
          <w:sz w:val="28"/>
          <w:szCs w:val="28"/>
        </w:rPr>
        <w:t xml:space="preserve"> push for a </w:t>
      </w:r>
      <w:r w:rsidR="00744FBC" w:rsidRPr="00F97C4A">
        <w:rPr>
          <w:rFonts w:asciiTheme="majorHAnsi" w:hAnsiTheme="majorHAnsi"/>
          <w:sz w:val="28"/>
          <w:szCs w:val="28"/>
        </w:rPr>
        <w:t>“desi</w:t>
      </w:r>
      <w:r w:rsidR="00932D96" w:rsidRPr="00F97C4A">
        <w:rPr>
          <w:rFonts w:asciiTheme="majorHAnsi" w:hAnsiTheme="majorHAnsi"/>
          <w:sz w:val="28"/>
          <w:szCs w:val="28"/>
        </w:rPr>
        <w:t xml:space="preserve">gnator” model to </w:t>
      </w:r>
      <w:r w:rsidR="007530FB" w:rsidRPr="00F97C4A">
        <w:rPr>
          <w:rFonts w:asciiTheme="majorHAnsi" w:hAnsiTheme="majorHAnsi"/>
          <w:sz w:val="28"/>
          <w:szCs w:val="28"/>
        </w:rPr>
        <w:t xml:space="preserve">continue to </w:t>
      </w:r>
      <w:r w:rsidR="00932D96" w:rsidRPr="00F97C4A">
        <w:rPr>
          <w:rFonts w:asciiTheme="majorHAnsi" w:hAnsiTheme="majorHAnsi"/>
          <w:sz w:val="28"/>
          <w:szCs w:val="28"/>
        </w:rPr>
        <w:t>shield the Board from</w:t>
      </w:r>
      <w:r w:rsidR="00744FBC" w:rsidRPr="00F97C4A">
        <w:rPr>
          <w:rFonts w:asciiTheme="majorHAnsi" w:hAnsiTheme="majorHAnsi"/>
          <w:sz w:val="28"/>
          <w:szCs w:val="28"/>
        </w:rPr>
        <w:t xml:space="preserve"> liability</w:t>
      </w:r>
      <w:r w:rsidR="00932D96" w:rsidRPr="00F97C4A">
        <w:rPr>
          <w:rFonts w:asciiTheme="majorHAnsi" w:hAnsiTheme="majorHAnsi"/>
          <w:sz w:val="28"/>
          <w:szCs w:val="28"/>
        </w:rPr>
        <w:t xml:space="preserve">. </w:t>
      </w:r>
      <w:r w:rsidR="00FA4455" w:rsidRPr="00F97C4A">
        <w:rPr>
          <w:rFonts w:asciiTheme="majorHAnsi" w:hAnsiTheme="majorHAnsi"/>
          <w:sz w:val="28"/>
          <w:szCs w:val="28"/>
        </w:rPr>
        <w:t>Jones Day cites</w:t>
      </w:r>
      <w:r w:rsidR="00FA4455" w:rsidRPr="00F97C4A">
        <w:rPr>
          <w:rStyle w:val="FootnoteReference"/>
          <w:rFonts w:asciiTheme="majorHAnsi" w:hAnsiTheme="majorHAnsi"/>
          <w:sz w:val="28"/>
          <w:szCs w:val="28"/>
        </w:rPr>
        <w:footnoteReference w:id="9"/>
      </w:r>
      <w:r w:rsidR="00FA4455" w:rsidRPr="00F97C4A">
        <w:rPr>
          <w:rFonts w:asciiTheme="majorHAnsi" w:hAnsiTheme="majorHAnsi"/>
          <w:sz w:val="28"/>
          <w:szCs w:val="28"/>
        </w:rPr>
        <w:t xml:space="preserve"> </w:t>
      </w:r>
      <w:r w:rsidR="00FA4455" w:rsidRPr="00F97C4A">
        <w:rPr>
          <w:rFonts w:asciiTheme="majorHAnsi" w:hAnsiTheme="majorHAnsi"/>
          <w:color w:val="000000"/>
          <w:sz w:val="28"/>
          <w:szCs w:val="28"/>
        </w:rPr>
        <w:fldChar w:fldCharType="begin"/>
      </w:r>
      <w:r w:rsidR="00FA4455" w:rsidRPr="00F97C4A">
        <w:rPr>
          <w:rFonts w:asciiTheme="majorHAnsi" w:hAnsiTheme="majorHAnsi"/>
          <w:color w:val="000000"/>
          <w:sz w:val="28"/>
          <w:szCs w:val="28"/>
        </w:rPr>
        <w:instrText xml:space="preserve"> HYPERLINK "http://www.leginfo.ca.gov/cgi-bin/displaycode?section=corp&amp;group=05001-06000&amp;file=5210-5215" \t "_blank" </w:instrText>
      </w:r>
      <w:r w:rsidR="00FA4455" w:rsidRPr="00F97C4A">
        <w:rPr>
          <w:rFonts w:asciiTheme="majorHAnsi" w:hAnsiTheme="majorHAnsi"/>
          <w:color w:val="000000"/>
          <w:sz w:val="28"/>
          <w:szCs w:val="28"/>
        </w:rPr>
        <w:fldChar w:fldCharType="separate"/>
      </w:r>
      <w:r w:rsidR="00FA4455" w:rsidRPr="00F97C4A">
        <w:rPr>
          <w:rStyle w:val="Hyperlink"/>
          <w:rFonts w:asciiTheme="majorHAnsi" w:hAnsiTheme="majorHAnsi"/>
          <w:color w:val="DD0000"/>
          <w:sz w:val="28"/>
          <w:szCs w:val="28"/>
        </w:rPr>
        <w:t>section 5210</w:t>
      </w:r>
      <w:r w:rsidR="00FA4455" w:rsidRPr="00F97C4A">
        <w:rPr>
          <w:rFonts w:asciiTheme="majorHAnsi" w:hAnsiTheme="majorHAnsi"/>
          <w:color w:val="000000"/>
          <w:sz w:val="28"/>
          <w:szCs w:val="28"/>
        </w:rPr>
        <w:fldChar w:fldCharType="end"/>
      </w:r>
      <w:r w:rsidR="00FA4455" w:rsidRPr="00F97C4A">
        <w:rPr>
          <w:rStyle w:val="apple-converted-space"/>
          <w:rFonts w:asciiTheme="majorHAnsi" w:hAnsiTheme="majorHAnsi"/>
          <w:color w:val="000000"/>
          <w:sz w:val="28"/>
          <w:szCs w:val="28"/>
        </w:rPr>
        <w:t> </w:t>
      </w:r>
      <w:r w:rsidR="00FA4455" w:rsidRPr="00F97C4A">
        <w:rPr>
          <w:rFonts w:asciiTheme="majorHAnsi" w:hAnsiTheme="majorHAnsi"/>
          <w:color w:val="000000"/>
          <w:sz w:val="28"/>
          <w:szCs w:val="28"/>
        </w:rPr>
        <w:t>of the California Corporate Code, which states:</w:t>
      </w:r>
    </w:p>
    <w:p w14:paraId="47CF2124" w14:textId="77777777" w:rsidR="00FA4455" w:rsidRPr="00F97C4A" w:rsidRDefault="00FA4455" w:rsidP="00FA4455">
      <w:pPr>
        <w:shd w:val="clear" w:color="auto" w:fill="FFFFFF"/>
        <w:spacing w:line="315" w:lineRule="atLeast"/>
        <w:ind w:left="720"/>
        <w:rPr>
          <w:rFonts w:asciiTheme="majorHAnsi" w:eastAsia="Times New Roman" w:hAnsiTheme="majorHAnsi" w:cs="Times New Roman"/>
          <w:b/>
          <w:bCs/>
          <w:i/>
          <w:color w:val="000000"/>
          <w:sz w:val="28"/>
          <w:szCs w:val="28"/>
        </w:rPr>
      </w:pPr>
      <w:r w:rsidRPr="00F97C4A">
        <w:rPr>
          <w:rFonts w:asciiTheme="majorHAnsi" w:eastAsia="Times New Roman" w:hAnsiTheme="majorHAnsi" w:cs="Times New Roman"/>
          <w:bCs/>
          <w:i/>
          <w:color w:val="000000"/>
          <w:sz w:val="28"/>
          <w:szCs w:val="28"/>
        </w:rPr>
        <w:t>Subject to the provisions of this part and any limitations in the articles or bylaws relating to action required to be approved by the members, or by a majority of all members,</w:t>
      </w:r>
      <w:r w:rsidRPr="00F97C4A">
        <w:rPr>
          <w:rFonts w:asciiTheme="majorHAnsi" w:eastAsia="Times New Roman" w:hAnsiTheme="majorHAnsi" w:cs="Times New Roman"/>
          <w:b/>
          <w:bCs/>
          <w:i/>
          <w:color w:val="000000"/>
          <w:sz w:val="28"/>
          <w:szCs w:val="28"/>
        </w:rPr>
        <w:t xml:space="preserve"> the activities and affairs of a corporation shall be conducted and all corporate powers shall be exercised by or under the direction of the board.</w:t>
      </w:r>
    </w:p>
    <w:p w14:paraId="70374EB9" w14:textId="77777777" w:rsidR="00FA4455" w:rsidRPr="00F97C4A" w:rsidRDefault="00FA4455" w:rsidP="00FA4455">
      <w:pPr>
        <w:rPr>
          <w:rFonts w:asciiTheme="majorHAnsi" w:hAnsiTheme="majorHAnsi"/>
          <w:sz w:val="28"/>
          <w:szCs w:val="28"/>
        </w:rPr>
      </w:pPr>
    </w:p>
    <w:p w14:paraId="243AD677" w14:textId="5B60D447" w:rsidR="007B563E" w:rsidRPr="00F97C4A" w:rsidRDefault="00EA13B4">
      <w:pPr>
        <w:rPr>
          <w:rFonts w:asciiTheme="majorHAnsi" w:hAnsiTheme="majorHAnsi"/>
          <w:sz w:val="28"/>
          <w:szCs w:val="28"/>
        </w:rPr>
      </w:pPr>
      <w:r w:rsidRPr="00F97C4A">
        <w:rPr>
          <w:rFonts w:asciiTheme="majorHAnsi" w:hAnsiTheme="majorHAnsi"/>
          <w:sz w:val="28"/>
          <w:szCs w:val="28"/>
        </w:rPr>
        <w:t xml:space="preserve">In order for ICANN to become accountable, they must </w:t>
      </w:r>
      <w:r w:rsidR="007530FB" w:rsidRPr="00F97C4A">
        <w:rPr>
          <w:rFonts w:asciiTheme="majorHAnsi" w:hAnsiTheme="majorHAnsi"/>
          <w:sz w:val="28"/>
          <w:szCs w:val="28"/>
        </w:rPr>
        <w:t xml:space="preserve">be </w:t>
      </w:r>
      <w:r w:rsidR="003A1B9F" w:rsidRPr="00F97C4A">
        <w:rPr>
          <w:rFonts w:asciiTheme="majorHAnsi" w:hAnsiTheme="majorHAnsi"/>
          <w:sz w:val="28"/>
          <w:szCs w:val="28"/>
        </w:rPr>
        <w:t>required</w:t>
      </w:r>
      <w:r w:rsidR="007530FB" w:rsidRPr="00F97C4A">
        <w:rPr>
          <w:rFonts w:asciiTheme="majorHAnsi" w:hAnsiTheme="majorHAnsi"/>
          <w:sz w:val="28"/>
          <w:szCs w:val="28"/>
        </w:rPr>
        <w:t xml:space="preserve"> to restructure from a California Not for Profit to a </w:t>
      </w:r>
      <w:r w:rsidR="003A1B9F" w:rsidRPr="00F97C4A">
        <w:rPr>
          <w:rFonts w:asciiTheme="majorHAnsi" w:hAnsiTheme="majorHAnsi"/>
          <w:sz w:val="28"/>
          <w:szCs w:val="28"/>
        </w:rPr>
        <w:t xml:space="preserve">California For-Profit </w:t>
      </w:r>
      <w:r w:rsidR="007530FB" w:rsidRPr="00F97C4A">
        <w:rPr>
          <w:rFonts w:asciiTheme="majorHAnsi" w:hAnsiTheme="majorHAnsi"/>
          <w:sz w:val="28"/>
          <w:szCs w:val="28"/>
        </w:rPr>
        <w:t xml:space="preserve">Corporation </w:t>
      </w:r>
      <w:r w:rsidR="00FA4455" w:rsidRPr="00F97C4A">
        <w:rPr>
          <w:rFonts w:asciiTheme="majorHAnsi" w:hAnsiTheme="majorHAnsi"/>
          <w:sz w:val="28"/>
          <w:szCs w:val="28"/>
        </w:rPr>
        <w:t>in order to allow</w:t>
      </w:r>
      <w:r w:rsidRPr="00F97C4A">
        <w:rPr>
          <w:rFonts w:asciiTheme="majorHAnsi" w:hAnsiTheme="majorHAnsi"/>
          <w:sz w:val="28"/>
          <w:szCs w:val="28"/>
        </w:rPr>
        <w:t xml:space="preserve"> </w:t>
      </w:r>
      <w:r w:rsidR="00061013">
        <w:rPr>
          <w:rFonts w:asciiTheme="majorHAnsi" w:hAnsiTheme="majorHAnsi"/>
          <w:sz w:val="28"/>
          <w:szCs w:val="28"/>
        </w:rPr>
        <w:t xml:space="preserve">community </w:t>
      </w:r>
      <w:r w:rsidRPr="00F97C4A">
        <w:rPr>
          <w:rFonts w:asciiTheme="majorHAnsi" w:hAnsiTheme="majorHAnsi"/>
          <w:sz w:val="28"/>
          <w:szCs w:val="28"/>
        </w:rPr>
        <w:t>stakeholders</w:t>
      </w:r>
      <w:r w:rsidR="00061013">
        <w:rPr>
          <w:rFonts w:asciiTheme="majorHAnsi" w:hAnsiTheme="majorHAnsi"/>
          <w:sz w:val="28"/>
          <w:szCs w:val="28"/>
        </w:rPr>
        <w:t>, contracted parties</w:t>
      </w:r>
      <w:r w:rsidRPr="00F97C4A">
        <w:rPr>
          <w:rFonts w:asciiTheme="majorHAnsi" w:hAnsiTheme="majorHAnsi"/>
          <w:sz w:val="28"/>
          <w:szCs w:val="28"/>
        </w:rPr>
        <w:t xml:space="preserve"> and the public </w:t>
      </w:r>
      <w:r w:rsidR="00061013">
        <w:rPr>
          <w:rFonts w:asciiTheme="majorHAnsi" w:hAnsiTheme="majorHAnsi"/>
          <w:sz w:val="28"/>
          <w:szCs w:val="28"/>
        </w:rPr>
        <w:t xml:space="preserve">to pursue </w:t>
      </w:r>
      <w:r w:rsidR="00FA4455" w:rsidRPr="00F97C4A">
        <w:rPr>
          <w:rFonts w:asciiTheme="majorHAnsi" w:hAnsiTheme="majorHAnsi"/>
          <w:sz w:val="28"/>
          <w:szCs w:val="28"/>
        </w:rPr>
        <w:t xml:space="preserve">proper legal redress </w:t>
      </w:r>
      <w:r w:rsidRPr="00F97C4A">
        <w:rPr>
          <w:rFonts w:asciiTheme="majorHAnsi" w:hAnsiTheme="majorHAnsi"/>
          <w:sz w:val="28"/>
          <w:szCs w:val="28"/>
        </w:rPr>
        <w:t>for wrongdoi</w:t>
      </w:r>
      <w:r w:rsidR="008D7197" w:rsidRPr="00F97C4A">
        <w:rPr>
          <w:rFonts w:asciiTheme="majorHAnsi" w:hAnsiTheme="majorHAnsi"/>
          <w:sz w:val="28"/>
          <w:szCs w:val="28"/>
        </w:rPr>
        <w:t xml:space="preserve">ng.  </w:t>
      </w:r>
      <w:r w:rsidR="007530FB" w:rsidRPr="00F97C4A">
        <w:rPr>
          <w:rFonts w:asciiTheme="majorHAnsi" w:hAnsiTheme="majorHAnsi"/>
          <w:sz w:val="28"/>
          <w:szCs w:val="28"/>
        </w:rPr>
        <w:t xml:space="preserve">Many have already called into question ICANN’s Not for Profit status under the </w:t>
      </w:r>
      <w:r w:rsidR="00A906C4" w:rsidRPr="00F97C4A">
        <w:rPr>
          <w:rFonts w:asciiTheme="majorHAnsi" w:hAnsiTheme="majorHAnsi"/>
          <w:sz w:val="28"/>
          <w:szCs w:val="28"/>
        </w:rPr>
        <w:t xml:space="preserve">U.S. </w:t>
      </w:r>
      <w:r w:rsidR="007530FB" w:rsidRPr="00F97C4A">
        <w:rPr>
          <w:rFonts w:asciiTheme="majorHAnsi" w:hAnsiTheme="majorHAnsi"/>
          <w:sz w:val="28"/>
          <w:szCs w:val="28"/>
        </w:rPr>
        <w:t xml:space="preserve">Tax Code. </w:t>
      </w:r>
    </w:p>
    <w:p w14:paraId="0F2B5F8B" w14:textId="77777777" w:rsidR="007B563E" w:rsidRPr="00F97C4A" w:rsidRDefault="007B563E">
      <w:pPr>
        <w:rPr>
          <w:rFonts w:asciiTheme="majorHAnsi" w:hAnsiTheme="majorHAnsi"/>
          <w:sz w:val="28"/>
          <w:szCs w:val="28"/>
        </w:rPr>
      </w:pPr>
    </w:p>
    <w:p w14:paraId="522323FC" w14:textId="0A0D2500" w:rsidR="00B3047B" w:rsidRPr="00F97C4A" w:rsidRDefault="008D7197">
      <w:pPr>
        <w:rPr>
          <w:rFonts w:asciiTheme="majorHAnsi" w:hAnsiTheme="majorHAnsi"/>
          <w:sz w:val="28"/>
          <w:szCs w:val="28"/>
        </w:rPr>
      </w:pPr>
      <w:r w:rsidRPr="00F97C4A">
        <w:rPr>
          <w:rFonts w:asciiTheme="majorHAnsi" w:hAnsiTheme="majorHAnsi"/>
          <w:sz w:val="28"/>
          <w:szCs w:val="28"/>
        </w:rPr>
        <w:t xml:space="preserve">Right is right and wrong is wrong.  Those that wrong others should be </w:t>
      </w:r>
      <w:r w:rsidR="00DC7815" w:rsidRPr="00F97C4A">
        <w:rPr>
          <w:rFonts w:asciiTheme="majorHAnsi" w:hAnsiTheme="majorHAnsi"/>
          <w:sz w:val="28"/>
          <w:szCs w:val="28"/>
        </w:rPr>
        <w:t xml:space="preserve">held accountable under </w:t>
      </w:r>
      <w:r w:rsidR="003A1B9F" w:rsidRPr="00F97C4A">
        <w:rPr>
          <w:rFonts w:asciiTheme="majorHAnsi" w:hAnsiTheme="majorHAnsi"/>
          <w:sz w:val="28"/>
          <w:szCs w:val="28"/>
        </w:rPr>
        <w:t>established principles of</w:t>
      </w:r>
      <w:r w:rsidR="00DC7815" w:rsidRPr="00F97C4A">
        <w:rPr>
          <w:rFonts w:asciiTheme="majorHAnsi" w:hAnsiTheme="majorHAnsi"/>
          <w:sz w:val="28"/>
          <w:szCs w:val="28"/>
        </w:rPr>
        <w:t xml:space="preserve"> law</w:t>
      </w:r>
      <w:r w:rsidRPr="00F97C4A">
        <w:rPr>
          <w:rFonts w:asciiTheme="majorHAnsi" w:hAnsiTheme="majorHAnsi"/>
          <w:sz w:val="28"/>
          <w:szCs w:val="28"/>
        </w:rPr>
        <w:t xml:space="preserve"> and not allowed to operate behind a veiled curtain and shielded from liability</w:t>
      </w:r>
      <w:r w:rsidR="007530FB" w:rsidRPr="00F97C4A">
        <w:rPr>
          <w:rFonts w:asciiTheme="majorHAnsi" w:hAnsiTheme="majorHAnsi"/>
          <w:sz w:val="28"/>
          <w:szCs w:val="28"/>
        </w:rPr>
        <w:t xml:space="preserve"> as a non-profit</w:t>
      </w:r>
      <w:r w:rsidR="007B563E" w:rsidRPr="00F97C4A">
        <w:rPr>
          <w:rFonts w:asciiTheme="majorHAnsi" w:hAnsiTheme="majorHAnsi"/>
          <w:sz w:val="28"/>
          <w:szCs w:val="28"/>
        </w:rPr>
        <w:t xml:space="preserve">, especially an entity that controls </w:t>
      </w:r>
      <w:r w:rsidR="003A1B9F" w:rsidRPr="00F97C4A">
        <w:rPr>
          <w:rFonts w:asciiTheme="majorHAnsi" w:hAnsiTheme="majorHAnsi"/>
          <w:sz w:val="28"/>
          <w:szCs w:val="28"/>
        </w:rPr>
        <w:t xml:space="preserve">a global research such as the </w:t>
      </w:r>
      <w:r w:rsidR="007B563E" w:rsidRPr="00F97C4A">
        <w:rPr>
          <w:rFonts w:asciiTheme="majorHAnsi" w:hAnsiTheme="majorHAnsi"/>
          <w:sz w:val="28"/>
          <w:szCs w:val="28"/>
        </w:rPr>
        <w:t>Internet</w:t>
      </w:r>
      <w:r w:rsidRPr="00F97C4A">
        <w:rPr>
          <w:rFonts w:asciiTheme="majorHAnsi" w:hAnsiTheme="majorHAnsi"/>
          <w:sz w:val="28"/>
          <w:szCs w:val="28"/>
        </w:rPr>
        <w:t>.</w:t>
      </w:r>
    </w:p>
    <w:p w14:paraId="37595E1B" w14:textId="77777777" w:rsidR="008D7197" w:rsidRPr="00F97C4A" w:rsidRDefault="008D7197">
      <w:pPr>
        <w:rPr>
          <w:rFonts w:asciiTheme="majorHAnsi" w:hAnsiTheme="majorHAnsi"/>
          <w:sz w:val="28"/>
          <w:szCs w:val="28"/>
        </w:rPr>
      </w:pPr>
    </w:p>
    <w:p w14:paraId="17D13D56" w14:textId="2393D093" w:rsidR="00476538" w:rsidRPr="00F97C4A" w:rsidRDefault="008D7197">
      <w:pPr>
        <w:rPr>
          <w:rFonts w:asciiTheme="majorHAnsi" w:hAnsiTheme="majorHAnsi"/>
          <w:sz w:val="28"/>
          <w:szCs w:val="28"/>
        </w:rPr>
      </w:pPr>
      <w:r w:rsidRPr="00F97C4A">
        <w:rPr>
          <w:rFonts w:asciiTheme="majorHAnsi" w:hAnsiTheme="majorHAnsi"/>
          <w:sz w:val="28"/>
          <w:szCs w:val="28"/>
        </w:rPr>
        <w:t>Thank you.</w:t>
      </w:r>
    </w:p>
    <w:sectPr w:rsidR="00476538" w:rsidRPr="00F97C4A" w:rsidSect="005535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9845B" w14:textId="77777777" w:rsidR="003A1B9F" w:rsidRDefault="003A1B9F" w:rsidP="00557F79">
      <w:r>
        <w:separator/>
      </w:r>
    </w:p>
  </w:endnote>
  <w:endnote w:type="continuationSeparator" w:id="0">
    <w:p w14:paraId="5A9CE50F" w14:textId="77777777" w:rsidR="003A1B9F" w:rsidRDefault="003A1B9F" w:rsidP="0055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7E0F" w14:textId="77777777" w:rsidR="003A1B9F" w:rsidRDefault="003A1B9F" w:rsidP="00557F79">
      <w:r>
        <w:separator/>
      </w:r>
    </w:p>
  </w:footnote>
  <w:footnote w:type="continuationSeparator" w:id="0">
    <w:p w14:paraId="76F891B4" w14:textId="77777777" w:rsidR="003A1B9F" w:rsidRDefault="003A1B9F" w:rsidP="00557F79">
      <w:r>
        <w:continuationSeparator/>
      </w:r>
    </w:p>
  </w:footnote>
  <w:footnote w:id="1">
    <w:p w14:paraId="525D6D5E" w14:textId="589C0FDF" w:rsidR="003A1B9F" w:rsidRDefault="003A1B9F">
      <w:pPr>
        <w:pStyle w:val="FootnoteText"/>
      </w:pPr>
      <w:r>
        <w:rPr>
          <w:rStyle w:val="FootnoteReference"/>
        </w:rPr>
        <w:footnoteRef/>
      </w:r>
      <w:r>
        <w:t xml:space="preserve"> </w:t>
      </w:r>
      <w:r>
        <w:rPr>
          <w:sz w:val="16"/>
          <w:szCs w:val="16"/>
        </w:rPr>
        <w:t>Page 41</w:t>
      </w:r>
      <w:r w:rsidRPr="00557F79">
        <w:rPr>
          <w:sz w:val="16"/>
          <w:szCs w:val="16"/>
        </w:rPr>
        <w:t xml:space="preserve">, </w:t>
      </w:r>
      <w:r>
        <w:rPr>
          <w:sz w:val="16"/>
          <w:szCs w:val="16"/>
        </w:rPr>
        <w:t>Article 97</w:t>
      </w:r>
      <w:r w:rsidRPr="00557F79">
        <w:rPr>
          <w:sz w:val="16"/>
          <w:szCs w:val="16"/>
        </w:rPr>
        <w:t>.  https://www.icann.org/en/system/files/files/final-declaration-2-redacted-09jul15-en.pdf</w:t>
      </w:r>
    </w:p>
  </w:footnote>
  <w:footnote w:id="2">
    <w:p w14:paraId="16AC8CC2" w14:textId="01BE9F7B" w:rsidR="003A1B9F" w:rsidRDefault="003A1B9F">
      <w:pPr>
        <w:pStyle w:val="FootnoteText"/>
      </w:pPr>
      <w:r>
        <w:rPr>
          <w:rStyle w:val="FootnoteReference"/>
        </w:rPr>
        <w:footnoteRef/>
      </w:r>
      <w:r>
        <w:t xml:space="preserve"> </w:t>
      </w:r>
      <w:r>
        <w:rPr>
          <w:sz w:val="16"/>
          <w:szCs w:val="16"/>
        </w:rPr>
        <w:t>Page 41</w:t>
      </w:r>
      <w:r w:rsidRPr="00557F79">
        <w:rPr>
          <w:sz w:val="16"/>
          <w:szCs w:val="16"/>
        </w:rPr>
        <w:t xml:space="preserve">, </w:t>
      </w:r>
      <w:r>
        <w:rPr>
          <w:sz w:val="16"/>
          <w:szCs w:val="16"/>
        </w:rPr>
        <w:t>Article 99</w:t>
      </w:r>
      <w:r w:rsidRPr="00557F79">
        <w:rPr>
          <w:sz w:val="16"/>
          <w:szCs w:val="16"/>
        </w:rPr>
        <w:t>.  https://www.icann.org/en/system/files/files/final-declaration-2-redacted-09jul15-en.pdf</w:t>
      </w:r>
    </w:p>
  </w:footnote>
  <w:footnote w:id="3">
    <w:p w14:paraId="1EFF5462" w14:textId="5034B43B" w:rsidR="003A1B9F" w:rsidRDefault="003A1B9F">
      <w:pPr>
        <w:pStyle w:val="FootnoteText"/>
      </w:pPr>
      <w:r>
        <w:rPr>
          <w:rStyle w:val="FootnoteReference"/>
        </w:rPr>
        <w:footnoteRef/>
      </w:r>
      <w:r>
        <w:t xml:space="preserve"> </w:t>
      </w:r>
      <w:r>
        <w:rPr>
          <w:sz w:val="16"/>
          <w:szCs w:val="16"/>
        </w:rPr>
        <w:t>Page 45</w:t>
      </w:r>
      <w:r w:rsidRPr="00557F79">
        <w:rPr>
          <w:sz w:val="16"/>
          <w:szCs w:val="16"/>
        </w:rPr>
        <w:t xml:space="preserve">, </w:t>
      </w:r>
      <w:r>
        <w:rPr>
          <w:sz w:val="16"/>
          <w:szCs w:val="16"/>
        </w:rPr>
        <w:t>Article 104, Witness Testimony of former Government Advisory Committee (“GAC”) Chair, Ms. Heather Dryden</w:t>
      </w:r>
      <w:r w:rsidRPr="00557F79">
        <w:rPr>
          <w:sz w:val="16"/>
          <w:szCs w:val="16"/>
        </w:rPr>
        <w:t>.  https://www.icann.org/en/system/files/files/final-declaration-2-redacted-09jul15-en.pdf</w:t>
      </w:r>
    </w:p>
  </w:footnote>
  <w:footnote w:id="4">
    <w:p w14:paraId="4CA4FF36" w14:textId="6A029440" w:rsidR="003A1B9F" w:rsidRDefault="003A1B9F">
      <w:pPr>
        <w:pStyle w:val="FootnoteText"/>
      </w:pPr>
      <w:r>
        <w:rPr>
          <w:rStyle w:val="FootnoteReference"/>
        </w:rPr>
        <w:footnoteRef/>
      </w:r>
      <w:r>
        <w:t xml:space="preserve"> </w:t>
      </w:r>
      <w:r>
        <w:rPr>
          <w:sz w:val="16"/>
          <w:szCs w:val="16"/>
        </w:rPr>
        <w:t>Page 53</w:t>
      </w:r>
      <w:r w:rsidRPr="00557F79">
        <w:rPr>
          <w:sz w:val="16"/>
          <w:szCs w:val="16"/>
        </w:rPr>
        <w:t xml:space="preserve">, </w:t>
      </w:r>
      <w:r>
        <w:rPr>
          <w:sz w:val="16"/>
          <w:szCs w:val="16"/>
        </w:rPr>
        <w:t>Article 111</w:t>
      </w:r>
      <w:r w:rsidRPr="00557F79">
        <w:rPr>
          <w:sz w:val="16"/>
          <w:szCs w:val="16"/>
        </w:rPr>
        <w:t>.  https://www.icann.org/en/system/files/files/final-declaration-2-redacted-09jul15-en.pdf</w:t>
      </w:r>
    </w:p>
  </w:footnote>
  <w:footnote w:id="5">
    <w:p w14:paraId="0D307DDF" w14:textId="6AA26064" w:rsidR="003A1B9F" w:rsidRDefault="003A1B9F">
      <w:pPr>
        <w:pStyle w:val="FootnoteText"/>
      </w:pPr>
      <w:r>
        <w:rPr>
          <w:rStyle w:val="FootnoteReference"/>
        </w:rPr>
        <w:footnoteRef/>
      </w:r>
      <w:r>
        <w:t xml:space="preserve">  </w:t>
      </w:r>
      <w:r>
        <w:rPr>
          <w:sz w:val="16"/>
          <w:szCs w:val="16"/>
        </w:rPr>
        <w:t>Page 53</w:t>
      </w:r>
      <w:r w:rsidRPr="00557F79">
        <w:rPr>
          <w:sz w:val="16"/>
          <w:szCs w:val="16"/>
        </w:rPr>
        <w:t xml:space="preserve">, </w:t>
      </w:r>
      <w:r>
        <w:rPr>
          <w:sz w:val="16"/>
          <w:szCs w:val="16"/>
        </w:rPr>
        <w:t>Article 113</w:t>
      </w:r>
      <w:r w:rsidRPr="00557F79">
        <w:rPr>
          <w:sz w:val="16"/>
          <w:szCs w:val="16"/>
        </w:rPr>
        <w:t>.  https://www.icann.org/en/system/files/files/final-declaration-2-redacted-09jul15-en.pdf</w:t>
      </w:r>
    </w:p>
  </w:footnote>
  <w:footnote w:id="6">
    <w:p w14:paraId="5964DA71" w14:textId="07BDC07C" w:rsidR="003A1B9F" w:rsidRDefault="003A1B9F">
      <w:pPr>
        <w:pStyle w:val="FootnoteText"/>
      </w:pPr>
      <w:r>
        <w:rPr>
          <w:rStyle w:val="FootnoteReference"/>
        </w:rPr>
        <w:footnoteRef/>
      </w:r>
      <w:r>
        <w:t xml:space="preserve"> </w:t>
      </w:r>
      <w:r w:rsidRPr="00557F79">
        <w:rPr>
          <w:sz w:val="16"/>
          <w:szCs w:val="16"/>
        </w:rPr>
        <w:t xml:space="preserve">Page 61, </w:t>
      </w:r>
      <w:r>
        <w:rPr>
          <w:sz w:val="16"/>
          <w:szCs w:val="16"/>
        </w:rPr>
        <w:t>Article 144</w:t>
      </w:r>
      <w:r w:rsidRPr="00557F79">
        <w:rPr>
          <w:sz w:val="16"/>
          <w:szCs w:val="16"/>
        </w:rPr>
        <w:t>.  https://www.icann.org/en/system/files/files/final-declaration-2-redacted-09jul15-en.pdf</w:t>
      </w:r>
    </w:p>
  </w:footnote>
  <w:footnote w:id="7">
    <w:p w14:paraId="3C683615" w14:textId="058087AF" w:rsidR="003A1B9F" w:rsidRDefault="003A1B9F">
      <w:pPr>
        <w:pStyle w:val="FootnoteText"/>
      </w:pPr>
      <w:r>
        <w:rPr>
          <w:rStyle w:val="FootnoteReference"/>
        </w:rPr>
        <w:footnoteRef/>
      </w:r>
      <w:r>
        <w:t xml:space="preserve"> </w:t>
      </w:r>
      <w:r w:rsidRPr="00557F79">
        <w:rPr>
          <w:sz w:val="16"/>
          <w:szCs w:val="16"/>
        </w:rPr>
        <w:t>Page 61, Section V, Declaration of the Panel, Article 148.  https://www.icann.org/en/system/files/files/final-declaration-2-redacted-09jul15-en.pdf</w:t>
      </w:r>
    </w:p>
  </w:footnote>
  <w:footnote w:id="8">
    <w:p w14:paraId="472639C5" w14:textId="77777777" w:rsidR="00061013" w:rsidRDefault="00061013" w:rsidP="00061013">
      <w:pPr>
        <w:rPr>
          <w:rFonts w:ascii="Calibri" w:hAnsi="Calibri" w:cs="Calibri"/>
          <w:iCs/>
          <w:sz w:val="28"/>
          <w:szCs w:val="28"/>
        </w:rPr>
      </w:pPr>
      <w:r>
        <w:rPr>
          <w:rStyle w:val="FootnoteReference"/>
        </w:rPr>
        <w:footnoteRef/>
      </w:r>
      <w:r>
        <w:t xml:space="preserve"> ICANN Bylaws, Article XVII, Members, </w:t>
      </w:r>
      <w:hyperlink r:id="rId1" w:anchor="XVII" w:history="1">
        <w:r w:rsidRPr="00D42A9F">
          <w:rPr>
            <w:rStyle w:val="Hyperlink"/>
            <w:rFonts w:ascii="Calibri" w:hAnsi="Calibri" w:cs="Calibri"/>
            <w:iCs/>
            <w:sz w:val="28"/>
            <w:szCs w:val="28"/>
          </w:rPr>
          <w:t>https://www.icann.org/resources/pages/governance/bylaws-en/#XVII</w:t>
        </w:r>
      </w:hyperlink>
    </w:p>
    <w:p w14:paraId="2083274A" w14:textId="77777777" w:rsidR="00061013" w:rsidRDefault="00061013" w:rsidP="00061013">
      <w:pPr>
        <w:pStyle w:val="FootnoteText"/>
      </w:pPr>
    </w:p>
  </w:footnote>
  <w:footnote w:id="9">
    <w:p w14:paraId="34C8EB49" w14:textId="0E9446AD" w:rsidR="003A1B9F" w:rsidRDefault="003A1B9F">
      <w:pPr>
        <w:pStyle w:val="FootnoteText"/>
      </w:pPr>
      <w:r>
        <w:rPr>
          <w:rStyle w:val="FootnoteReference"/>
        </w:rPr>
        <w:footnoteRef/>
      </w:r>
      <w:r>
        <w:t xml:space="preserve"> </w:t>
      </w:r>
      <w:r w:rsidRPr="00FA4455">
        <w:t>http://regmedia.co.uk/2015/02/09/icann-accountability-jones-day-memo-7feb15.pdf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6A"/>
    <w:rsid w:val="00061013"/>
    <w:rsid w:val="0032688E"/>
    <w:rsid w:val="00345EA2"/>
    <w:rsid w:val="003A1B9F"/>
    <w:rsid w:val="003B479C"/>
    <w:rsid w:val="00455CA3"/>
    <w:rsid w:val="00475388"/>
    <w:rsid w:val="00476538"/>
    <w:rsid w:val="005429EC"/>
    <w:rsid w:val="005535C8"/>
    <w:rsid w:val="00557F79"/>
    <w:rsid w:val="005A5ABC"/>
    <w:rsid w:val="00744FBC"/>
    <w:rsid w:val="007530FB"/>
    <w:rsid w:val="007B563E"/>
    <w:rsid w:val="008052E5"/>
    <w:rsid w:val="00865F72"/>
    <w:rsid w:val="008D7197"/>
    <w:rsid w:val="00932D96"/>
    <w:rsid w:val="009618C9"/>
    <w:rsid w:val="00965C6A"/>
    <w:rsid w:val="009A01AB"/>
    <w:rsid w:val="009C4AB8"/>
    <w:rsid w:val="009F2798"/>
    <w:rsid w:val="00A906C4"/>
    <w:rsid w:val="00B05769"/>
    <w:rsid w:val="00B3047B"/>
    <w:rsid w:val="00C26974"/>
    <w:rsid w:val="00CA496A"/>
    <w:rsid w:val="00DC7815"/>
    <w:rsid w:val="00EA13B4"/>
    <w:rsid w:val="00ED2744"/>
    <w:rsid w:val="00F97C4A"/>
    <w:rsid w:val="00FA4455"/>
    <w:rsid w:val="00FE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8D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4A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47B"/>
    <w:rPr>
      <w:color w:val="0000FF"/>
      <w:u w:val="single"/>
    </w:rPr>
  </w:style>
  <w:style w:type="character" w:customStyle="1" w:styleId="apple-converted-space">
    <w:name w:val="apple-converted-space"/>
    <w:basedOn w:val="DefaultParagraphFont"/>
    <w:rsid w:val="00B3047B"/>
  </w:style>
  <w:style w:type="paragraph" w:styleId="FootnoteText">
    <w:name w:val="footnote text"/>
    <w:basedOn w:val="Normal"/>
    <w:link w:val="FootnoteTextChar"/>
    <w:uiPriority w:val="99"/>
    <w:unhideWhenUsed/>
    <w:rsid w:val="00557F79"/>
  </w:style>
  <w:style w:type="character" w:customStyle="1" w:styleId="FootnoteTextChar">
    <w:name w:val="Footnote Text Char"/>
    <w:basedOn w:val="DefaultParagraphFont"/>
    <w:link w:val="FootnoteText"/>
    <w:uiPriority w:val="99"/>
    <w:rsid w:val="00557F79"/>
  </w:style>
  <w:style w:type="character" w:styleId="FootnoteReference">
    <w:name w:val="footnote reference"/>
    <w:basedOn w:val="DefaultParagraphFont"/>
    <w:uiPriority w:val="99"/>
    <w:unhideWhenUsed/>
    <w:rsid w:val="00557F79"/>
    <w:rPr>
      <w:vertAlign w:val="superscript"/>
    </w:rPr>
  </w:style>
  <w:style w:type="paragraph" w:styleId="NormalWeb">
    <w:name w:val="Normal (Web)"/>
    <w:basedOn w:val="Normal"/>
    <w:uiPriority w:val="99"/>
    <w:unhideWhenUsed/>
    <w:rsid w:val="007530F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A4455"/>
    <w:rPr>
      <w:color w:val="800080" w:themeColor="followedHyperlink"/>
      <w:u w:val="single"/>
    </w:rPr>
  </w:style>
  <w:style w:type="character" w:customStyle="1" w:styleId="Heading3Char">
    <w:name w:val="Heading 3 Char"/>
    <w:basedOn w:val="DefaultParagraphFont"/>
    <w:link w:val="Heading3"/>
    <w:uiPriority w:val="9"/>
    <w:rsid w:val="009C4AB8"/>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4A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47B"/>
    <w:rPr>
      <w:color w:val="0000FF"/>
      <w:u w:val="single"/>
    </w:rPr>
  </w:style>
  <w:style w:type="character" w:customStyle="1" w:styleId="apple-converted-space">
    <w:name w:val="apple-converted-space"/>
    <w:basedOn w:val="DefaultParagraphFont"/>
    <w:rsid w:val="00B3047B"/>
  </w:style>
  <w:style w:type="paragraph" w:styleId="FootnoteText">
    <w:name w:val="footnote text"/>
    <w:basedOn w:val="Normal"/>
    <w:link w:val="FootnoteTextChar"/>
    <w:uiPriority w:val="99"/>
    <w:unhideWhenUsed/>
    <w:rsid w:val="00557F79"/>
  </w:style>
  <w:style w:type="character" w:customStyle="1" w:styleId="FootnoteTextChar">
    <w:name w:val="Footnote Text Char"/>
    <w:basedOn w:val="DefaultParagraphFont"/>
    <w:link w:val="FootnoteText"/>
    <w:uiPriority w:val="99"/>
    <w:rsid w:val="00557F79"/>
  </w:style>
  <w:style w:type="character" w:styleId="FootnoteReference">
    <w:name w:val="footnote reference"/>
    <w:basedOn w:val="DefaultParagraphFont"/>
    <w:uiPriority w:val="99"/>
    <w:unhideWhenUsed/>
    <w:rsid w:val="00557F79"/>
    <w:rPr>
      <w:vertAlign w:val="superscript"/>
    </w:rPr>
  </w:style>
  <w:style w:type="paragraph" w:styleId="NormalWeb">
    <w:name w:val="Normal (Web)"/>
    <w:basedOn w:val="Normal"/>
    <w:uiPriority w:val="99"/>
    <w:unhideWhenUsed/>
    <w:rsid w:val="007530F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A4455"/>
    <w:rPr>
      <w:color w:val="800080" w:themeColor="followedHyperlink"/>
      <w:u w:val="single"/>
    </w:rPr>
  </w:style>
  <w:style w:type="character" w:customStyle="1" w:styleId="Heading3Char">
    <w:name w:val="Heading 3 Char"/>
    <w:basedOn w:val="DefaultParagraphFont"/>
    <w:link w:val="Heading3"/>
    <w:uiPriority w:val="9"/>
    <w:rsid w:val="009C4AB8"/>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8265">
      <w:bodyDiv w:val="1"/>
      <w:marLeft w:val="0"/>
      <w:marRight w:val="0"/>
      <w:marTop w:val="0"/>
      <w:marBottom w:val="0"/>
      <w:divBdr>
        <w:top w:val="none" w:sz="0" w:space="0" w:color="auto"/>
        <w:left w:val="none" w:sz="0" w:space="0" w:color="auto"/>
        <w:bottom w:val="none" w:sz="0" w:space="0" w:color="auto"/>
        <w:right w:val="none" w:sz="0" w:space="0" w:color="auto"/>
      </w:divBdr>
    </w:div>
    <w:div w:id="641618428">
      <w:bodyDiv w:val="1"/>
      <w:marLeft w:val="0"/>
      <w:marRight w:val="0"/>
      <w:marTop w:val="0"/>
      <w:marBottom w:val="0"/>
      <w:divBdr>
        <w:top w:val="none" w:sz="0" w:space="0" w:color="auto"/>
        <w:left w:val="none" w:sz="0" w:space="0" w:color="auto"/>
        <w:bottom w:val="none" w:sz="0" w:space="0" w:color="auto"/>
        <w:right w:val="none" w:sz="0" w:space="0" w:color="auto"/>
      </w:divBdr>
    </w:div>
    <w:div w:id="994919162">
      <w:bodyDiv w:val="1"/>
      <w:marLeft w:val="0"/>
      <w:marRight w:val="0"/>
      <w:marTop w:val="0"/>
      <w:marBottom w:val="0"/>
      <w:divBdr>
        <w:top w:val="none" w:sz="0" w:space="0" w:color="auto"/>
        <w:left w:val="none" w:sz="0" w:space="0" w:color="auto"/>
        <w:bottom w:val="none" w:sz="0" w:space="0" w:color="auto"/>
        <w:right w:val="none" w:sz="0" w:space="0" w:color="auto"/>
      </w:divBdr>
    </w:div>
    <w:div w:id="1105274113">
      <w:bodyDiv w:val="1"/>
      <w:marLeft w:val="0"/>
      <w:marRight w:val="0"/>
      <w:marTop w:val="0"/>
      <w:marBottom w:val="0"/>
      <w:divBdr>
        <w:top w:val="none" w:sz="0" w:space="0" w:color="auto"/>
        <w:left w:val="none" w:sz="0" w:space="0" w:color="auto"/>
        <w:bottom w:val="none" w:sz="0" w:space="0" w:color="auto"/>
        <w:right w:val="none" w:sz="0" w:space="0" w:color="auto"/>
      </w:divBdr>
    </w:div>
    <w:div w:id="1307736280">
      <w:bodyDiv w:val="1"/>
      <w:marLeft w:val="0"/>
      <w:marRight w:val="0"/>
      <w:marTop w:val="0"/>
      <w:marBottom w:val="0"/>
      <w:divBdr>
        <w:top w:val="none" w:sz="0" w:space="0" w:color="auto"/>
        <w:left w:val="none" w:sz="0" w:space="0" w:color="auto"/>
        <w:bottom w:val="none" w:sz="0" w:space="0" w:color="auto"/>
        <w:right w:val="none" w:sz="0" w:space="0" w:color="auto"/>
      </w:divBdr>
    </w:div>
    <w:div w:id="1608659437">
      <w:bodyDiv w:val="1"/>
      <w:marLeft w:val="0"/>
      <w:marRight w:val="0"/>
      <w:marTop w:val="0"/>
      <w:marBottom w:val="0"/>
      <w:divBdr>
        <w:top w:val="none" w:sz="0" w:space="0" w:color="auto"/>
        <w:left w:val="none" w:sz="0" w:space="0" w:color="auto"/>
        <w:bottom w:val="none" w:sz="0" w:space="0" w:color="auto"/>
        <w:right w:val="none" w:sz="0" w:space="0" w:color="auto"/>
      </w:divBdr>
    </w:div>
    <w:div w:id="1664773088">
      <w:bodyDiv w:val="1"/>
      <w:marLeft w:val="0"/>
      <w:marRight w:val="0"/>
      <w:marTop w:val="0"/>
      <w:marBottom w:val="0"/>
      <w:divBdr>
        <w:top w:val="none" w:sz="0" w:space="0" w:color="auto"/>
        <w:left w:val="none" w:sz="0" w:space="0" w:color="auto"/>
        <w:bottom w:val="none" w:sz="0" w:space="0" w:color="auto"/>
        <w:right w:val="none" w:sz="0" w:space="0" w:color="auto"/>
      </w:divBdr>
      <w:divsChild>
        <w:div w:id="994532134">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 w:id="1874224890">
      <w:bodyDiv w:val="1"/>
      <w:marLeft w:val="0"/>
      <w:marRight w:val="0"/>
      <w:marTop w:val="0"/>
      <w:marBottom w:val="0"/>
      <w:divBdr>
        <w:top w:val="none" w:sz="0" w:space="0" w:color="auto"/>
        <w:left w:val="none" w:sz="0" w:space="0" w:color="auto"/>
        <w:bottom w:val="none" w:sz="0" w:space="0" w:color="auto"/>
        <w:right w:val="none" w:sz="0" w:space="0" w:color="auto"/>
      </w:divBdr>
    </w:div>
    <w:div w:id="1875464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1381</Words>
  <Characters>7876</Characters>
  <Application>Microsoft Macintosh Word</Application>
  <DocSecurity>0</DocSecurity>
  <Lines>65</Lines>
  <Paragraphs>18</Paragraphs>
  <ScaleCrop>false</ScaleCrop>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cp:lastModifiedBy>
  <cp:revision>17</cp:revision>
  <dcterms:created xsi:type="dcterms:W3CDTF">2015-08-11T19:28:00Z</dcterms:created>
  <dcterms:modified xsi:type="dcterms:W3CDTF">2015-09-08T14:15:00Z</dcterms:modified>
</cp:coreProperties>
</file>