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ab/>
        <w:t xml:space="preserve"> </w:t>
        <w:tab/>
        <w:t xml:space="preserve"> </w:t>
        <w:tab/>
      </w:r>
    </w:p>
    <w:p w:rsidR="00000000" w:rsidDel="00000000" w:rsidP="00000000" w:rsidRDefault="00000000" w:rsidRPr="00000000">
      <w:pPr>
        <w:pStyle w:val="Heading1"/>
        <w:spacing w:after="120" w:before="480" w:lineRule="auto"/>
        <w:contextualSpacing w:val="0"/>
      </w:pPr>
      <w:bookmarkStart w:colFirst="0" w:colLast="0" w:name="h.vmmhqoxws0l4" w:id="0"/>
      <w:bookmarkEnd w:id="0"/>
      <w:r w:rsidDel="00000000" w:rsidR="00000000" w:rsidRPr="00000000">
        <w:rPr>
          <w:sz w:val="46"/>
          <w:rtl w:val="0"/>
        </w:rPr>
        <w:t xml:space="preserve">CWG-Stewardship 2nd Draft Proposal Input Template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5"/>
        </w:numPr>
        <w:ind w:left="720" w:hanging="360"/>
        <w:contextualSpacing w:val="1"/>
        <w:rPr/>
      </w:pPr>
      <w:r w:rsidDel="00000000" w:rsidR="00000000" w:rsidRPr="00000000">
        <w:rPr>
          <w:rFonts w:ascii="Calibri" w:cs="Calibri" w:eastAsia="Calibri" w:hAnsi="Calibri"/>
          <w:rtl w:val="0"/>
        </w:rPr>
        <w:t xml:space="preserve">Please </w:t>
        <w:tab/>
        <w:t xml:space="preserve">provide your name: The Non-Commercial Stakeholders Group. (NCSG)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5"/>
        </w:numPr>
        <w:ind w:left="720" w:hanging="360"/>
        <w:contextualSpacing w:val="1"/>
        <w:rPr/>
      </w:pPr>
      <w:r w:rsidDel="00000000" w:rsidR="00000000" w:rsidRPr="00000000">
        <w:rPr>
          <w:rFonts w:ascii="Calibri" w:cs="Calibri" w:eastAsia="Calibri" w:hAnsi="Calibri"/>
          <w:rtl w:val="0"/>
        </w:rPr>
        <w:t xml:space="preserve">Please </w:t>
        <w:tab/>
        <w:t xml:space="preserve">provide your affiliation: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NCSG is one of four stakeholder groups in the Generic Names Supporting Organization. We have over 500 members in 97 countries representing individuals and nonprofit organizations devoted to civil liberties and human rights, development, education, research and charitable causes.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5"/>
        </w:numPr>
        <w:ind w:left="720" w:hanging="360"/>
        <w:contextualSpacing w:val="1"/>
        <w:rPr/>
      </w:pPr>
      <w:r w:rsidDel="00000000" w:rsidR="00000000" w:rsidRPr="00000000">
        <w:rPr>
          <w:rFonts w:ascii="Calibri" w:cs="Calibri" w:eastAsia="Calibri" w:hAnsi="Calibri"/>
          <w:rtl w:val="0"/>
        </w:rPr>
        <w:t xml:space="preserve">Are you providing input on behalf of another entity (e.g. organization, </w:t>
        <w:tab/>
        <w:t xml:space="preserve">company, government)? Yes. </w:t>
      </w:r>
    </w:p>
    <w:p w:rsidR="00000000" w:rsidDel="00000000" w:rsidP="00000000" w:rsidRDefault="00000000" w:rsidRPr="00000000">
      <w:pPr>
        <w:numPr>
          <w:ilvl w:val="0"/>
          <w:numId w:val="35"/>
        </w:numPr>
        <w:ind w:left="720" w:hanging="360"/>
        <w:contextualSpacing w:val="1"/>
        <w:rPr/>
      </w:pPr>
      <w:r w:rsidDel="00000000" w:rsidR="00000000" w:rsidRPr="00000000">
        <w:rPr>
          <w:rFonts w:ascii="Calibri" w:cs="Calibri" w:eastAsia="Calibri" w:hAnsi="Calibri"/>
          <w:rtl w:val="0"/>
        </w:rPr>
        <w:t xml:space="preserve">This input is provided on behalf of the entire NCSG.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General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NCSG members have been active participants in the IANA stewardship transition process. In addition to representatives on the CWG and CCWG, NCSG members have contributed inputs, hosted workshops, chaired drafting teams, developed shared processes for consideration of proposals and volunteered hundreds of hours of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NCSG supports the requirements of the ICG to maintain a transparent and accountable process throughout the stewardship transition. We note with support the recent statement on Contracts and Other Agreements from the ICG calling for transparency.</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The NCSG supports the creation of a separate legal entity to house the names-related IANA functions. We believe that structural separation of the IANA functions into a legal affiliate has several beneficial features, which we summarize below.  We do not believe that the CCWG Accountability enhancements alone can ensure the future independence and performance of the IANA functions nor guarantee the imperative of separation between policy-development and the IANA functions into the future.   Legal and structural separation is key.  Still, many details about this proposal have yet to be filled in. Given the need for quick action, we urge the CWG and the broader community to accept a legally separate affiliate </w:t>
      </w:r>
      <w:r w:rsidDel="00000000" w:rsidR="00000000" w:rsidRPr="00000000">
        <w:rPr>
          <w:rFonts w:ascii="Calibri" w:cs="Calibri" w:eastAsia="Calibri" w:hAnsi="Calibri"/>
          <w:rtl w:val="0"/>
        </w:rPr>
        <w:t xml:space="preserve">Post Transition IANA (</w:t>
      </w:r>
      <w:r w:rsidDel="00000000" w:rsidR="00000000" w:rsidRPr="00000000">
        <w:rPr>
          <w:rFonts w:ascii="Calibri" w:cs="Calibri" w:eastAsia="Calibri" w:hAnsi="Calibri"/>
          <w:rtl w:val="0"/>
        </w:rPr>
        <w:t xml:space="preserve">PTI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model </w:t>
      </w:r>
      <w:r w:rsidDel="00000000" w:rsidR="00000000" w:rsidRPr="00000000">
        <w:rPr>
          <w:rFonts w:ascii="Calibri" w:cs="Calibri" w:eastAsia="Calibri" w:hAnsi="Calibri"/>
          <w:rtl w:val="0"/>
        </w:rPr>
        <w:t xml:space="preserve">as the basis for the ongoing development of the IANA stewardship transition.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benefits are:</w:t>
      </w:r>
    </w:p>
    <w:p w:rsidR="00000000" w:rsidDel="00000000" w:rsidP="00000000" w:rsidRDefault="00000000" w:rsidRPr="00000000">
      <w:pPr>
        <w:numPr>
          <w:ilvl w:val="0"/>
          <w:numId w:val="1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It strengthens the separation of ICANN’s policy making role from the IANA functions operator. Such separation was required by the NTIA contract, but once the NTIA withdraws, that separation could be undermined. Such separation is also a part of the numbers and protocols proposals, making the names arrangements symmetrical with the principles outlined in RFC 7500.</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potential to change IANA functions operators is an essential feature of the post-transition accountability mechanisms. Separability is a principle accepted by the CWG and specifically proposed by both the protocols and numbers communities. Unless the assets, staff and operations associated with IANA are already separated from the rest of ICANN, separability is not a feasible option. Thus, PTI removes one of the potential barriers to a change in IANA functions operators.</w:t>
      </w:r>
    </w:p>
    <w:p w:rsidR="00000000" w:rsidDel="00000000" w:rsidP="00000000" w:rsidRDefault="00000000" w:rsidRPr="00000000">
      <w:pPr>
        <w:numPr>
          <w:ilvl w:val="0"/>
          <w:numId w:val="1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proposal includes periodic review of the IANA Functions Operator</w:t>
      </w:r>
      <w:r w:rsidDel="00000000" w:rsidR="00000000" w:rsidRPr="00000000">
        <w:rPr>
          <w:rFonts w:ascii="Calibri" w:cs="Calibri" w:eastAsia="Calibri" w:hAnsi="Calibri"/>
          <w:rtl w:val="0"/>
        </w:rPr>
        <w:t xml:space="preserve">, this periodic review is crucial to ensuring the continued accountability, security and stability of the DNS</w:t>
      </w: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the </w:t>
      </w:r>
      <w:r w:rsidDel="00000000" w:rsidR="00000000" w:rsidRPr="00000000">
        <w:rPr>
          <w:rFonts w:ascii="Calibri" w:cs="Calibri" w:eastAsia="Calibri" w:hAnsi="Calibri"/>
          <w:rtl w:val="0"/>
        </w:rPr>
        <w:t xml:space="preserve">PTI has its own board or management</w:t>
      </w:r>
      <w:r w:rsidDel="00000000" w:rsidR="00000000" w:rsidRPr="00000000">
        <w:rPr>
          <w:rFonts w:ascii="Calibri" w:cs="Calibri" w:eastAsia="Calibri" w:hAnsi="Calibri"/>
          <w:rtl w:val="0"/>
        </w:rPr>
        <w:t xml:space="preserve">, responsibility for</w:t>
      </w:r>
      <w:r w:rsidDel="00000000" w:rsidR="00000000" w:rsidRPr="00000000">
        <w:rPr>
          <w:rFonts w:ascii="Calibri" w:cs="Calibri" w:eastAsia="Calibri" w:hAnsi="Calibri"/>
          <w:rtl w:val="0"/>
        </w:rPr>
        <w:t xml:space="preserve"> the core technical mission of the IANA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will be more focused. Currently, responsibility for IANA is bundled in with responsibility for all the other things ICANN does</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It represents an acceptable </w:t>
      </w:r>
      <w:r w:rsidDel="00000000" w:rsidR="00000000" w:rsidRPr="00000000">
        <w:rPr>
          <w:rFonts w:ascii="Calibri" w:cs="Calibri" w:eastAsia="Calibri" w:hAnsi="Calibri"/>
          <w:rtl w:val="0"/>
        </w:rPr>
        <w:t xml:space="preserve">compromise</w:t>
      </w:r>
      <w:r w:rsidDel="00000000" w:rsidR="00000000" w:rsidRPr="00000000">
        <w:rPr>
          <w:rFonts w:ascii="Calibri" w:cs="Calibri" w:eastAsia="Calibri" w:hAnsi="Calibri"/>
          <w:rtl w:val="0"/>
        </w:rPr>
        <w:t xml:space="preserve">, perhaps the only acceptable middle ground, between the advocates of an ‘internal’ and ‘external’ 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Section I - The Community's Use of IANA</w:t>
      </w:r>
    </w:p>
    <w:p w:rsidR="00000000" w:rsidDel="00000000" w:rsidP="00000000" w:rsidRDefault="00000000" w:rsidRPr="00000000">
      <w:pPr>
        <w:numPr>
          <w:ilvl w:val="0"/>
          <w:numId w:val="29"/>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 - The Community's Use of the IANA? Section I lists the specific, distinct IANA services or activities the naming community relies 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independant entity. We believe neither ICANN nor the IANA functions operator should be involved in running a TLD.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Section III - Proposed Post-Transition Oversight and Accountability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 you have any specific comments or input you would like to provide with regards to section III.A.i.a. - Post-Transition IANA (PTI). This  section describes the proposed post-transition IANA.</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so, please provide your comments here.</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 </w:t>
        <w:tab/>
      </w:r>
    </w:p>
    <w:p w:rsidR="00000000" w:rsidDel="00000000" w:rsidP="00000000" w:rsidRDefault="00000000" w:rsidRPr="00000000">
      <w:pPr>
        <w:spacing w:line="240" w:lineRule="auto"/>
        <w:ind w:left="0" w:firstLine="0"/>
        <w:contextualSpacing w:val="0"/>
      </w:pPr>
      <w:r w:rsidDel="00000000" w:rsidR="00000000" w:rsidRPr="00000000">
        <w:rPr>
          <w:rFonts w:ascii="Calibri" w:cs="Calibri" w:eastAsia="Calibri" w:hAnsi="Calibri"/>
          <w:rtl w:val="0"/>
        </w:rPr>
        <w:t xml:space="preserve">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The NCSG believes that forming the PTI as a PBC will be easier to implement and more likely to ensure various measures of good corporate governance. </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w:t>
      </w:r>
      <w:r w:rsidDel="00000000" w:rsidR="00000000" w:rsidRPr="00000000">
        <w:rPr>
          <w:rFonts w:ascii="Calibri" w:cs="Calibri" w:eastAsia="Calibri" w:hAnsi="Calibri"/>
          <w:rtl w:val="0"/>
        </w:rPr>
        <w:t xml:space="preserve">risky</w:t>
      </w:r>
      <w:r w:rsidDel="00000000" w:rsidR="00000000" w:rsidRPr="00000000">
        <w:rPr>
          <w:rFonts w:ascii="Calibri" w:cs="Calibri" w:eastAsia="Calibri" w:hAnsi="Calibri"/>
          <w:rtl w:val="0"/>
        </w:rPr>
        <w:t xml:space="preserve">.</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rtl w:val="0"/>
        </w:rPr>
        <w:t xml:space="preserve">Additionally, the NCSG recommends that the CWG, with broader consultation, should consider expanding the membership of the PTI to include the IETF and </w:t>
      </w:r>
      <w:r w:rsidDel="00000000" w:rsidR="00000000" w:rsidRPr="00000000">
        <w:rPr>
          <w:rFonts w:ascii="Calibri" w:cs="Calibri" w:eastAsia="Calibri" w:hAnsi="Calibri"/>
          <w:rtl w:val="0"/>
        </w:rPr>
        <w:t xml:space="preserve">RIRs</w:t>
      </w:r>
      <w:r w:rsidDel="00000000" w:rsidR="00000000" w:rsidRPr="00000000">
        <w:rPr>
          <w:rFonts w:ascii="Calibri" w:cs="Calibri" w:eastAsia="Calibri" w:hAnsi="Calibri"/>
          <w:rtl w:val="0"/>
        </w:rPr>
        <w:t xml:space="preserve"> (or their chosen representative legal entities).  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15"/>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III.A.i.b. - Post-Transition IANA Board. This section describes the proposed Board for the post-transition </w:t>
        <w:tab/>
        <w:t xml:space="preserve">IANA. If so, please provide your comments here. If applicable, please reference the sub-section your comment relates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44444"/>
          <w:highlight w:val="white"/>
          <w:rtl w:val="0"/>
        </w:rPr>
        <w:t xml:space="preserve">Regardless of the corporate form chosen for PTI, its board or management must have duty of loyalty, duty of care and duty of obedience including fiduciary responsibility to the PTI.</w:t>
      </w:r>
      <w:r w:rsidDel="00000000" w:rsidR="00000000" w:rsidRPr="00000000">
        <w:rPr>
          <w:color w:val="444444"/>
          <w:highlight w:val="white"/>
          <w:rtl w:val="0"/>
        </w:rPr>
        <w:t xml:space="preserve"> </w:t>
      </w:r>
      <w:r w:rsidDel="00000000" w:rsidR="00000000" w:rsidRPr="00000000">
        <w:rPr>
          <w:rFonts w:ascii="Calibri" w:cs="Calibri" w:eastAsia="Calibri" w:hAnsi="Calibri"/>
          <w:rtl w:val="0"/>
        </w:rPr>
        <w:t xml:space="preserve">Doing so will help ensure that the PTI board or management, while still complying with its various contracts with the names, numbers,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self perpetuating.</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17"/>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III.A.i.c. - IANA Statement of Work. This section describes the proposed IANA Statement of Work, including proposed carryover provisions.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7"/>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III.A.i.d. - IANA Function Review. This section describes the proposed periodic as well as special review of the IANA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We believe that the IANA Function Review (IFR) is a critical part of the overall transition proposal.  First and foremost it establishes the imperative of having periodic reviews, 2 years post transition and then every 5 years thereafter.  The IFR (including explicit mention of the special reviews and the periodicity) should be enshrined in the ICANN bylaws as a fundamental bylaw - as is proposed in the consultation document.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This review process is an essential part of ensuring that the IANA functions meet both the performance expectations of the community and are subject to an appropriate level of scrutiny to ensure the IANA functions and their operation remain fit for purpose.  We agree that the review process should incorporate inputs from the CSC, the PTI and others as appropriate.  We note that that the composition of the PTI Board as we have outlined above in #9 will also ensure that the views of the broader community and customers of the IANA functions are taken into account in the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We agree that the IFR does not need to be a standing committee although a mechanism should be identified to ensure that if a special review is called for the IFR can be quickly and efficiently put in 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III.A.ii.a. - Customer Standing Committee (CSC). This section describes Customer Standing Committee that is expected to oversee performance of the IANA Functions as they relate to </w:t>
        <w:tab/>
        <w:t xml:space="preserve">naming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6"/>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III.A.ii.b. - Service Level Expectations. This section describes the proposed service level expectations post-transition.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25"/>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III.A.ii.c. - Escalation mechanisms. This section </w:t>
        <w:tab/>
        <w:t xml:space="preserve">describes the different proposed escalation mechanisms as they </w:t>
        <w:tab/>
        <w:t xml:space="preserve">relate to the naming services.</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so, please provide your comments here. </w:t>
        <w:tab/>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applicable, please reference the sub-section your comment </w:t>
        <w:tab/>
        <w:t xml:space="preserve">relates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that is a component of the IFR.   In addition the proposed CSC consultation process seems at odds with the IFR in that any result of the consultation would be approved by the ccNSO and RySG, a much smaller subset of the community than involved in an IFR.  Our preference would be for any such material changes be reviewed as a part of the IFR special review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4"/>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III.A.ii.d. - Separation review. This section describes the separation review that can be triggered by an IANA Function Review if needed. If so, please provide your comments here. </w:t>
        <w:tab/>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applicable, please reference the sub-section your comment </w:t>
        <w:tab/>
        <w:t xml:space="preserve">relates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fully support the addition of a fundamental bylaw to enable separation of PTI from ICANN or ending the contract with PTI and switching to a new IFO.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believe that rebidding the contract for the names-related IANA functions should not be made so difficult, complex and time-consuming as to give PTI a de facto monopoly on the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III.A.ii.e. - Framework for transition to </w:t>
        <w:tab/>
        <w:t xml:space="preserve">successor IANA Operator. This section describes the proposed </w:t>
        <w:tab/>
        <w:t xml:space="preserve">framework for a transition to a successor IANA Operator to ensure </w:t>
        <w:tab/>
        <w:t xml:space="preserve">continuity of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III.A.iii.a. - Proposed changes to root zone </w:t>
        <w:tab/>
        <w:t xml:space="preserve">environment and relationship with root zone maintainer. This section </w:t>
        <w:tab/>
        <w:t xml:space="preserve">describes the proposed changes to the root zone environment and the </w:t>
        <w:tab/>
        <w:t xml:space="preserve">relationship with the Root Zone Maintainer.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III.A.iv.a. - ccTLD Delegation Appeals. This section describes the proposed recommendation in relation to a ccTLD delegation appeals mechanism.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8"/>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III.A.iv.b. - IANA Budget. This section describes </w:t>
        <w:tab/>
        <w:t xml:space="preserve">the recommendations in relation to the IANA Budget.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III.A.iv.c. - Regulatory and legal obligations. </w:t>
        <w:tab/>
        <w:t xml:space="preserve">This section describes the regulatory and legal obligations </w:t>
        <w:tab/>
        <w:t xml:space="preserve">post-transition and how these are expected to be met.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20"/>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III.B. - Implications for the interface between the IANA Functions and existing policy arrangements. This section describes the expected implications for the interface between the </w:t>
        <w:tab/>
        <w:t xml:space="preserve">IANA Functions and existing policy arrangements as a result of the proposed transition arrangements.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The single sentence in the proposal is far from adequate nor does it reflect the importance that many of the stakeholders in ICANN’s community and outside have bestowed on this principle.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composition as we have noted above.    The role of ensuring the neutrality, effectiveness and independence of the IANA  functions will fall to the PTI - so its Board should be empowered to take measures to ensure that independence and separation between policy and the IANA functions remain sacrosanct.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Section IV - Transition Implications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1"/>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IV. - Transition Implications. This section is expected to describe the CWG-Stewardship views as the implications of the changes it proposed in Section III.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Section V - NTIA Requirements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18"/>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V. - NTIA Requirements. This section is expected to describe how the community’s proposal meets these requirements and how it responds to the global interest in the IANA </w:t>
        <w:tab/>
        <w:t xml:space="preserve">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Section VI - Community Process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8"/>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VI. - Community Process. This section should describe the process the community used for developing this proposal.</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applicable, please reference the sub-section your comment </w:t>
        <w:tab/>
        <w:t xml:space="preserve">relates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Annexes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30"/>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Annex A - The Community's Use of the IANA - </w:t>
        <w:tab/>
        <w:t xml:space="preserve">Additional Information.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B - Oversight mechanisms in the NTIA IANA </w:t>
        <w:tab/>
        <w:t xml:space="preserve">Functions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12"/>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C - Principles and criteria that should </w:t>
        <w:tab/>
        <w:t xml:space="preserve">underpin decisions on the transition of NTIA Stewardship for names </w:t>
        <w:tab/>
        <w:t xml:space="preserve">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D - Xplane Diagram.</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numPr>
          <w:ilvl w:val="0"/>
          <w:numId w:val="7"/>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E - IANA Contract provisions to be carried </w:t>
        <w:tab/>
        <w:t xml:space="preserve">over post-transition.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32"/>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F - IANA Function Reviews.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G - Proposed charter of the customer </w:t>
        <w:tab/>
        <w:t xml:space="preserve">standing committee (CSC).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H - Service level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Annex I - IANA Customer Service Complaint Resolution Process for Naming Related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Annex J - IANA Problem Resolution Process (for IANA naming services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26"/>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K - Root Zone Emergency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5"/>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L - Separation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Calibri" w:cs="Calibri" w:eastAsia="Calibri" w:hAnsi="Calibri"/>
          <w:rtl w:val="0"/>
        </w:rPr>
        <w:t xml:space="preserve">Do you have </w:t>
        <w:tab/>
        <w:t xml:space="preserve">any specific comments or input you would like to provide with </w:t>
        <w:tab/>
        <w:t xml:space="preserve">regards to section Annex M - Framework for transition to a successor </w:t>
        <w:tab/>
        <w:t xml:space="preserve">IANA operator.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Annex N - Proposed changes to root zone environment and relationship with root zone maintainer.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regards to section Annex O - ccTLD Appeals Mechanism Background and </w:t>
        <w:tab/>
        <w:t xml:space="preserve">Supporting Findings.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Annex P - IANA Operations Cost Analysis.</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so, please provide your comments here. </w:t>
        <w:tab/>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applicable, please reference the sub-section your comment </w:t>
        <w:tab/>
        <w:t xml:space="preserve">relates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ind w:firstLine="720"/>
        <w:contextualSpacing w:val="0"/>
      </w:pPr>
      <w:r w:rsidDel="00000000" w:rsidR="00000000" w:rsidRPr="00000000">
        <w:rPr>
          <w:rtl w:val="0"/>
        </w:rPr>
        <w:tab/>
      </w:r>
    </w:p>
    <w:p w:rsidR="00000000" w:rsidDel="00000000" w:rsidP="00000000" w:rsidRDefault="00000000" w:rsidRPr="00000000">
      <w:pPr>
        <w:numPr>
          <w:ilvl w:val="0"/>
          <w:numId w:val="23"/>
        </w:numPr>
        <w:ind w:left="720" w:hanging="360"/>
        <w:contextualSpacing w:val="1"/>
        <w:rPr/>
      </w:pPr>
      <w:r w:rsidDel="00000000" w:rsidR="00000000" w:rsidRPr="00000000">
        <w:rPr>
          <w:rFonts w:ascii="Calibri" w:cs="Calibri" w:eastAsia="Calibri" w:hAnsi="Calibri"/>
          <w:rtl w:val="0"/>
        </w:rPr>
        <w:t xml:space="preserve">Do you have any specific comments or input you would like to provide with </w:t>
        <w:tab/>
        <w:t xml:space="preserve">regards to section Annex Q - IANA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do not have any specific comments relating to this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Other Comments</w:t>
      </w:r>
    </w:p>
    <w:p w:rsidR="00000000" w:rsidDel="00000000" w:rsidP="00000000" w:rsidRDefault="00000000" w:rsidRPr="00000000">
      <w:pPr>
        <w:numPr>
          <w:ilvl w:val="0"/>
          <w:numId w:val="33"/>
        </w:numPr>
        <w:ind w:left="720" w:hanging="360"/>
        <w:contextualSpacing w:val="1"/>
        <w:rPr/>
      </w:pPr>
      <w:r w:rsidDel="00000000" w:rsidR="00000000" w:rsidRPr="00000000">
        <w:rPr>
          <w:rFonts w:ascii="Calibri" w:cs="Calibri" w:eastAsia="Calibri" w:hAnsi="Calibri"/>
          <w:rtl w:val="0"/>
        </w:rPr>
        <w:t xml:space="preserve">Are there any other comments or issues you would like to raise for the consideration of the CWG-Stewardship?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1">
        <w:r w:rsidDel="00000000" w:rsidR="00000000" w:rsidRPr="00000000">
          <w:rPr>
            <w:color w:val="1155cc"/>
            <w:sz w:val="20"/>
            <w:u w:val="single"/>
            <w:rtl w:val="0"/>
          </w:rPr>
          <w:t xml:space="preserve">https://tools.ietf.org/rfc/rfc7500.txt</w:t>
        </w:r>
      </w:hyperlink>
      <w:r w:rsidDel="00000000" w:rsidR="00000000" w:rsidRPr="00000000">
        <w:rPr>
          <w:sz w:val="20"/>
          <w:rtl w:val="0"/>
        </w:rPr>
        <w:t xml:space="preserve"> </w:t>
      </w:r>
    </w:p>
  </w:footnote>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2">
        <w:r w:rsidDel="00000000" w:rsidR="00000000" w:rsidRPr="00000000">
          <w:rPr>
            <w:color w:val="1155cc"/>
            <w:sz w:val="20"/>
            <w:u w:val="single"/>
            <w:rtl w:val="0"/>
          </w:rPr>
          <w:t xml:space="preserve">https://www.ianacg.org/icg-statement-on-contracts-and-other-agreements/</w:t>
        </w:r>
      </w:hyperlink>
      <w:r w:rsidDel="00000000" w:rsidR="00000000" w:rsidRPr="00000000">
        <w:rPr>
          <w:sz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3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3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3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3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4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4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2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3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2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lvl w:ilvl="0">
      <w:start w:val="4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lvl w:ilvl="0">
      <w:start w:val="3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lvl w:ilvl="0">
      <w:start w:val="3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lvl w:ilvl="0">
      <w:start w:val="3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4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0">
    <w:lvl w:ilvl="0">
      <w:start w:val="2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lvl w:ilvl="0">
      <w:start w:val="3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lvl w:ilvl="0">
      <w:start w:val="4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4">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7">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b w:val="1"/>
      <w:i w:val="0"/>
      <w:sz w:val="48"/>
    </w:rPr>
  </w:style>
  <w:style w:type="paragraph" w:styleId="Heading2">
    <w:name w:val="heading 2"/>
    <w:basedOn w:val="Normal"/>
    <w:next w:val="Normal"/>
    <w:pPr>
      <w:spacing w:after="225" w:before="225" w:lineRule="auto"/>
      <w:contextualSpacing w:val="1"/>
    </w:pPr>
    <w:rPr>
      <w:b w:val="1"/>
      <w:i w:val="0"/>
      <w:sz w:val="36"/>
    </w:rPr>
  </w:style>
  <w:style w:type="paragraph" w:styleId="Heading3">
    <w:name w:val="heading 3"/>
    <w:basedOn w:val="Normal"/>
    <w:next w:val="Normal"/>
    <w:pPr>
      <w:spacing w:after="240" w:before="240" w:lineRule="auto"/>
      <w:contextualSpacing w:val="1"/>
    </w:pPr>
    <w:rPr>
      <w:b w:val="1"/>
      <w:i w:val="0"/>
      <w:sz w:val="28"/>
    </w:rPr>
  </w:style>
  <w:style w:type="paragraph" w:styleId="Heading4">
    <w:name w:val="heading 4"/>
    <w:basedOn w:val="Normal"/>
    <w:next w:val="Normal"/>
    <w:pPr>
      <w:spacing w:after="255" w:before="255" w:lineRule="auto"/>
      <w:contextualSpacing w:val="1"/>
    </w:pPr>
    <w:rPr>
      <w:b w:val="1"/>
      <w:i w:val="0"/>
      <w:sz w:val="24"/>
    </w:rPr>
  </w:style>
  <w:style w:type="paragraph" w:styleId="Heading5">
    <w:name w:val="heading 5"/>
    <w:basedOn w:val="Normal"/>
    <w:next w:val="Normal"/>
    <w:pPr>
      <w:spacing w:after="255" w:before="255" w:lineRule="auto"/>
      <w:contextualSpacing w:val="1"/>
    </w:pPr>
    <w:rPr>
      <w:b w:val="1"/>
      <w:i w:val="0"/>
      <w:sz w:val="18"/>
    </w:rPr>
  </w:style>
  <w:style w:type="paragraph" w:styleId="Heading6">
    <w:name w:val="heading 6"/>
    <w:basedOn w:val="Normal"/>
    <w:next w:val="Normal"/>
    <w:pPr>
      <w:spacing w:after="360" w:before="360" w:lineRule="auto"/>
      <w:contextualSpacing w:val="1"/>
    </w:pPr>
    <w:rPr>
      <w:b w:val="1"/>
      <w:i w:val="0"/>
      <w:sz w:val="16"/>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ianacg.org/icg-statement-on-contracts-and-other-agreements/" TargetMode="External"/><Relationship Id="rId1" Type="http://schemas.openxmlformats.org/officeDocument/2006/relationships/hyperlink" Target="https://tools.ietf.org/rfc/rfc7500.txt" TargetMode="External"/></Relationships>
</file>