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3D7E38" w14:textId="77777777" w:rsidR="00852CFC" w:rsidRDefault="00852CFC">
      <w:pPr>
        <w:rPr>
          <w:rFonts w:asciiTheme="majorHAnsi" w:hAnsiTheme="majorHAnsi"/>
        </w:rPr>
      </w:pPr>
    </w:p>
    <w:p w14:paraId="4769D815" w14:textId="67DF9840" w:rsidR="000E69D1" w:rsidRDefault="001A1BB5">
      <w:pPr>
        <w:rPr>
          <w:rFonts w:asciiTheme="majorHAnsi" w:hAnsiTheme="majorHAnsi"/>
        </w:rPr>
      </w:pPr>
      <w:r w:rsidRPr="001A1BB5">
        <w:rPr>
          <w:rFonts w:asciiTheme="majorHAnsi" w:hAnsiTheme="majorHAnsi"/>
        </w:rPr>
        <w:t xml:space="preserve">The Governmental Advisory Committee (GAC) has issued advice to the ICANN Board of Directors regarding </w:t>
      </w:r>
      <w:proofErr w:type="gramStart"/>
      <w:r w:rsidRPr="001A1BB5">
        <w:rPr>
          <w:rFonts w:asciiTheme="majorHAnsi" w:hAnsiTheme="majorHAnsi"/>
        </w:rPr>
        <w:t>New</w:t>
      </w:r>
      <w:proofErr w:type="gramEnd"/>
      <w:r w:rsidRPr="001A1BB5">
        <w:rPr>
          <w:rFonts w:asciiTheme="majorHAnsi" w:hAnsiTheme="majorHAnsi"/>
        </w:rPr>
        <w:t xml:space="preserve"> gTLD applications.</w:t>
      </w:r>
      <w:r w:rsidR="00644C0E">
        <w:rPr>
          <w:rFonts w:asciiTheme="majorHAnsi" w:hAnsiTheme="majorHAnsi"/>
        </w:rPr>
        <w:t xml:space="preserve">  Please see Section IV, Annex I, and Annex II of the </w:t>
      </w:r>
      <w:hyperlink r:id="rId9" w:history="1">
        <w:r w:rsidR="00022005" w:rsidRPr="0092014D">
          <w:rPr>
            <w:rStyle w:val="Hyperlink"/>
            <w:rFonts w:asciiTheme="majorHAnsi" w:hAnsiTheme="majorHAnsi"/>
          </w:rPr>
          <w:t>GAC Beijing Communique</w:t>
        </w:r>
      </w:hyperlink>
      <w:r w:rsidRPr="001A1BB5">
        <w:rPr>
          <w:rFonts w:asciiTheme="majorHAnsi" w:hAnsiTheme="majorHAnsi"/>
        </w:rPr>
        <w:t xml:space="preserve"> for the full list of advice on individual strings, categories of strings, and strings that may warrant further GAC consideration.</w:t>
      </w:r>
    </w:p>
    <w:p w14:paraId="42937957" w14:textId="77777777" w:rsidR="000E69D1" w:rsidRDefault="000E69D1">
      <w:pPr>
        <w:rPr>
          <w:rFonts w:ascii="Arial" w:hAnsi="Arial"/>
          <w:sz w:val="22"/>
        </w:rPr>
      </w:pPr>
    </w:p>
    <w:p w14:paraId="2EA2E509" w14:textId="70F4D782" w:rsidR="000E69D1" w:rsidRDefault="00644C0E">
      <w:pPr>
        <w:rPr>
          <w:rFonts w:asciiTheme="majorHAnsi" w:hAnsiTheme="majorHAnsi"/>
        </w:rPr>
      </w:pPr>
      <w:r>
        <w:rPr>
          <w:rFonts w:asciiTheme="majorHAnsi" w:hAnsiTheme="majorHAnsi"/>
        </w:rPr>
        <w:t xml:space="preserve">Respondents should use this form to ensure their responses are appropriately tracked and routed to the ICANN Board for their consideration.  Complete this form and submit it </w:t>
      </w:r>
      <w:r w:rsidR="00D11FFC">
        <w:rPr>
          <w:rFonts w:asciiTheme="majorHAnsi" w:hAnsiTheme="majorHAnsi"/>
        </w:rPr>
        <w:t>as an attachment to the ICANN Customer Service Center</w:t>
      </w:r>
      <w:r>
        <w:rPr>
          <w:rFonts w:asciiTheme="majorHAnsi" w:hAnsiTheme="majorHAnsi"/>
        </w:rPr>
        <w:t xml:space="preserve"> via your </w:t>
      </w:r>
      <w:hyperlink r:id="rId10" w:history="1">
        <w:r w:rsidR="00D11FFC" w:rsidRPr="00D11FFC">
          <w:rPr>
            <w:rStyle w:val="Hyperlink"/>
            <w:rFonts w:asciiTheme="majorHAnsi" w:hAnsiTheme="majorHAnsi"/>
          </w:rPr>
          <w:t>CSC</w:t>
        </w:r>
        <w:r w:rsidRPr="00D11FFC">
          <w:rPr>
            <w:rStyle w:val="Hyperlink"/>
            <w:rFonts w:asciiTheme="majorHAnsi" w:hAnsiTheme="majorHAnsi"/>
          </w:rPr>
          <w:t xml:space="preserve"> Portal</w:t>
        </w:r>
      </w:hyperlink>
      <w:r>
        <w:rPr>
          <w:rFonts w:asciiTheme="majorHAnsi" w:hAnsiTheme="majorHAnsi"/>
        </w:rPr>
        <w:t xml:space="preserve"> </w:t>
      </w:r>
      <w:r w:rsidRPr="00D11FFC">
        <w:rPr>
          <w:rFonts w:asciiTheme="majorHAnsi" w:hAnsiTheme="majorHAnsi"/>
        </w:rPr>
        <w:t>with the Subject, “[Application ID] Response to GAC</w:t>
      </w:r>
      <w:r w:rsidR="00D11FFC">
        <w:rPr>
          <w:rFonts w:asciiTheme="majorHAnsi" w:hAnsiTheme="majorHAnsi"/>
        </w:rPr>
        <w:t xml:space="preserve"> Advice” (</w:t>
      </w:r>
      <w:r>
        <w:rPr>
          <w:rFonts w:asciiTheme="majorHAnsi" w:hAnsiTheme="majorHAnsi"/>
        </w:rPr>
        <w:t>for example “1-1</w:t>
      </w:r>
      <w:r w:rsidR="00D11FFC">
        <w:rPr>
          <w:rFonts w:asciiTheme="majorHAnsi" w:hAnsiTheme="majorHAnsi"/>
        </w:rPr>
        <w:t>11-11111 Response to GAC Advice</w:t>
      </w:r>
      <w:r>
        <w:rPr>
          <w:rFonts w:asciiTheme="majorHAnsi" w:hAnsiTheme="majorHAnsi"/>
        </w:rPr>
        <w:t>”</w:t>
      </w:r>
      <w:r w:rsidR="00D11FFC">
        <w:rPr>
          <w:rFonts w:asciiTheme="majorHAnsi" w:hAnsiTheme="majorHAnsi"/>
        </w:rPr>
        <w:t>).</w:t>
      </w:r>
      <w:r w:rsidR="00DA410E">
        <w:rPr>
          <w:rFonts w:asciiTheme="majorHAnsi" w:hAnsiTheme="majorHAnsi"/>
        </w:rPr>
        <w:t xml:space="preserve"> All GAC Advice Responses must be received</w:t>
      </w:r>
      <w:r w:rsidR="00B56E8D">
        <w:rPr>
          <w:rFonts w:asciiTheme="majorHAnsi" w:hAnsiTheme="majorHAnsi"/>
        </w:rPr>
        <w:t xml:space="preserve"> no later than 23:59:59 UTC on 10</w:t>
      </w:r>
      <w:r w:rsidR="00DA410E">
        <w:rPr>
          <w:rFonts w:asciiTheme="majorHAnsi" w:hAnsiTheme="majorHAnsi"/>
        </w:rPr>
        <w:t>-May-2013.</w:t>
      </w:r>
    </w:p>
    <w:p w14:paraId="3A39495C" w14:textId="77777777" w:rsidR="000E69D1" w:rsidRDefault="000E69D1">
      <w:pPr>
        <w:rPr>
          <w:rFonts w:asciiTheme="majorHAnsi" w:hAnsiTheme="majorHAnsi"/>
        </w:rPr>
      </w:pPr>
    </w:p>
    <w:p w14:paraId="42C02603" w14:textId="30A802AB" w:rsidR="000E69D1" w:rsidRDefault="00644C0E">
      <w:pPr>
        <w:rPr>
          <w:rFonts w:asciiTheme="majorHAnsi" w:hAnsiTheme="majorHAnsi"/>
          <w:b/>
        </w:rPr>
      </w:pPr>
      <w:r>
        <w:rPr>
          <w:rFonts w:asciiTheme="majorHAnsi" w:hAnsiTheme="majorHAnsi"/>
          <w:b/>
        </w:rPr>
        <w:t>Respondent</w:t>
      </w:r>
      <w:r w:rsidR="00945618">
        <w:rPr>
          <w:rFonts w:asciiTheme="majorHAnsi" w:hAnsiTheme="majorHAnsi"/>
          <w:b/>
        </w:rPr>
        <w:t>:</w:t>
      </w:r>
    </w:p>
    <w:tbl>
      <w:tblPr>
        <w:tblStyle w:val="TableGrid"/>
        <w:tblW w:w="8568"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2628"/>
        <w:gridCol w:w="5940"/>
      </w:tblGrid>
      <w:tr w:rsidR="000E69D1" w14:paraId="33A9F6D4" w14:textId="77777777">
        <w:tc>
          <w:tcPr>
            <w:tcW w:w="2628" w:type="dxa"/>
            <w:shd w:val="clear" w:color="auto" w:fill="D9D9D9"/>
          </w:tcPr>
          <w:p w14:paraId="607F27E4" w14:textId="6973F6D0" w:rsidR="000E69D1" w:rsidRDefault="00644C0E">
            <w:pPr>
              <w:rPr>
                <w:rFonts w:asciiTheme="majorHAnsi" w:hAnsiTheme="majorHAnsi"/>
                <w:sz w:val="22"/>
              </w:rPr>
            </w:pPr>
            <w:bookmarkStart w:id="0" w:name="Text1"/>
            <w:r>
              <w:rPr>
                <w:rFonts w:asciiTheme="majorHAnsi" w:hAnsiTheme="majorHAnsi"/>
                <w:sz w:val="22"/>
              </w:rPr>
              <w:t>Applicant Name</w:t>
            </w:r>
          </w:p>
        </w:tc>
        <w:bookmarkEnd w:id="0"/>
        <w:tc>
          <w:tcPr>
            <w:tcW w:w="5940" w:type="dxa"/>
          </w:tcPr>
          <w:p w14:paraId="092A37C3" w14:textId="1D4A3A17" w:rsidR="000E69D1" w:rsidRPr="003C5C26" w:rsidRDefault="00041202" w:rsidP="004C6512">
            <w:pPr>
              <w:rPr>
                <w:rFonts w:asciiTheme="majorHAnsi" w:hAnsiTheme="majorHAnsi"/>
                <w:color w:val="7F7F7F" w:themeColor="text1" w:themeTint="80"/>
                <w:sz w:val="22"/>
              </w:rPr>
            </w:pPr>
            <w:r>
              <w:rPr>
                <w:rFonts w:asciiTheme="majorHAnsi" w:hAnsiTheme="majorHAnsi"/>
                <w:color w:val="7F7F7F" w:themeColor="text1" w:themeTint="80"/>
                <w:sz w:val="22"/>
              </w:rPr>
              <w:fldChar w:fldCharType="begin">
                <w:ffData>
                  <w:name w:val=""/>
                  <w:enabled/>
                  <w:calcOnExit w:val="0"/>
                  <w:textInput/>
                </w:ffData>
              </w:fldChar>
            </w:r>
            <w:r>
              <w:rPr>
                <w:rFonts w:asciiTheme="majorHAnsi" w:hAnsiTheme="majorHAnsi"/>
                <w:color w:val="7F7F7F" w:themeColor="text1" w:themeTint="80"/>
                <w:sz w:val="22"/>
              </w:rPr>
              <w:instrText xml:space="preserve"> FORMTEXT </w:instrText>
            </w:r>
            <w:r>
              <w:rPr>
                <w:rFonts w:asciiTheme="majorHAnsi" w:hAnsiTheme="majorHAnsi"/>
                <w:color w:val="7F7F7F" w:themeColor="text1" w:themeTint="80"/>
                <w:sz w:val="22"/>
              </w:rPr>
            </w:r>
            <w:r>
              <w:rPr>
                <w:rFonts w:asciiTheme="majorHAnsi" w:hAnsiTheme="majorHAnsi"/>
                <w:color w:val="7F7F7F" w:themeColor="text1" w:themeTint="80"/>
                <w:sz w:val="22"/>
              </w:rPr>
              <w:fldChar w:fldCharType="separate"/>
            </w:r>
            <w:bookmarkStart w:id="1" w:name="_GoBack"/>
            <w:r w:rsidR="004C6512" w:rsidRPr="004C6512">
              <w:rPr>
                <w:rFonts w:asciiTheme="majorHAnsi" w:hAnsiTheme="majorHAnsi"/>
                <w:color w:val="7F7F7F" w:themeColor="text1" w:themeTint="80"/>
                <w:sz w:val="22"/>
              </w:rPr>
              <w:t>T V SUNDRAM IYENGAR &amp; SONS LIMITED</w:t>
            </w:r>
            <w:bookmarkEnd w:id="1"/>
            <w:r>
              <w:rPr>
                <w:rFonts w:asciiTheme="majorHAnsi" w:hAnsiTheme="majorHAnsi"/>
                <w:color w:val="7F7F7F" w:themeColor="text1" w:themeTint="80"/>
                <w:sz w:val="22"/>
              </w:rPr>
              <w:fldChar w:fldCharType="end"/>
            </w:r>
          </w:p>
        </w:tc>
      </w:tr>
      <w:tr w:rsidR="000E69D1" w14:paraId="33ADE228" w14:textId="77777777">
        <w:tc>
          <w:tcPr>
            <w:tcW w:w="2628" w:type="dxa"/>
            <w:shd w:val="clear" w:color="auto" w:fill="D9D9D9"/>
          </w:tcPr>
          <w:p w14:paraId="1A6EE554" w14:textId="79258E2F" w:rsidR="000E69D1" w:rsidRDefault="00644C0E">
            <w:pPr>
              <w:rPr>
                <w:rFonts w:asciiTheme="majorHAnsi" w:hAnsiTheme="majorHAnsi"/>
                <w:sz w:val="22"/>
              </w:rPr>
            </w:pPr>
            <w:r>
              <w:rPr>
                <w:rFonts w:asciiTheme="majorHAnsi" w:hAnsiTheme="majorHAnsi"/>
                <w:sz w:val="22"/>
              </w:rPr>
              <w:t>Application ID</w:t>
            </w:r>
          </w:p>
        </w:tc>
        <w:tc>
          <w:tcPr>
            <w:tcW w:w="5940" w:type="dxa"/>
          </w:tcPr>
          <w:p w14:paraId="2B6097D7" w14:textId="43B004AA" w:rsidR="000E69D1" w:rsidRDefault="003C5C26" w:rsidP="004C6512">
            <w:pPr>
              <w:rPr>
                <w:rFonts w:asciiTheme="majorHAnsi" w:hAnsiTheme="majorHAnsi"/>
                <w:sz w:val="22"/>
              </w:rPr>
            </w:pPr>
            <w:r>
              <w:rPr>
                <w:rFonts w:asciiTheme="majorHAnsi" w:hAnsiTheme="majorHAnsi"/>
                <w:sz w:val="22"/>
              </w:rPr>
              <w:fldChar w:fldCharType="begin">
                <w:ffData>
                  <w:name w:val="Text2"/>
                  <w:enabled/>
                  <w:calcOnExit w:val="0"/>
                  <w:textInput/>
                </w:ffData>
              </w:fldChar>
            </w:r>
            <w:bookmarkStart w:id="2" w:name="Text2"/>
            <w:r>
              <w:rPr>
                <w:rFonts w:asciiTheme="majorHAnsi" w:hAnsiTheme="majorHAnsi"/>
                <w:sz w:val="22"/>
              </w:rPr>
              <w:instrText xml:space="preserve"> FORMTEXT </w:instrText>
            </w:r>
            <w:r>
              <w:rPr>
                <w:rFonts w:asciiTheme="majorHAnsi" w:hAnsiTheme="majorHAnsi"/>
                <w:sz w:val="22"/>
              </w:rPr>
            </w:r>
            <w:r>
              <w:rPr>
                <w:rFonts w:asciiTheme="majorHAnsi" w:hAnsiTheme="majorHAnsi"/>
                <w:sz w:val="22"/>
              </w:rPr>
              <w:fldChar w:fldCharType="separate"/>
            </w:r>
            <w:r w:rsidR="004C6512" w:rsidRPr="004C6512">
              <w:rPr>
                <w:rFonts w:asciiTheme="majorHAnsi" w:hAnsiTheme="majorHAnsi"/>
                <w:sz w:val="22"/>
              </w:rPr>
              <w:t>1-1862-71358</w:t>
            </w:r>
            <w:r>
              <w:rPr>
                <w:rFonts w:asciiTheme="majorHAnsi" w:hAnsiTheme="majorHAnsi"/>
                <w:sz w:val="22"/>
              </w:rPr>
              <w:fldChar w:fldCharType="end"/>
            </w:r>
            <w:bookmarkEnd w:id="2"/>
          </w:p>
        </w:tc>
      </w:tr>
      <w:tr w:rsidR="000E69D1" w14:paraId="0238CF22" w14:textId="77777777">
        <w:tc>
          <w:tcPr>
            <w:tcW w:w="2628" w:type="dxa"/>
            <w:shd w:val="clear" w:color="auto" w:fill="D9D9D9" w:themeFill="background1" w:themeFillShade="D9"/>
          </w:tcPr>
          <w:p w14:paraId="30C9E436" w14:textId="36622662" w:rsidR="000E69D1" w:rsidRDefault="00644C0E">
            <w:pPr>
              <w:rPr>
                <w:rFonts w:asciiTheme="majorHAnsi" w:hAnsiTheme="majorHAnsi"/>
                <w:sz w:val="22"/>
              </w:rPr>
            </w:pPr>
            <w:r>
              <w:rPr>
                <w:rFonts w:asciiTheme="majorHAnsi" w:hAnsiTheme="majorHAnsi"/>
                <w:sz w:val="22"/>
              </w:rPr>
              <w:t>Applied for TLD (string)</w:t>
            </w:r>
          </w:p>
        </w:tc>
        <w:tc>
          <w:tcPr>
            <w:tcW w:w="5940" w:type="dxa"/>
          </w:tcPr>
          <w:p w14:paraId="4C44B0A0" w14:textId="01B311F0" w:rsidR="000E69D1" w:rsidRDefault="003C5C26" w:rsidP="004C6512">
            <w:pPr>
              <w:rPr>
                <w:rFonts w:asciiTheme="majorHAnsi" w:hAnsiTheme="majorHAnsi"/>
                <w:sz w:val="22"/>
              </w:rPr>
            </w:pPr>
            <w:r>
              <w:rPr>
                <w:rFonts w:asciiTheme="majorHAnsi" w:hAnsiTheme="majorHAnsi"/>
                <w:sz w:val="22"/>
              </w:rPr>
              <w:fldChar w:fldCharType="begin">
                <w:ffData>
                  <w:name w:val="Text3"/>
                  <w:enabled/>
                  <w:calcOnExit w:val="0"/>
                  <w:textInput/>
                </w:ffData>
              </w:fldChar>
            </w:r>
            <w:bookmarkStart w:id="3" w:name="Text3"/>
            <w:r>
              <w:rPr>
                <w:rFonts w:asciiTheme="majorHAnsi" w:hAnsiTheme="majorHAnsi"/>
                <w:sz w:val="22"/>
              </w:rPr>
              <w:instrText xml:space="preserve"> FORMTEXT </w:instrText>
            </w:r>
            <w:r>
              <w:rPr>
                <w:rFonts w:asciiTheme="majorHAnsi" w:hAnsiTheme="majorHAnsi"/>
                <w:sz w:val="22"/>
              </w:rPr>
            </w:r>
            <w:r>
              <w:rPr>
                <w:rFonts w:asciiTheme="majorHAnsi" w:hAnsiTheme="majorHAnsi"/>
                <w:sz w:val="22"/>
              </w:rPr>
              <w:fldChar w:fldCharType="separate"/>
            </w:r>
            <w:r w:rsidR="00FB760D">
              <w:rPr>
                <w:rFonts w:asciiTheme="majorHAnsi" w:hAnsiTheme="majorHAnsi"/>
                <w:sz w:val="22"/>
              </w:rPr>
              <w:t>.</w:t>
            </w:r>
            <w:r w:rsidR="004C6512">
              <w:rPr>
                <w:rFonts w:asciiTheme="majorHAnsi" w:hAnsiTheme="majorHAnsi"/>
                <w:sz w:val="22"/>
              </w:rPr>
              <w:t>TVS</w:t>
            </w:r>
            <w:r>
              <w:rPr>
                <w:rFonts w:asciiTheme="majorHAnsi" w:hAnsiTheme="majorHAnsi"/>
                <w:sz w:val="22"/>
              </w:rPr>
              <w:fldChar w:fldCharType="end"/>
            </w:r>
            <w:bookmarkEnd w:id="3"/>
          </w:p>
        </w:tc>
      </w:tr>
    </w:tbl>
    <w:p w14:paraId="54DE1E89" w14:textId="77777777" w:rsidR="000E69D1" w:rsidRDefault="000E69D1">
      <w:pPr>
        <w:rPr>
          <w:rFonts w:asciiTheme="majorHAnsi" w:hAnsiTheme="majorHAnsi"/>
          <w:sz w:val="22"/>
        </w:rPr>
      </w:pPr>
    </w:p>
    <w:p w14:paraId="68464D73" w14:textId="1047E003" w:rsidR="000E69D1" w:rsidRDefault="00D11FFC">
      <w:pPr>
        <w:rPr>
          <w:rFonts w:asciiTheme="majorHAnsi" w:hAnsiTheme="majorHAnsi"/>
          <w:b/>
        </w:rPr>
      </w:pPr>
      <w:r>
        <w:rPr>
          <w:rFonts w:asciiTheme="majorHAnsi" w:hAnsiTheme="majorHAnsi"/>
          <w:b/>
        </w:rPr>
        <w:t>Response</w:t>
      </w:r>
      <w:r w:rsidR="00945618">
        <w:rPr>
          <w:rFonts w:asciiTheme="majorHAnsi" w:hAnsiTheme="majorHAnsi"/>
          <w:b/>
        </w:rPr>
        <w:t>:</w:t>
      </w:r>
    </w:p>
    <w:p w14:paraId="00AEFCE5" w14:textId="77777777" w:rsidR="001B1F43" w:rsidRPr="001B1F43" w:rsidRDefault="00D11FFC" w:rsidP="001B1F43">
      <w:pPr>
        <w:rPr>
          <w:rFonts w:asciiTheme="majorHAnsi" w:hAnsiTheme="majorHAnsi"/>
          <w:sz w:val="22"/>
        </w:rPr>
      </w:pPr>
      <w:r>
        <w:rPr>
          <w:rFonts w:asciiTheme="majorHAnsi" w:hAnsiTheme="majorHAnsi"/>
          <w:sz w:val="22"/>
        </w:rPr>
        <w:fldChar w:fldCharType="begin">
          <w:ffData>
            <w:name w:val="Text7"/>
            <w:enabled/>
            <w:calcOnExit w:val="0"/>
            <w:textInput/>
          </w:ffData>
        </w:fldChar>
      </w:r>
      <w:bookmarkStart w:id="4" w:name="Text7"/>
      <w:r>
        <w:rPr>
          <w:rFonts w:asciiTheme="majorHAnsi" w:hAnsiTheme="majorHAnsi"/>
          <w:sz w:val="22"/>
        </w:rPr>
        <w:instrText xml:space="preserve"> FORMTEXT </w:instrText>
      </w:r>
      <w:r>
        <w:rPr>
          <w:rFonts w:asciiTheme="majorHAnsi" w:hAnsiTheme="majorHAnsi"/>
          <w:sz w:val="22"/>
        </w:rPr>
      </w:r>
      <w:r>
        <w:rPr>
          <w:rFonts w:asciiTheme="majorHAnsi" w:hAnsiTheme="majorHAnsi"/>
          <w:sz w:val="22"/>
        </w:rPr>
        <w:fldChar w:fldCharType="separate"/>
      </w:r>
      <w:r w:rsidR="001B1F43" w:rsidRPr="001B1F43">
        <w:rPr>
          <w:rFonts w:asciiTheme="majorHAnsi" w:hAnsiTheme="majorHAnsi"/>
          <w:sz w:val="22"/>
        </w:rPr>
        <w:t xml:space="preserve">T V SUNDRAM IYENGAR &amp; SONS LIMITED (hereinafter TVS) welcomes the opportunity to respond to the communique from ICANN's Government Advisory Committee dated 18-April-2013. TVS is a multi-billion dollar business conglomerate with operations in six countries. TVS is currently recognized as one of India’s most trusted brands based upon its rich history dating back to 1911 when the company was first founded by </w:t>
      </w:r>
      <w:proofErr w:type="spellStart"/>
      <w:r w:rsidR="001B1F43" w:rsidRPr="001B1F43">
        <w:rPr>
          <w:rFonts w:asciiTheme="majorHAnsi" w:hAnsiTheme="majorHAnsi"/>
          <w:sz w:val="22"/>
        </w:rPr>
        <w:t>Shri</w:t>
      </w:r>
      <w:proofErr w:type="spellEnd"/>
      <w:r w:rsidR="001B1F43" w:rsidRPr="001B1F43">
        <w:rPr>
          <w:rFonts w:asciiTheme="majorHAnsi" w:hAnsiTheme="majorHAnsi"/>
          <w:sz w:val="22"/>
        </w:rPr>
        <w:t xml:space="preserve">. </w:t>
      </w:r>
      <w:proofErr w:type="gramStart"/>
      <w:r w:rsidR="001B1F43" w:rsidRPr="001B1F43">
        <w:rPr>
          <w:rFonts w:asciiTheme="majorHAnsi" w:hAnsiTheme="majorHAnsi"/>
          <w:sz w:val="22"/>
        </w:rPr>
        <w:t xml:space="preserve">T V </w:t>
      </w:r>
      <w:proofErr w:type="spellStart"/>
      <w:r w:rsidR="001B1F43" w:rsidRPr="001B1F43">
        <w:rPr>
          <w:rFonts w:asciiTheme="majorHAnsi" w:hAnsiTheme="majorHAnsi"/>
          <w:sz w:val="22"/>
        </w:rPr>
        <w:t>Sundaram</w:t>
      </w:r>
      <w:proofErr w:type="spellEnd"/>
      <w:r w:rsidR="001B1F43" w:rsidRPr="001B1F43">
        <w:rPr>
          <w:rFonts w:asciiTheme="majorHAnsi" w:hAnsiTheme="majorHAnsi"/>
          <w:sz w:val="22"/>
        </w:rPr>
        <w:t xml:space="preserve"> </w:t>
      </w:r>
      <w:proofErr w:type="spellStart"/>
      <w:r w:rsidR="001B1F43" w:rsidRPr="001B1F43">
        <w:rPr>
          <w:rFonts w:asciiTheme="majorHAnsi" w:hAnsiTheme="majorHAnsi"/>
          <w:sz w:val="22"/>
        </w:rPr>
        <w:t>Iyengar</w:t>
      </w:r>
      <w:proofErr w:type="spellEnd"/>
      <w:r w:rsidR="001B1F43" w:rsidRPr="001B1F43">
        <w:rPr>
          <w:rFonts w:asciiTheme="majorHAnsi" w:hAnsiTheme="majorHAnsi"/>
          <w:sz w:val="22"/>
        </w:rPr>
        <w:t>.</w:t>
      </w:r>
      <w:proofErr w:type="gramEnd"/>
      <w:r w:rsidR="001B1F43" w:rsidRPr="001B1F43">
        <w:rPr>
          <w:rFonts w:asciiTheme="majorHAnsi" w:hAnsiTheme="majorHAnsi"/>
          <w:sz w:val="22"/>
        </w:rPr>
        <w:t xml:space="preserve">  TVS supports the principles regarding enhanced safeguards to protect consumers. However, TVS respectfully submits that the GAC may not fully appreciate the nuances of its application and would ask that it consider the following points in its ongoing deliberations.  </w:t>
      </w:r>
    </w:p>
    <w:p w14:paraId="54288461" w14:textId="77777777" w:rsidR="001B1F43" w:rsidRPr="001B1F43" w:rsidRDefault="001B1F43" w:rsidP="001B1F43">
      <w:pPr>
        <w:rPr>
          <w:rFonts w:asciiTheme="majorHAnsi" w:hAnsiTheme="majorHAnsi"/>
          <w:sz w:val="22"/>
        </w:rPr>
      </w:pPr>
    </w:p>
    <w:p w14:paraId="316B5701" w14:textId="77777777" w:rsidR="001B1F43" w:rsidRPr="001B1F43" w:rsidRDefault="001B1F43" w:rsidP="001B1F43">
      <w:pPr>
        <w:rPr>
          <w:rFonts w:asciiTheme="majorHAnsi" w:hAnsiTheme="majorHAnsi"/>
          <w:sz w:val="22"/>
        </w:rPr>
      </w:pPr>
      <w:r w:rsidRPr="001B1F43">
        <w:rPr>
          <w:rFonts w:asciiTheme="majorHAnsi" w:hAnsiTheme="majorHAnsi"/>
          <w:sz w:val="22"/>
        </w:rPr>
        <w:t>In connection with the issue of singular and plural versions of the same string as a TLD, the GAC has advised the Board to"[r]</w:t>
      </w:r>
      <w:proofErr w:type="spellStart"/>
      <w:r w:rsidRPr="001B1F43">
        <w:rPr>
          <w:rFonts w:asciiTheme="majorHAnsi" w:hAnsiTheme="majorHAnsi"/>
          <w:sz w:val="22"/>
        </w:rPr>
        <w:t>econsider</w:t>
      </w:r>
      <w:proofErr w:type="spellEnd"/>
      <w:r w:rsidRPr="001B1F43">
        <w:rPr>
          <w:rFonts w:asciiTheme="majorHAnsi" w:hAnsiTheme="majorHAnsi"/>
          <w:sz w:val="22"/>
        </w:rPr>
        <w:t xml:space="preserve"> its decision to allow singular and plural versions of the same strings." TVS acknowledges the GAC's concern regarding the potential for confusion in connection with the co-existence of the singular and plural of the same word with a common meaning, e.g. .PET and .PETS where both top-level domain names related domesticated animals.  However, TVS is concerned that an attempt by the GAC to impose a one size fits all litmus test without a proper legal analysis based on established international law could lead to unintended consequences.  </w:t>
      </w:r>
    </w:p>
    <w:p w14:paraId="7DF59787" w14:textId="77777777" w:rsidR="001B1F43" w:rsidRPr="001B1F43" w:rsidRDefault="001B1F43" w:rsidP="001B1F43">
      <w:pPr>
        <w:rPr>
          <w:rFonts w:asciiTheme="majorHAnsi" w:hAnsiTheme="majorHAnsi"/>
          <w:sz w:val="22"/>
        </w:rPr>
      </w:pPr>
    </w:p>
    <w:p w14:paraId="51C311E6" w14:textId="524BB00D" w:rsidR="001B1F43" w:rsidRPr="001B1F43" w:rsidRDefault="001B1F43" w:rsidP="001B1F43">
      <w:pPr>
        <w:rPr>
          <w:rFonts w:asciiTheme="majorHAnsi" w:hAnsiTheme="majorHAnsi"/>
          <w:sz w:val="22"/>
        </w:rPr>
      </w:pPr>
      <w:r w:rsidRPr="001B1F43">
        <w:rPr>
          <w:rFonts w:asciiTheme="majorHAnsi" w:hAnsiTheme="majorHAnsi"/>
          <w:sz w:val="22"/>
        </w:rPr>
        <w:t xml:space="preserve">TVS is currently defending its application for a .TVS brand centric </w:t>
      </w:r>
      <w:proofErr w:type="spellStart"/>
      <w:r w:rsidRPr="001B1F43">
        <w:rPr>
          <w:rFonts w:asciiTheme="majorHAnsi" w:hAnsiTheme="majorHAnsi"/>
          <w:sz w:val="22"/>
        </w:rPr>
        <w:t>gTLD</w:t>
      </w:r>
      <w:proofErr w:type="spellEnd"/>
      <w:r w:rsidRPr="001B1F43">
        <w:rPr>
          <w:rFonts w:asciiTheme="majorHAnsi" w:hAnsiTheme="majorHAnsi"/>
          <w:sz w:val="22"/>
        </w:rPr>
        <w:t xml:space="preserve"> based upon an objection filed by VeriSign in which the principle argument is that .TVS is the plural of .TV, the country-code top level domain (</w:t>
      </w:r>
      <w:proofErr w:type="spellStart"/>
      <w:r w:rsidRPr="001B1F43">
        <w:rPr>
          <w:rFonts w:asciiTheme="majorHAnsi" w:hAnsiTheme="majorHAnsi"/>
          <w:sz w:val="22"/>
        </w:rPr>
        <w:t>ccTLD</w:t>
      </w:r>
      <w:proofErr w:type="spellEnd"/>
      <w:r w:rsidRPr="001B1F43">
        <w:rPr>
          <w:rFonts w:asciiTheme="majorHAnsi" w:hAnsiTheme="majorHAnsi"/>
          <w:sz w:val="22"/>
        </w:rPr>
        <w:t>) for Tuvalu.  While TVS is confident that it will ultimately prevail in the frivolous challenge by VeriSign based upon the criteria set forth in the Applicant Guidebook as well as established international trademark law, it does not currently appear from the wording of the GAC communique that they fully appreciate these legal subtleties in their propose</w:t>
      </w:r>
      <w:r w:rsidR="0031505D">
        <w:rPr>
          <w:rFonts w:asciiTheme="majorHAnsi" w:hAnsiTheme="majorHAnsi"/>
          <w:sz w:val="22"/>
        </w:rPr>
        <w:t>d</w:t>
      </w:r>
      <w:r w:rsidRPr="001B1F43">
        <w:rPr>
          <w:rFonts w:asciiTheme="majorHAnsi" w:hAnsiTheme="majorHAnsi"/>
          <w:sz w:val="22"/>
        </w:rPr>
        <w:t xml:space="preserve"> black and white litmus test. </w:t>
      </w:r>
    </w:p>
    <w:p w14:paraId="43928822" w14:textId="77777777" w:rsidR="001B1F43" w:rsidRPr="001B1F43" w:rsidRDefault="001B1F43" w:rsidP="001B1F43">
      <w:pPr>
        <w:rPr>
          <w:rFonts w:asciiTheme="majorHAnsi" w:hAnsiTheme="majorHAnsi"/>
          <w:sz w:val="22"/>
        </w:rPr>
      </w:pPr>
    </w:p>
    <w:p w14:paraId="677D698C" w14:textId="77777777" w:rsidR="001B1F43" w:rsidRPr="001B1F43" w:rsidRDefault="001B1F43" w:rsidP="001B1F43">
      <w:pPr>
        <w:rPr>
          <w:rFonts w:asciiTheme="majorHAnsi" w:hAnsiTheme="majorHAnsi"/>
          <w:sz w:val="22"/>
        </w:rPr>
      </w:pPr>
      <w:r w:rsidRPr="001B1F43">
        <w:rPr>
          <w:rFonts w:asciiTheme="majorHAnsi" w:hAnsiTheme="majorHAnsi"/>
          <w:sz w:val="22"/>
        </w:rPr>
        <w:lastRenderedPageBreak/>
        <w:t>As set forth its response to the VeriSign objection, TVS undertakes a detailed analysis of the relevant legal standards to establish that there is no probability of a likelihood of confusion in the mind of the average reasonable Internet user. This multi-factor test accounts for differences in appearance, sound, commercial impression, channels of trade, goods/services, as well as non-existence of any actual confusion.  TVS also found it important to note the following facts to the panel.  Specifically, that TVS was founded:</w:t>
      </w:r>
    </w:p>
    <w:p w14:paraId="514720F6" w14:textId="77777777" w:rsidR="001B1F43" w:rsidRPr="001B1F43" w:rsidRDefault="001B1F43" w:rsidP="001B1F43">
      <w:pPr>
        <w:rPr>
          <w:rFonts w:asciiTheme="majorHAnsi" w:hAnsiTheme="majorHAnsi"/>
          <w:sz w:val="22"/>
        </w:rPr>
      </w:pPr>
    </w:p>
    <w:p w14:paraId="30C855EF" w14:textId="77777777" w:rsidR="001B1F43" w:rsidRPr="001B1F43" w:rsidRDefault="001B1F43" w:rsidP="001B1F43">
      <w:pPr>
        <w:rPr>
          <w:rFonts w:asciiTheme="majorHAnsi" w:hAnsiTheme="majorHAnsi"/>
          <w:sz w:val="22"/>
        </w:rPr>
      </w:pPr>
      <w:r w:rsidRPr="001B1F43">
        <w:rPr>
          <w:rFonts w:asciiTheme="majorHAnsi" w:hAnsiTheme="majorHAnsi"/>
          <w:sz w:val="22"/>
        </w:rPr>
        <w:t>-</w:t>
      </w:r>
      <w:r w:rsidRPr="001B1F43">
        <w:rPr>
          <w:rFonts w:asciiTheme="majorHAnsi" w:hAnsiTheme="majorHAnsi"/>
          <w:sz w:val="22"/>
        </w:rPr>
        <w:tab/>
        <w:t xml:space="preserve">85 years before the entry of the .TV </w:t>
      </w:r>
      <w:proofErr w:type="spellStart"/>
      <w:r w:rsidRPr="001B1F43">
        <w:rPr>
          <w:rFonts w:asciiTheme="majorHAnsi" w:hAnsiTheme="majorHAnsi"/>
          <w:sz w:val="22"/>
        </w:rPr>
        <w:t>ccTLD</w:t>
      </w:r>
      <w:proofErr w:type="spellEnd"/>
      <w:r w:rsidRPr="001B1F43">
        <w:rPr>
          <w:rFonts w:asciiTheme="majorHAnsi" w:hAnsiTheme="majorHAnsi"/>
          <w:sz w:val="22"/>
        </w:rPr>
        <w:t xml:space="preserve"> into the root</w:t>
      </w:r>
    </w:p>
    <w:p w14:paraId="10958021" w14:textId="77777777" w:rsidR="001B1F43" w:rsidRPr="001B1F43" w:rsidRDefault="001B1F43" w:rsidP="001B1F43">
      <w:pPr>
        <w:rPr>
          <w:rFonts w:asciiTheme="majorHAnsi" w:hAnsiTheme="majorHAnsi"/>
          <w:sz w:val="22"/>
        </w:rPr>
      </w:pPr>
      <w:r w:rsidRPr="001B1F43">
        <w:rPr>
          <w:rFonts w:asciiTheme="majorHAnsi" w:hAnsiTheme="majorHAnsi"/>
          <w:sz w:val="22"/>
        </w:rPr>
        <w:t>-</w:t>
      </w:r>
      <w:r w:rsidRPr="001B1F43">
        <w:rPr>
          <w:rFonts w:asciiTheme="majorHAnsi" w:hAnsiTheme="majorHAnsi"/>
          <w:sz w:val="22"/>
        </w:rPr>
        <w:tab/>
        <w:t>64 years before recognition of Tuvalu; and</w:t>
      </w:r>
    </w:p>
    <w:p w14:paraId="52611E58" w14:textId="77777777" w:rsidR="001B1F43" w:rsidRPr="001B1F43" w:rsidRDefault="001B1F43" w:rsidP="001B1F43">
      <w:pPr>
        <w:rPr>
          <w:rFonts w:asciiTheme="majorHAnsi" w:hAnsiTheme="majorHAnsi"/>
          <w:sz w:val="22"/>
        </w:rPr>
      </w:pPr>
      <w:r w:rsidRPr="001B1F43">
        <w:rPr>
          <w:rFonts w:asciiTheme="majorHAnsi" w:hAnsiTheme="majorHAnsi"/>
          <w:sz w:val="22"/>
        </w:rPr>
        <w:t>-</w:t>
      </w:r>
      <w:r w:rsidRPr="001B1F43">
        <w:rPr>
          <w:rFonts w:asciiTheme="majorHAnsi" w:hAnsiTheme="majorHAnsi"/>
          <w:sz w:val="22"/>
        </w:rPr>
        <w:tab/>
        <w:t>58 years before the creation of the Internet.</w:t>
      </w:r>
    </w:p>
    <w:p w14:paraId="3CADB871" w14:textId="77777777" w:rsidR="0031505D" w:rsidRDefault="0031505D" w:rsidP="001B1F43">
      <w:pPr>
        <w:rPr>
          <w:rFonts w:asciiTheme="majorHAnsi" w:hAnsiTheme="majorHAnsi"/>
          <w:sz w:val="22"/>
        </w:rPr>
      </w:pPr>
    </w:p>
    <w:p w14:paraId="72D6042F" w14:textId="77777777" w:rsidR="001B1F43" w:rsidRPr="001B1F43" w:rsidRDefault="001B1F43" w:rsidP="001B1F43">
      <w:pPr>
        <w:rPr>
          <w:rFonts w:asciiTheme="majorHAnsi" w:hAnsiTheme="majorHAnsi"/>
          <w:sz w:val="22"/>
        </w:rPr>
      </w:pPr>
      <w:r w:rsidRPr="001B1F43">
        <w:rPr>
          <w:rFonts w:asciiTheme="majorHAnsi" w:hAnsiTheme="majorHAnsi"/>
          <w:sz w:val="22"/>
        </w:rPr>
        <w:t xml:space="preserve">TVS is willing to make its formal response to VeriSign’s objection available to the GAC upon request. </w:t>
      </w:r>
    </w:p>
    <w:p w14:paraId="176B86B2" w14:textId="77777777" w:rsidR="001B1F43" w:rsidRPr="001B1F43" w:rsidRDefault="001B1F43" w:rsidP="001B1F43">
      <w:pPr>
        <w:rPr>
          <w:rFonts w:asciiTheme="majorHAnsi" w:hAnsiTheme="majorHAnsi"/>
          <w:sz w:val="22"/>
        </w:rPr>
      </w:pPr>
    </w:p>
    <w:p w14:paraId="131B2BAA" w14:textId="77777777" w:rsidR="001B1F43" w:rsidRPr="001B1F43" w:rsidRDefault="001B1F43" w:rsidP="001B1F43">
      <w:pPr>
        <w:rPr>
          <w:rFonts w:asciiTheme="majorHAnsi" w:hAnsiTheme="majorHAnsi"/>
          <w:sz w:val="22"/>
        </w:rPr>
      </w:pPr>
      <w:r w:rsidRPr="001B1F43">
        <w:rPr>
          <w:rFonts w:asciiTheme="majorHAnsi" w:hAnsiTheme="majorHAnsi"/>
          <w:sz w:val="22"/>
        </w:rPr>
        <w:t xml:space="preserve">TVS would also respectfully request that the GAC reconsider its decision to designate the .TVS string as an intellectual property sensitive string.  In light of its own extensive international intellectual property portfolio, TVS supports the GAC’s efforts to responsibly mitigate the potential use of new </w:t>
      </w:r>
      <w:proofErr w:type="spellStart"/>
      <w:r w:rsidRPr="001B1F43">
        <w:rPr>
          <w:rFonts w:asciiTheme="majorHAnsi" w:hAnsiTheme="majorHAnsi"/>
          <w:sz w:val="22"/>
        </w:rPr>
        <w:t>gTLDs</w:t>
      </w:r>
      <w:proofErr w:type="spellEnd"/>
      <w:r w:rsidRPr="001B1F43">
        <w:rPr>
          <w:rFonts w:asciiTheme="majorHAnsi" w:hAnsiTheme="majorHAnsi"/>
          <w:sz w:val="22"/>
        </w:rPr>
        <w:t xml:space="preserve"> in connection with the offering of pirated or counterfeited goods/services.  However, a cursory reading of the .TVS application should have revealed that it was not a multi-media centric TLD along the likes of .MOVIE, .MUSIC, .VIDEO, MEDIA, etc., but instead a brand centric </w:t>
      </w:r>
      <w:proofErr w:type="spellStart"/>
      <w:r w:rsidRPr="001B1F43">
        <w:rPr>
          <w:rFonts w:asciiTheme="majorHAnsi" w:hAnsiTheme="majorHAnsi"/>
          <w:sz w:val="22"/>
        </w:rPr>
        <w:t>gTLD</w:t>
      </w:r>
      <w:proofErr w:type="spellEnd"/>
      <w:r w:rsidRPr="001B1F43">
        <w:rPr>
          <w:rFonts w:asciiTheme="majorHAnsi" w:hAnsiTheme="majorHAnsi"/>
          <w:sz w:val="22"/>
        </w:rPr>
        <w:t xml:space="preserve"> primarily focused within the automotive industry.</w:t>
      </w:r>
    </w:p>
    <w:p w14:paraId="1466D9CC" w14:textId="77777777" w:rsidR="001B1F43" w:rsidRPr="001B1F43" w:rsidRDefault="001B1F43" w:rsidP="001B1F43">
      <w:pPr>
        <w:rPr>
          <w:rFonts w:asciiTheme="majorHAnsi" w:hAnsiTheme="majorHAnsi"/>
          <w:sz w:val="22"/>
        </w:rPr>
      </w:pPr>
    </w:p>
    <w:p w14:paraId="46776B62" w14:textId="48BE340F" w:rsidR="000E69D1" w:rsidRDefault="001B1F43" w:rsidP="001B1F43">
      <w:pPr>
        <w:rPr>
          <w:rFonts w:asciiTheme="majorHAnsi" w:hAnsiTheme="majorHAnsi"/>
          <w:sz w:val="22"/>
        </w:rPr>
      </w:pPr>
      <w:r w:rsidRPr="001B1F43">
        <w:rPr>
          <w:rFonts w:asciiTheme="majorHAnsi" w:hAnsiTheme="majorHAnsi"/>
          <w:sz w:val="22"/>
        </w:rPr>
        <w:t xml:space="preserve">The GAC’s decision to designate .TVS as an intellectual property sensitive string, while not including .PICTURES, .PIC, .STREAM and .COUNTRY (specifically targeted to country music) is also difficult to reconcile.  While the GAC has designated these lists as non-exhaustive, TVS is hopefully that the GAC will re-evaluate these lists and make the appropriate changes in connection with any further advice that it provides.  </w:t>
      </w:r>
      <w:r>
        <w:rPr>
          <w:rFonts w:asciiTheme="majorHAnsi" w:hAnsiTheme="majorHAnsi"/>
          <w:sz w:val="22"/>
        </w:rPr>
        <w:t> </w:t>
      </w:r>
      <w:r>
        <w:rPr>
          <w:rFonts w:asciiTheme="majorHAnsi" w:hAnsiTheme="majorHAnsi"/>
          <w:sz w:val="22"/>
        </w:rPr>
        <w:t> </w:t>
      </w:r>
      <w:r>
        <w:rPr>
          <w:rFonts w:asciiTheme="majorHAnsi" w:hAnsiTheme="majorHAnsi"/>
          <w:sz w:val="22"/>
        </w:rPr>
        <w:t> </w:t>
      </w:r>
      <w:r>
        <w:rPr>
          <w:rFonts w:asciiTheme="majorHAnsi" w:hAnsiTheme="majorHAnsi"/>
          <w:sz w:val="22"/>
        </w:rPr>
        <w:t> </w:t>
      </w:r>
      <w:r>
        <w:rPr>
          <w:rFonts w:asciiTheme="majorHAnsi" w:hAnsiTheme="majorHAnsi"/>
          <w:sz w:val="22"/>
        </w:rPr>
        <w:t> </w:t>
      </w:r>
      <w:r w:rsidR="00D11FFC">
        <w:rPr>
          <w:rFonts w:asciiTheme="majorHAnsi" w:hAnsiTheme="majorHAnsi"/>
          <w:sz w:val="22"/>
        </w:rPr>
        <w:fldChar w:fldCharType="end"/>
      </w:r>
      <w:bookmarkEnd w:id="4"/>
    </w:p>
    <w:p w14:paraId="4FD33F58" w14:textId="77930AB1" w:rsidR="000E69D1" w:rsidRDefault="000E69D1" w:rsidP="00644C0E">
      <w:pPr>
        <w:rPr>
          <w:rFonts w:asciiTheme="majorHAnsi" w:hAnsiTheme="majorHAnsi"/>
          <w:sz w:val="22"/>
        </w:rPr>
      </w:pPr>
    </w:p>
    <w:p w14:paraId="7631E8D6" w14:textId="3C855693" w:rsidR="000E69D1" w:rsidRDefault="000E69D1">
      <w:pPr>
        <w:rPr>
          <w:rFonts w:asciiTheme="majorHAnsi" w:hAnsiTheme="majorHAnsi"/>
        </w:rPr>
      </w:pPr>
    </w:p>
    <w:sectPr w:rsidR="000E69D1">
      <w:headerReference w:type="default"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B8CE9F" w14:textId="77777777" w:rsidR="0094075A" w:rsidRDefault="0094075A">
      <w:r>
        <w:separator/>
      </w:r>
    </w:p>
  </w:endnote>
  <w:endnote w:type="continuationSeparator" w:id="0">
    <w:p w14:paraId="2882D192" w14:textId="77777777" w:rsidR="0094075A" w:rsidRDefault="00940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6FA38F" w14:textId="24B198A6" w:rsidR="00A3707D" w:rsidRDefault="00A3707D">
    <w:pPr>
      <w:pStyle w:val="Footer"/>
      <w:tabs>
        <w:tab w:val="clear" w:pos="4320"/>
        <w:tab w:val="clear" w:pos="8640"/>
        <w:tab w:val="left" w:pos="3360"/>
      </w:tabs>
      <w:spacing w:line="200" w:lineRule="exact"/>
      <w:rPr>
        <w:rFonts w:asciiTheme="majorHAnsi" w:hAnsiTheme="majorHAns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05CE52" w14:textId="77777777" w:rsidR="0094075A" w:rsidRDefault="0094075A">
      <w:r>
        <w:separator/>
      </w:r>
    </w:p>
  </w:footnote>
  <w:footnote w:type="continuationSeparator" w:id="0">
    <w:p w14:paraId="5C2C490B" w14:textId="77777777" w:rsidR="0094075A" w:rsidRDefault="009407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067ED8" w14:textId="75902474" w:rsidR="00A3707D" w:rsidRDefault="00A3707D" w:rsidP="00644C0E">
    <w:pPr>
      <w:pStyle w:val="Header"/>
      <w:ind w:hanging="90"/>
      <w:rPr>
        <w:rFonts w:ascii="Arial" w:hAnsi="Arial"/>
        <w:b/>
        <w:sz w:val="28"/>
      </w:rPr>
    </w:pPr>
    <w:r>
      <w:rPr>
        <w:rFonts w:asciiTheme="majorHAnsi" w:hAnsiTheme="majorHAnsi"/>
        <w:b/>
        <w:noProof/>
      </w:rPr>
      <w:drawing>
        <wp:anchor distT="0" distB="0" distL="114300" distR="114300" simplePos="0" relativeHeight="251658240" behindDoc="1" locked="0" layoutInCell="1" allowOverlap="1" wp14:anchorId="26D62C9A" wp14:editId="1E4DE79C">
          <wp:simplePos x="0" y="0"/>
          <wp:positionH relativeFrom="column">
            <wp:posOffset>4221480</wp:posOffset>
          </wp:positionH>
          <wp:positionV relativeFrom="paragraph">
            <wp:posOffset>-114300</wp:posOffset>
          </wp:positionV>
          <wp:extent cx="1270000" cy="35496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0000" cy="3549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Arial" w:hAnsi="Arial"/>
        <w:b/>
        <w:sz w:val="28"/>
      </w:rPr>
      <w:t>GAC Advice Response Form for Applicants</w:t>
    </w:r>
  </w:p>
  <w:p w14:paraId="32067514" w14:textId="0535A1E3" w:rsidR="00A3707D" w:rsidRDefault="00A3707D">
    <w:pPr>
      <w:pStyle w:val="Header"/>
      <w:tabs>
        <w:tab w:val="clear" w:pos="8640"/>
        <w:tab w:val="right" w:pos="9090"/>
      </w:tabs>
      <w:jc w:val="right"/>
      <w:rPr>
        <w:rFonts w:asciiTheme="majorHAnsi" w:hAnsiTheme="majorHAnsi"/>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4A390F"/>
    <w:multiLevelType w:val="hybridMultilevel"/>
    <w:tmpl w:val="522AADDE"/>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
    <w:nsid w:val="35221476"/>
    <w:multiLevelType w:val="hybridMultilevel"/>
    <w:tmpl w:val="2BB8B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0"/>
    <w:docVar w:name="MPDocID" w:val="IRI-48116v1"/>
    <w:docVar w:name="MPDocIDTemplate" w:val="%l-|%n|v%v"/>
    <w:docVar w:name="MPDocIDTemplateDefault" w:val="%l-|%n|v%v"/>
    <w:docVar w:name="NewDocStampType" w:val="1"/>
  </w:docVars>
  <w:rsids>
    <w:rsidRoot w:val="000E69D1"/>
    <w:rsid w:val="000009E9"/>
    <w:rsid w:val="00012D4F"/>
    <w:rsid w:val="00022005"/>
    <w:rsid w:val="00023F26"/>
    <w:rsid w:val="00031E84"/>
    <w:rsid w:val="00036117"/>
    <w:rsid w:val="00041202"/>
    <w:rsid w:val="00067B0F"/>
    <w:rsid w:val="00086593"/>
    <w:rsid w:val="0009706C"/>
    <w:rsid w:val="000A34D3"/>
    <w:rsid w:val="000B5C75"/>
    <w:rsid w:val="000C227B"/>
    <w:rsid w:val="000C6761"/>
    <w:rsid w:val="000E69D1"/>
    <w:rsid w:val="00100755"/>
    <w:rsid w:val="00101CE8"/>
    <w:rsid w:val="00136AEF"/>
    <w:rsid w:val="00146221"/>
    <w:rsid w:val="0016671D"/>
    <w:rsid w:val="001A1BB5"/>
    <w:rsid w:val="001A2F0F"/>
    <w:rsid w:val="001A49CC"/>
    <w:rsid w:val="001B1F43"/>
    <w:rsid w:val="001E5025"/>
    <w:rsid w:val="001E5B78"/>
    <w:rsid w:val="00221A6A"/>
    <w:rsid w:val="00222F89"/>
    <w:rsid w:val="00242C47"/>
    <w:rsid w:val="002472D1"/>
    <w:rsid w:val="002475E1"/>
    <w:rsid w:val="00247F15"/>
    <w:rsid w:val="00250339"/>
    <w:rsid w:val="00257A86"/>
    <w:rsid w:val="00287BC8"/>
    <w:rsid w:val="002903D4"/>
    <w:rsid w:val="002968A8"/>
    <w:rsid w:val="002A0973"/>
    <w:rsid w:val="002C4B55"/>
    <w:rsid w:val="002D0A87"/>
    <w:rsid w:val="002E0490"/>
    <w:rsid w:val="00305004"/>
    <w:rsid w:val="0031505D"/>
    <w:rsid w:val="0032247C"/>
    <w:rsid w:val="00331539"/>
    <w:rsid w:val="003620E1"/>
    <w:rsid w:val="003B03D9"/>
    <w:rsid w:val="003B4E2D"/>
    <w:rsid w:val="003C22CF"/>
    <w:rsid w:val="003C5C26"/>
    <w:rsid w:val="003D0F2B"/>
    <w:rsid w:val="003F18E1"/>
    <w:rsid w:val="003F4615"/>
    <w:rsid w:val="00415C9C"/>
    <w:rsid w:val="00445071"/>
    <w:rsid w:val="004557F4"/>
    <w:rsid w:val="00481393"/>
    <w:rsid w:val="00483A73"/>
    <w:rsid w:val="00484350"/>
    <w:rsid w:val="004B6DF4"/>
    <w:rsid w:val="004C6512"/>
    <w:rsid w:val="004D680A"/>
    <w:rsid w:val="004E42AB"/>
    <w:rsid w:val="004F58B2"/>
    <w:rsid w:val="00517408"/>
    <w:rsid w:val="00525D0C"/>
    <w:rsid w:val="00540532"/>
    <w:rsid w:val="005422A3"/>
    <w:rsid w:val="00550EA7"/>
    <w:rsid w:val="00574A20"/>
    <w:rsid w:val="00576251"/>
    <w:rsid w:val="005962F1"/>
    <w:rsid w:val="005A2E6A"/>
    <w:rsid w:val="005B0402"/>
    <w:rsid w:val="005D59FD"/>
    <w:rsid w:val="005F0FBA"/>
    <w:rsid w:val="00614835"/>
    <w:rsid w:val="00627AB1"/>
    <w:rsid w:val="00644C0E"/>
    <w:rsid w:val="00653BB5"/>
    <w:rsid w:val="006548E4"/>
    <w:rsid w:val="006A20AC"/>
    <w:rsid w:val="006A2BEF"/>
    <w:rsid w:val="006B024F"/>
    <w:rsid w:val="006B4E1D"/>
    <w:rsid w:val="006C07E7"/>
    <w:rsid w:val="006D36BA"/>
    <w:rsid w:val="006F32F1"/>
    <w:rsid w:val="007317BB"/>
    <w:rsid w:val="00741EFF"/>
    <w:rsid w:val="00750264"/>
    <w:rsid w:val="00780207"/>
    <w:rsid w:val="007A47EF"/>
    <w:rsid w:val="007B0FA8"/>
    <w:rsid w:val="007B5C45"/>
    <w:rsid w:val="007E0706"/>
    <w:rsid w:val="007E4619"/>
    <w:rsid w:val="007E6326"/>
    <w:rsid w:val="007E77BB"/>
    <w:rsid w:val="007F08B1"/>
    <w:rsid w:val="0080685F"/>
    <w:rsid w:val="00806B66"/>
    <w:rsid w:val="00825162"/>
    <w:rsid w:val="00836418"/>
    <w:rsid w:val="00842BCA"/>
    <w:rsid w:val="008471A8"/>
    <w:rsid w:val="00852CFC"/>
    <w:rsid w:val="00853689"/>
    <w:rsid w:val="0085520D"/>
    <w:rsid w:val="00862376"/>
    <w:rsid w:val="008838DB"/>
    <w:rsid w:val="008D2870"/>
    <w:rsid w:val="008D62B2"/>
    <w:rsid w:val="008E72D7"/>
    <w:rsid w:val="00904F6A"/>
    <w:rsid w:val="00913BF1"/>
    <w:rsid w:val="0092014D"/>
    <w:rsid w:val="009219BF"/>
    <w:rsid w:val="00930D93"/>
    <w:rsid w:val="009330FF"/>
    <w:rsid w:val="0094075A"/>
    <w:rsid w:val="00941688"/>
    <w:rsid w:val="009418D2"/>
    <w:rsid w:val="00945618"/>
    <w:rsid w:val="009736AB"/>
    <w:rsid w:val="00973D1D"/>
    <w:rsid w:val="00977ED3"/>
    <w:rsid w:val="009941C8"/>
    <w:rsid w:val="00994E6D"/>
    <w:rsid w:val="009B3481"/>
    <w:rsid w:val="009B750D"/>
    <w:rsid w:val="009C6E43"/>
    <w:rsid w:val="009D77C6"/>
    <w:rsid w:val="00A1027B"/>
    <w:rsid w:val="00A14A38"/>
    <w:rsid w:val="00A15B3C"/>
    <w:rsid w:val="00A26DBA"/>
    <w:rsid w:val="00A3707D"/>
    <w:rsid w:val="00A51C48"/>
    <w:rsid w:val="00A66656"/>
    <w:rsid w:val="00A759D6"/>
    <w:rsid w:val="00A879B3"/>
    <w:rsid w:val="00A952C6"/>
    <w:rsid w:val="00AB6880"/>
    <w:rsid w:val="00AD669C"/>
    <w:rsid w:val="00B02FCA"/>
    <w:rsid w:val="00B07D5E"/>
    <w:rsid w:val="00B155DE"/>
    <w:rsid w:val="00B22968"/>
    <w:rsid w:val="00B35387"/>
    <w:rsid w:val="00B36C8A"/>
    <w:rsid w:val="00B400BE"/>
    <w:rsid w:val="00B45D1B"/>
    <w:rsid w:val="00B466CA"/>
    <w:rsid w:val="00B56E8D"/>
    <w:rsid w:val="00B600EA"/>
    <w:rsid w:val="00B62898"/>
    <w:rsid w:val="00B6583A"/>
    <w:rsid w:val="00B844E3"/>
    <w:rsid w:val="00B931AA"/>
    <w:rsid w:val="00BA1D05"/>
    <w:rsid w:val="00BA5025"/>
    <w:rsid w:val="00BB1308"/>
    <w:rsid w:val="00BC7B6B"/>
    <w:rsid w:val="00BD28B6"/>
    <w:rsid w:val="00BE7C8A"/>
    <w:rsid w:val="00C23F42"/>
    <w:rsid w:val="00C46DF1"/>
    <w:rsid w:val="00C564E4"/>
    <w:rsid w:val="00C63A8E"/>
    <w:rsid w:val="00C76148"/>
    <w:rsid w:val="00C83078"/>
    <w:rsid w:val="00C95E39"/>
    <w:rsid w:val="00C96E46"/>
    <w:rsid w:val="00CC068A"/>
    <w:rsid w:val="00CC1884"/>
    <w:rsid w:val="00CC3267"/>
    <w:rsid w:val="00CD1F5D"/>
    <w:rsid w:val="00D11FFC"/>
    <w:rsid w:val="00D14AD7"/>
    <w:rsid w:val="00D21BE0"/>
    <w:rsid w:val="00D34665"/>
    <w:rsid w:val="00D40D24"/>
    <w:rsid w:val="00D637EA"/>
    <w:rsid w:val="00D759AF"/>
    <w:rsid w:val="00D8373C"/>
    <w:rsid w:val="00DA1F61"/>
    <w:rsid w:val="00DA410E"/>
    <w:rsid w:val="00DB3906"/>
    <w:rsid w:val="00DC7C1F"/>
    <w:rsid w:val="00DD0C9A"/>
    <w:rsid w:val="00DD2FB7"/>
    <w:rsid w:val="00DD3751"/>
    <w:rsid w:val="00DE55E6"/>
    <w:rsid w:val="00DF1A9B"/>
    <w:rsid w:val="00DF3712"/>
    <w:rsid w:val="00E213F7"/>
    <w:rsid w:val="00E31087"/>
    <w:rsid w:val="00E623D7"/>
    <w:rsid w:val="00E75637"/>
    <w:rsid w:val="00E82EAB"/>
    <w:rsid w:val="00EC78B7"/>
    <w:rsid w:val="00EF30CF"/>
    <w:rsid w:val="00F017EC"/>
    <w:rsid w:val="00F0198E"/>
    <w:rsid w:val="00F0486C"/>
    <w:rsid w:val="00F56546"/>
    <w:rsid w:val="00F9001A"/>
    <w:rsid w:val="00FB08E2"/>
    <w:rsid w:val="00FB25FE"/>
    <w:rsid w:val="00FB760D"/>
    <w:rsid w:val="00FD5544"/>
    <w:rsid w:val="00FF02E7"/>
    <w:rsid w:val="00FF67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B65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3653"/>
    <w:pPr>
      <w:tabs>
        <w:tab w:val="center" w:pos="4320"/>
        <w:tab w:val="right" w:pos="8640"/>
      </w:tabs>
    </w:pPr>
  </w:style>
  <w:style w:type="character" w:customStyle="1" w:styleId="HeaderChar">
    <w:name w:val="Header Char"/>
    <w:basedOn w:val="DefaultParagraphFont"/>
    <w:link w:val="Header"/>
    <w:uiPriority w:val="99"/>
    <w:rsid w:val="00EA3653"/>
  </w:style>
  <w:style w:type="paragraph" w:styleId="Footer">
    <w:name w:val="footer"/>
    <w:basedOn w:val="Normal"/>
    <w:link w:val="FooterChar"/>
    <w:uiPriority w:val="99"/>
    <w:unhideWhenUsed/>
    <w:rsid w:val="00EA3653"/>
    <w:pPr>
      <w:tabs>
        <w:tab w:val="center" w:pos="4320"/>
        <w:tab w:val="right" w:pos="8640"/>
      </w:tabs>
    </w:pPr>
  </w:style>
  <w:style w:type="character" w:customStyle="1" w:styleId="FooterChar">
    <w:name w:val="Footer Char"/>
    <w:basedOn w:val="DefaultParagraphFont"/>
    <w:link w:val="Footer"/>
    <w:uiPriority w:val="99"/>
    <w:rsid w:val="00EA3653"/>
  </w:style>
  <w:style w:type="character" w:styleId="Hyperlink">
    <w:name w:val="Hyperlink"/>
    <w:basedOn w:val="DefaultParagraphFont"/>
    <w:uiPriority w:val="99"/>
    <w:unhideWhenUsed/>
    <w:rsid w:val="004A14AF"/>
    <w:rPr>
      <w:color w:val="0000FF" w:themeColor="hyperlink"/>
      <w:u w:val="single"/>
    </w:rPr>
  </w:style>
  <w:style w:type="paragraph" w:styleId="BalloonText">
    <w:name w:val="Balloon Text"/>
    <w:basedOn w:val="Normal"/>
    <w:link w:val="BalloonTextChar"/>
    <w:uiPriority w:val="99"/>
    <w:semiHidden/>
    <w:unhideWhenUsed/>
    <w:rsid w:val="00D4301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3011"/>
    <w:rPr>
      <w:rFonts w:ascii="Lucida Grande" w:hAnsi="Lucida Grande" w:cs="Lucida Grande"/>
      <w:sz w:val="18"/>
      <w:szCs w:val="18"/>
    </w:rPr>
  </w:style>
  <w:style w:type="character" w:styleId="FollowedHyperlink">
    <w:name w:val="FollowedHyperlink"/>
    <w:basedOn w:val="DefaultParagraphFont"/>
    <w:uiPriority w:val="99"/>
    <w:semiHidden/>
    <w:unhideWhenUsed/>
    <w:rsid w:val="00092A75"/>
    <w:rPr>
      <w:color w:val="800080" w:themeColor="followedHyperlink"/>
      <w:u w:val="single"/>
    </w:rPr>
  </w:style>
  <w:style w:type="paragraph" w:styleId="ListParagraph">
    <w:name w:val="List Paragraph"/>
    <w:basedOn w:val="Normal"/>
    <w:uiPriority w:val="34"/>
    <w:qFormat/>
    <w:rsid w:val="00661A92"/>
    <w:pPr>
      <w:ind w:left="720"/>
      <w:contextualSpacing/>
    </w:pPr>
  </w:style>
  <w:style w:type="character" w:styleId="CommentReference">
    <w:name w:val="annotation reference"/>
    <w:basedOn w:val="DefaultParagraphFont"/>
    <w:uiPriority w:val="99"/>
    <w:semiHidden/>
    <w:unhideWhenUsed/>
    <w:rsid w:val="003B4ECA"/>
    <w:rPr>
      <w:sz w:val="18"/>
      <w:szCs w:val="18"/>
    </w:rPr>
  </w:style>
  <w:style w:type="paragraph" w:styleId="CommentText">
    <w:name w:val="annotation text"/>
    <w:basedOn w:val="Normal"/>
    <w:link w:val="CommentTextChar"/>
    <w:uiPriority w:val="99"/>
    <w:unhideWhenUsed/>
    <w:rsid w:val="003B4ECA"/>
  </w:style>
  <w:style w:type="character" w:customStyle="1" w:styleId="CommentTextChar">
    <w:name w:val="Comment Text Char"/>
    <w:basedOn w:val="DefaultParagraphFont"/>
    <w:link w:val="CommentText"/>
    <w:uiPriority w:val="99"/>
    <w:rsid w:val="003B4ECA"/>
  </w:style>
  <w:style w:type="paragraph" w:styleId="CommentSubject">
    <w:name w:val="annotation subject"/>
    <w:basedOn w:val="CommentText"/>
    <w:next w:val="CommentText"/>
    <w:link w:val="CommentSubjectChar"/>
    <w:uiPriority w:val="99"/>
    <w:semiHidden/>
    <w:unhideWhenUsed/>
    <w:rsid w:val="003B4ECA"/>
    <w:rPr>
      <w:b/>
      <w:bCs/>
      <w:sz w:val="20"/>
      <w:szCs w:val="20"/>
    </w:rPr>
  </w:style>
  <w:style w:type="character" w:customStyle="1" w:styleId="CommentSubjectChar">
    <w:name w:val="Comment Subject Char"/>
    <w:basedOn w:val="CommentTextChar"/>
    <w:link w:val="CommentSubject"/>
    <w:uiPriority w:val="99"/>
    <w:semiHidden/>
    <w:rsid w:val="003B4ECA"/>
    <w:rPr>
      <w:b/>
      <w:bCs/>
      <w:sz w:val="20"/>
      <w:szCs w:val="20"/>
    </w:rPr>
  </w:style>
  <w:style w:type="table" w:styleId="TableGrid">
    <w:name w:val="Table Grid"/>
    <w:basedOn w:val="TableNormal"/>
    <w:uiPriority w:val="59"/>
    <w:rsid w:val="004629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zmpTrailerItem">
    <w:name w:val="zzmpTrailerItem"/>
    <w:basedOn w:val="DefaultParagraphFont"/>
    <w:rPr>
      <w:rFonts w:ascii="Cambria" w:hAnsi="Cambria" w:cs="Times New Roman"/>
      <w:dstrike w:val="0"/>
      <w:noProof/>
      <w:color w:val="auto"/>
      <w:spacing w:val="0"/>
      <w:position w:val="0"/>
      <w:sz w:val="16"/>
      <w:szCs w:val="16"/>
      <w:u w:val="none"/>
      <w:effect w:val="none"/>
      <w:vertAlign w:val="baseline"/>
    </w:rPr>
  </w:style>
  <w:style w:type="paragraph" w:styleId="Revision">
    <w:name w:val="Revision"/>
    <w:hidden/>
    <w:uiPriority w:val="99"/>
    <w:semiHidden/>
    <w:rsid w:val="00D346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3653"/>
    <w:pPr>
      <w:tabs>
        <w:tab w:val="center" w:pos="4320"/>
        <w:tab w:val="right" w:pos="8640"/>
      </w:tabs>
    </w:pPr>
  </w:style>
  <w:style w:type="character" w:customStyle="1" w:styleId="HeaderChar">
    <w:name w:val="Header Char"/>
    <w:basedOn w:val="DefaultParagraphFont"/>
    <w:link w:val="Header"/>
    <w:uiPriority w:val="99"/>
    <w:rsid w:val="00EA3653"/>
  </w:style>
  <w:style w:type="paragraph" w:styleId="Footer">
    <w:name w:val="footer"/>
    <w:basedOn w:val="Normal"/>
    <w:link w:val="FooterChar"/>
    <w:uiPriority w:val="99"/>
    <w:unhideWhenUsed/>
    <w:rsid w:val="00EA3653"/>
    <w:pPr>
      <w:tabs>
        <w:tab w:val="center" w:pos="4320"/>
        <w:tab w:val="right" w:pos="8640"/>
      </w:tabs>
    </w:pPr>
  </w:style>
  <w:style w:type="character" w:customStyle="1" w:styleId="FooterChar">
    <w:name w:val="Footer Char"/>
    <w:basedOn w:val="DefaultParagraphFont"/>
    <w:link w:val="Footer"/>
    <w:uiPriority w:val="99"/>
    <w:rsid w:val="00EA3653"/>
  </w:style>
  <w:style w:type="character" w:styleId="Hyperlink">
    <w:name w:val="Hyperlink"/>
    <w:basedOn w:val="DefaultParagraphFont"/>
    <w:uiPriority w:val="99"/>
    <w:unhideWhenUsed/>
    <w:rsid w:val="004A14AF"/>
    <w:rPr>
      <w:color w:val="0000FF" w:themeColor="hyperlink"/>
      <w:u w:val="single"/>
    </w:rPr>
  </w:style>
  <w:style w:type="paragraph" w:styleId="BalloonText">
    <w:name w:val="Balloon Text"/>
    <w:basedOn w:val="Normal"/>
    <w:link w:val="BalloonTextChar"/>
    <w:uiPriority w:val="99"/>
    <w:semiHidden/>
    <w:unhideWhenUsed/>
    <w:rsid w:val="00D4301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3011"/>
    <w:rPr>
      <w:rFonts w:ascii="Lucida Grande" w:hAnsi="Lucida Grande" w:cs="Lucida Grande"/>
      <w:sz w:val="18"/>
      <w:szCs w:val="18"/>
    </w:rPr>
  </w:style>
  <w:style w:type="character" w:styleId="FollowedHyperlink">
    <w:name w:val="FollowedHyperlink"/>
    <w:basedOn w:val="DefaultParagraphFont"/>
    <w:uiPriority w:val="99"/>
    <w:semiHidden/>
    <w:unhideWhenUsed/>
    <w:rsid w:val="00092A75"/>
    <w:rPr>
      <w:color w:val="800080" w:themeColor="followedHyperlink"/>
      <w:u w:val="single"/>
    </w:rPr>
  </w:style>
  <w:style w:type="paragraph" w:styleId="ListParagraph">
    <w:name w:val="List Paragraph"/>
    <w:basedOn w:val="Normal"/>
    <w:uiPriority w:val="34"/>
    <w:qFormat/>
    <w:rsid w:val="00661A92"/>
    <w:pPr>
      <w:ind w:left="720"/>
      <w:contextualSpacing/>
    </w:pPr>
  </w:style>
  <w:style w:type="character" w:styleId="CommentReference">
    <w:name w:val="annotation reference"/>
    <w:basedOn w:val="DefaultParagraphFont"/>
    <w:uiPriority w:val="99"/>
    <w:semiHidden/>
    <w:unhideWhenUsed/>
    <w:rsid w:val="003B4ECA"/>
    <w:rPr>
      <w:sz w:val="18"/>
      <w:szCs w:val="18"/>
    </w:rPr>
  </w:style>
  <w:style w:type="paragraph" w:styleId="CommentText">
    <w:name w:val="annotation text"/>
    <w:basedOn w:val="Normal"/>
    <w:link w:val="CommentTextChar"/>
    <w:uiPriority w:val="99"/>
    <w:unhideWhenUsed/>
    <w:rsid w:val="003B4ECA"/>
  </w:style>
  <w:style w:type="character" w:customStyle="1" w:styleId="CommentTextChar">
    <w:name w:val="Comment Text Char"/>
    <w:basedOn w:val="DefaultParagraphFont"/>
    <w:link w:val="CommentText"/>
    <w:uiPriority w:val="99"/>
    <w:rsid w:val="003B4ECA"/>
  </w:style>
  <w:style w:type="paragraph" w:styleId="CommentSubject">
    <w:name w:val="annotation subject"/>
    <w:basedOn w:val="CommentText"/>
    <w:next w:val="CommentText"/>
    <w:link w:val="CommentSubjectChar"/>
    <w:uiPriority w:val="99"/>
    <w:semiHidden/>
    <w:unhideWhenUsed/>
    <w:rsid w:val="003B4ECA"/>
    <w:rPr>
      <w:b/>
      <w:bCs/>
      <w:sz w:val="20"/>
      <w:szCs w:val="20"/>
    </w:rPr>
  </w:style>
  <w:style w:type="character" w:customStyle="1" w:styleId="CommentSubjectChar">
    <w:name w:val="Comment Subject Char"/>
    <w:basedOn w:val="CommentTextChar"/>
    <w:link w:val="CommentSubject"/>
    <w:uiPriority w:val="99"/>
    <w:semiHidden/>
    <w:rsid w:val="003B4ECA"/>
    <w:rPr>
      <w:b/>
      <w:bCs/>
      <w:sz w:val="20"/>
      <w:szCs w:val="20"/>
    </w:rPr>
  </w:style>
  <w:style w:type="table" w:styleId="TableGrid">
    <w:name w:val="Table Grid"/>
    <w:basedOn w:val="TableNormal"/>
    <w:uiPriority w:val="59"/>
    <w:rsid w:val="004629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zmpTrailerItem">
    <w:name w:val="zzmpTrailerItem"/>
    <w:basedOn w:val="DefaultParagraphFont"/>
    <w:rPr>
      <w:rFonts w:ascii="Cambria" w:hAnsi="Cambria" w:cs="Times New Roman"/>
      <w:dstrike w:val="0"/>
      <w:noProof/>
      <w:color w:val="auto"/>
      <w:spacing w:val="0"/>
      <w:position w:val="0"/>
      <w:sz w:val="16"/>
      <w:szCs w:val="16"/>
      <w:u w:val="none"/>
      <w:effect w:val="none"/>
      <w:vertAlign w:val="baseline"/>
    </w:rPr>
  </w:style>
  <w:style w:type="paragraph" w:styleId="Revision">
    <w:name w:val="Revision"/>
    <w:hidden/>
    <w:uiPriority w:val="99"/>
    <w:semiHidden/>
    <w:rsid w:val="00D346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myicann.secure.force.com/" TargetMode="External"/><Relationship Id="rId4" Type="http://schemas.microsoft.com/office/2007/relationships/stylesWithEffects" Target="stylesWithEffects.xml"/><Relationship Id="rId9" Type="http://schemas.openxmlformats.org/officeDocument/2006/relationships/hyperlink" Target="http://www.icann.org/en/news/correspondence/gac-to-board-18apr13-en.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BDE15-A156-4043-BC02-5F3ACF3E0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464</TotalTime>
  <Pages>2</Pages>
  <Words>741</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Credit Union National Association, Inc.</Company>
  <LinksUpToDate>false</LinksUpToDate>
  <CharactersWithSpaces>4956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Yamashita</dc:creator>
  <cp:lastModifiedBy>MDP</cp:lastModifiedBy>
  <cp:revision>5</cp:revision>
  <cp:lastPrinted>2013-02-19T23:52:00Z</cp:lastPrinted>
  <dcterms:created xsi:type="dcterms:W3CDTF">2013-05-09T13:57:00Z</dcterms:created>
  <dcterms:modified xsi:type="dcterms:W3CDTF">2013-05-10T07:52:00Z</dcterms:modified>
</cp:coreProperties>
</file>