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07C45" w14:textId="77777777" w:rsidR="009B419A" w:rsidRPr="008B7DBC" w:rsidRDefault="009B419A" w:rsidP="00CE1525">
      <w:pPr>
        <w:pStyle w:val="DateWorkingDocument"/>
        <w:ind w:left="0"/>
        <w:jc w:val="right"/>
        <w:rPr>
          <w:rFonts w:asciiTheme="minorHAnsi" w:hAnsiTheme="minorHAnsi"/>
          <w:color w:val="auto"/>
          <w:sz w:val="22"/>
          <w:szCs w:val="22"/>
        </w:rPr>
      </w:pPr>
      <w:r w:rsidRPr="008B7DBC">
        <w:rPr>
          <w:rFonts w:asciiTheme="minorHAnsi" w:hAnsiTheme="minorHAnsi"/>
          <w:color w:val="auto"/>
          <w:sz w:val="22"/>
          <w:szCs w:val="22"/>
        </w:rPr>
        <w:t>March 1</w:t>
      </w:r>
      <w:r w:rsidR="00F26242">
        <w:rPr>
          <w:rFonts w:asciiTheme="minorHAnsi" w:hAnsiTheme="minorHAnsi"/>
          <w:color w:val="auto"/>
          <w:sz w:val="22"/>
          <w:szCs w:val="22"/>
        </w:rPr>
        <w:t xml:space="preserve">2 </w:t>
      </w:r>
      <w:r w:rsidRPr="008B7DBC">
        <w:rPr>
          <w:rFonts w:asciiTheme="minorHAnsi" w:hAnsiTheme="minorHAnsi"/>
          <w:color w:val="auto"/>
          <w:sz w:val="22"/>
          <w:szCs w:val="22"/>
        </w:rPr>
        <w:t>2017</w:t>
      </w:r>
      <w:bookmarkStart w:id="0" w:name="_GoBack"/>
      <w:bookmarkEnd w:id="0"/>
    </w:p>
    <w:p w14:paraId="67CC3350" w14:textId="77777777" w:rsidR="009B419A" w:rsidRPr="008B7DBC" w:rsidRDefault="009B419A" w:rsidP="00CE1525">
      <w:pPr>
        <w:spacing w:after="0" w:line="240" w:lineRule="auto"/>
        <w:rPr>
          <w:rFonts w:cs="Arial"/>
        </w:rPr>
      </w:pPr>
    </w:p>
    <w:p w14:paraId="1FD97282" w14:textId="77777777" w:rsidR="009B419A" w:rsidRPr="008B7DBC" w:rsidRDefault="009B419A" w:rsidP="00CE1525">
      <w:pPr>
        <w:spacing w:after="0" w:line="240" w:lineRule="auto"/>
        <w:rPr>
          <w:rFonts w:cs="Arial"/>
        </w:rPr>
      </w:pPr>
    </w:p>
    <w:p w14:paraId="740AB506" w14:textId="77777777" w:rsidR="009B419A" w:rsidRPr="008B7DBC" w:rsidRDefault="009B419A" w:rsidP="00CE1525">
      <w:pPr>
        <w:spacing w:after="0" w:line="240" w:lineRule="auto"/>
        <w:rPr>
          <w:rFonts w:cs="Arial"/>
          <w:i/>
        </w:rPr>
      </w:pPr>
      <w:r w:rsidRPr="008B7DBC">
        <w:rPr>
          <w:rFonts w:cs="Arial"/>
        </w:rPr>
        <w:t xml:space="preserve">Submission by the ICANN Governmental Advisory Committee on </w:t>
      </w:r>
      <w:r w:rsidR="00834D5F">
        <w:rPr>
          <w:rFonts w:cs="Arial"/>
        </w:rPr>
        <w:t xml:space="preserve">the </w:t>
      </w:r>
      <w:r w:rsidR="008F130F">
        <w:rPr>
          <w:rFonts w:cs="Arial"/>
          <w:i/>
        </w:rPr>
        <w:t>GNSO</w:t>
      </w:r>
      <w:r w:rsidRPr="008B7DBC">
        <w:rPr>
          <w:rFonts w:cs="Arial"/>
          <w:i/>
        </w:rPr>
        <w:t>’s Initial Report on the IGO</w:t>
      </w:r>
      <w:r w:rsidRPr="008B7DBC">
        <w:rPr>
          <w:rFonts w:cs="Arial"/>
          <w:i/>
        </w:rPr>
        <w:noBreakHyphen/>
        <w:t>INGO Access to Curative Rights Protection Mechanisms Policy Development Process</w:t>
      </w:r>
    </w:p>
    <w:p w14:paraId="59CF922D" w14:textId="77777777" w:rsidR="009B419A" w:rsidRPr="008B7DBC" w:rsidRDefault="009B419A" w:rsidP="00CE1525">
      <w:pPr>
        <w:spacing w:after="0" w:line="240" w:lineRule="auto"/>
        <w:rPr>
          <w:rFonts w:cs="Arial"/>
        </w:rPr>
      </w:pPr>
    </w:p>
    <w:p w14:paraId="0B27B0E0" w14:textId="77777777" w:rsidR="005C37EE" w:rsidRPr="008B7DBC" w:rsidRDefault="005C37EE" w:rsidP="00CE1525">
      <w:pPr>
        <w:spacing w:after="0" w:line="240" w:lineRule="auto"/>
        <w:rPr>
          <w:rFonts w:cs="Arial"/>
          <w:u w:val="single"/>
        </w:rPr>
      </w:pPr>
    </w:p>
    <w:p w14:paraId="0CB943C4" w14:textId="77777777" w:rsidR="00777F09" w:rsidRPr="008B7DBC" w:rsidRDefault="001E2067" w:rsidP="00CE1525">
      <w:pPr>
        <w:spacing w:after="0" w:line="240" w:lineRule="auto"/>
        <w:rPr>
          <w:rFonts w:cs="Arial"/>
          <w:b/>
        </w:rPr>
      </w:pPr>
      <w:r w:rsidRPr="008B7DBC">
        <w:rPr>
          <w:rFonts w:cs="Arial"/>
          <w:b/>
          <w:u w:val="single"/>
        </w:rPr>
        <w:t>Public policy rationale for the present submission</w:t>
      </w:r>
      <w:r w:rsidR="005C37EE" w:rsidRPr="008B7DBC">
        <w:rPr>
          <w:rFonts w:cs="Arial"/>
          <w:b/>
        </w:rPr>
        <w:t xml:space="preserve">  </w:t>
      </w:r>
    </w:p>
    <w:p w14:paraId="3A696722" w14:textId="77777777" w:rsidR="00777F09" w:rsidRPr="008B7DBC" w:rsidRDefault="00777F09" w:rsidP="00CE1525">
      <w:pPr>
        <w:spacing w:after="0" w:line="240" w:lineRule="auto"/>
        <w:rPr>
          <w:rFonts w:cs="Arial"/>
        </w:rPr>
      </w:pPr>
    </w:p>
    <w:p w14:paraId="78A64E47" w14:textId="77777777" w:rsidR="001E2067" w:rsidRPr="008B7DBC" w:rsidRDefault="001E2067" w:rsidP="00CE1525">
      <w:pPr>
        <w:spacing w:after="0" w:line="240" w:lineRule="auto"/>
        <w:rPr>
          <w:rFonts w:cs="Arial"/>
        </w:rPr>
      </w:pPr>
      <w:r w:rsidRPr="008B7DBC">
        <w:rPr>
          <w:rFonts w:cs="Arial"/>
        </w:rPr>
        <w:t xml:space="preserve">The GAC recalls that IGOs – unique treaty-based institutions created by governments under international law – undertake global public service missions, and that protecting their names and acronyms in the DNS </w:t>
      </w:r>
      <w:r w:rsidR="006162F4">
        <w:rPr>
          <w:rFonts w:cs="Arial"/>
        </w:rPr>
        <w:t>serves</w:t>
      </w:r>
      <w:r w:rsidRPr="008B7DBC">
        <w:rPr>
          <w:rFonts w:cs="Arial"/>
        </w:rPr>
        <w:t xml:space="preserve"> the global public interest.</w:t>
      </w:r>
    </w:p>
    <w:p w14:paraId="1F15EC36" w14:textId="77777777" w:rsidR="001E2067" w:rsidRPr="008B7DBC" w:rsidRDefault="001E2067" w:rsidP="00CE1525">
      <w:pPr>
        <w:spacing w:after="0" w:line="240" w:lineRule="auto"/>
        <w:rPr>
          <w:rFonts w:cs="Arial"/>
        </w:rPr>
      </w:pPr>
    </w:p>
    <w:p w14:paraId="2713952E" w14:textId="77777777" w:rsidR="00E3754C" w:rsidRPr="008B7DBC" w:rsidRDefault="001E2067" w:rsidP="00CE1525">
      <w:pPr>
        <w:spacing w:after="0" w:line="240" w:lineRule="auto"/>
        <w:rPr>
          <w:rFonts w:cs="Arial"/>
        </w:rPr>
      </w:pPr>
      <w:r w:rsidRPr="008B7DBC">
        <w:rPr>
          <w:rFonts w:cs="Arial"/>
        </w:rPr>
        <w:t xml:space="preserve">The GAC further recalls that </w:t>
      </w:r>
      <w:r w:rsidR="00E3754C" w:rsidRPr="008B7DBC">
        <w:rPr>
          <w:rFonts w:cs="Arial"/>
        </w:rPr>
        <w:t xml:space="preserve">IGOs have </w:t>
      </w:r>
      <w:r w:rsidR="00F015CC">
        <w:rPr>
          <w:rFonts w:cs="Arial"/>
        </w:rPr>
        <w:t xml:space="preserve">recognized that </w:t>
      </w:r>
      <w:r w:rsidR="00E3754C" w:rsidRPr="008B7DBC">
        <w:rPr>
          <w:rFonts w:cs="Arial"/>
        </w:rPr>
        <w:t>policies seeking to protect their identities in the Domain Name System</w:t>
      </w:r>
      <w:r w:rsidR="00F015CC">
        <w:rPr>
          <w:rFonts w:cs="Arial"/>
        </w:rPr>
        <w:t xml:space="preserve"> should accommodate </w:t>
      </w:r>
      <w:r w:rsidR="00E3754C" w:rsidRPr="008B7DBC">
        <w:rPr>
          <w:rFonts w:cs="Arial"/>
        </w:rPr>
        <w:t>legitimate third-party co-existence.</w:t>
      </w:r>
    </w:p>
    <w:p w14:paraId="354EDD14" w14:textId="77777777" w:rsidR="00E3754C" w:rsidRPr="008B7DBC" w:rsidRDefault="00E3754C" w:rsidP="00CE1525">
      <w:pPr>
        <w:spacing w:after="0" w:line="240" w:lineRule="auto"/>
        <w:rPr>
          <w:rFonts w:cs="Arial"/>
        </w:rPr>
      </w:pPr>
    </w:p>
    <w:p w14:paraId="2D841A2A" w14:textId="77777777" w:rsidR="005C37EE" w:rsidRPr="008B7DBC" w:rsidRDefault="00E3754C" w:rsidP="00CE1525">
      <w:pPr>
        <w:spacing w:after="0" w:line="240" w:lineRule="auto"/>
        <w:rPr>
          <w:rFonts w:cs="Arial"/>
        </w:rPr>
      </w:pPr>
      <w:r w:rsidRPr="008B7DBC">
        <w:rPr>
          <w:rFonts w:cs="Arial"/>
        </w:rPr>
        <w:t xml:space="preserve">The GAC affirms its </w:t>
      </w:r>
      <w:r w:rsidR="003E2481">
        <w:rPr>
          <w:rFonts w:cs="Arial"/>
        </w:rPr>
        <w:t>position</w:t>
      </w:r>
      <w:r w:rsidRPr="008B7DBC">
        <w:rPr>
          <w:rFonts w:cs="Arial"/>
        </w:rPr>
        <w:t>, expressed in the Hyderabad Communiqu</w:t>
      </w:r>
      <w:r w:rsidR="006162F4">
        <w:rPr>
          <w:rFonts w:cs="Arial"/>
        </w:rPr>
        <w:t>é</w:t>
      </w:r>
      <w:r w:rsidR="005B3639">
        <w:rPr>
          <w:rFonts w:cs="Arial"/>
        </w:rPr>
        <w:t xml:space="preserve"> and elsewhere</w:t>
      </w:r>
      <w:r w:rsidRPr="008B7DBC">
        <w:rPr>
          <w:rFonts w:cs="Arial"/>
        </w:rPr>
        <w:t xml:space="preserve">, </w:t>
      </w:r>
      <w:r w:rsidR="00E04F52">
        <w:rPr>
          <w:rFonts w:cs="Arial"/>
        </w:rPr>
        <w:t xml:space="preserve">and articulated in more detail below, </w:t>
      </w:r>
      <w:r w:rsidRPr="008B7DBC">
        <w:rPr>
          <w:rFonts w:cs="Arial"/>
        </w:rPr>
        <w:t xml:space="preserve">that the </w:t>
      </w:r>
      <w:r w:rsidR="001E2067" w:rsidRPr="008B7DBC">
        <w:rPr>
          <w:rFonts w:cs="Arial"/>
        </w:rPr>
        <w:t>small</w:t>
      </w:r>
      <w:r w:rsidR="006162F4">
        <w:rPr>
          <w:rFonts w:cs="Arial"/>
        </w:rPr>
        <w:t>-</w:t>
      </w:r>
      <w:r w:rsidR="001E2067" w:rsidRPr="008B7DBC">
        <w:rPr>
          <w:rFonts w:cs="Arial"/>
        </w:rPr>
        <w:t xml:space="preserve">group compromise </w:t>
      </w:r>
      <w:r w:rsidR="005C37EE" w:rsidRPr="008B7DBC">
        <w:rPr>
          <w:rFonts w:cs="Arial"/>
        </w:rPr>
        <w:t>proposal should be duly taken into account by ICANN and the GNSO (at both the Working Group, and Coun</w:t>
      </w:r>
      <w:r w:rsidR="00A871AB">
        <w:rPr>
          <w:rFonts w:cs="Arial"/>
        </w:rPr>
        <w:t>cil</w:t>
      </w:r>
      <w:r w:rsidR="008F130F">
        <w:rPr>
          <w:rFonts w:cs="Arial"/>
        </w:rPr>
        <w:t>,</w:t>
      </w:r>
      <w:r w:rsidR="005C37EE" w:rsidRPr="008B7DBC">
        <w:rPr>
          <w:rFonts w:cs="Arial"/>
        </w:rPr>
        <w:t xml:space="preserve"> level</w:t>
      </w:r>
      <w:r w:rsidR="008F130F">
        <w:rPr>
          <w:rFonts w:cs="Arial"/>
        </w:rPr>
        <w:t>s</w:t>
      </w:r>
      <w:r w:rsidR="005C37EE" w:rsidRPr="008B7DBC">
        <w:rPr>
          <w:rFonts w:cs="Arial"/>
        </w:rPr>
        <w:t>).</w:t>
      </w:r>
    </w:p>
    <w:p w14:paraId="3FEC8530" w14:textId="77777777" w:rsidR="005C37EE" w:rsidRPr="008B7DBC" w:rsidRDefault="005C37EE" w:rsidP="00CE1525">
      <w:pPr>
        <w:spacing w:after="0" w:line="240" w:lineRule="auto"/>
        <w:rPr>
          <w:rFonts w:cs="Arial"/>
        </w:rPr>
      </w:pPr>
    </w:p>
    <w:p w14:paraId="6FBE6AA9" w14:textId="77777777" w:rsidR="001E2067" w:rsidRPr="008B7DBC" w:rsidRDefault="005C37EE" w:rsidP="00CE1525">
      <w:pPr>
        <w:spacing w:after="0" w:line="240" w:lineRule="auto"/>
        <w:rPr>
          <w:rFonts w:cs="Arial"/>
        </w:rPr>
      </w:pPr>
      <w:r w:rsidRPr="008B7DBC">
        <w:rPr>
          <w:rFonts w:cs="Arial"/>
        </w:rPr>
        <w:t xml:space="preserve">The GAC </w:t>
      </w:r>
      <w:r w:rsidR="00E04F52">
        <w:rPr>
          <w:rFonts w:cs="Arial"/>
        </w:rPr>
        <w:t xml:space="preserve">also </w:t>
      </w:r>
      <w:r w:rsidRPr="008B7DBC">
        <w:rPr>
          <w:rFonts w:cs="Arial"/>
        </w:rPr>
        <w:t xml:space="preserve">notes that </w:t>
      </w:r>
      <w:r w:rsidR="001E2067" w:rsidRPr="008B7DBC">
        <w:rPr>
          <w:rFonts w:cs="Arial"/>
        </w:rPr>
        <w:t xml:space="preserve">ICANN’s Bylaws and Core Values </w:t>
      </w:r>
      <w:r w:rsidRPr="008B7DBC">
        <w:rPr>
          <w:rFonts w:cs="Arial"/>
        </w:rPr>
        <w:t xml:space="preserve">specify </w:t>
      </w:r>
      <w:r w:rsidR="001E2067" w:rsidRPr="008B7DBC">
        <w:rPr>
          <w:rFonts w:cs="Arial"/>
        </w:rPr>
        <w:t xml:space="preserve">that the concerns and interests of entities most affected, here IGOs, should be taken into account in policy development processes. </w:t>
      </w:r>
    </w:p>
    <w:p w14:paraId="770EC8A2" w14:textId="77777777" w:rsidR="009B419A" w:rsidRPr="008B7DBC" w:rsidRDefault="009B419A" w:rsidP="00CE1525">
      <w:pPr>
        <w:spacing w:after="0" w:line="240" w:lineRule="auto"/>
        <w:rPr>
          <w:rFonts w:cs="Arial"/>
        </w:rPr>
      </w:pPr>
    </w:p>
    <w:p w14:paraId="0D33D6C8" w14:textId="77777777" w:rsidR="001E2067" w:rsidRPr="008B7DBC" w:rsidRDefault="005C37EE" w:rsidP="00CE1525">
      <w:pPr>
        <w:spacing w:after="0" w:line="240" w:lineRule="auto"/>
        <w:rPr>
          <w:rFonts w:cs="Arial"/>
        </w:rPr>
      </w:pPr>
      <w:r w:rsidRPr="008B7DBC">
        <w:rPr>
          <w:rFonts w:cs="Arial"/>
        </w:rPr>
        <w:t>Set out below are the GAC</w:t>
      </w:r>
      <w:r w:rsidR="003941AF">
        <w:rPr>
          <w:rFonts w:cs="Arial"/>
        </w:rPr>
        <w:t>’</w:t>
      </w:r>
      <w:r w:rsidRPr="008B7DBC">
        <w:rPr>
          <w:rFonts w:cs="Arial"/>
        </w:rPr>
        <w:t xml:space="preserve">s </w:t>
      </w:r>
      <w:r w:rsidR="00777F09" w:rsidRPr="008B7DBC">
        <w:rPr>
          <w:rFonts w:cs="Arial"/>
        </w:rPr>
        <w:t xml:space="preserve">specific </w:t>
      </w:r>
      <w:r w:rsidRPr="008B7DBC">
        <w:rPr>
          <w:rFonts w:cs="Arial"/>
        </w:rPr>
        <w:t>concerns and interests</w:t>
      </w:r>
      <w:r w:rsidR="008F130F">
        <w:rPr>
          <w:rFonts w:cs="Arial"/>
        </w:rPr>
        <w:t xml:space="preserve"> regarding the</w:t>
      </w:r>
      <w:r w:rsidR="00647CA2">
        <w:rPr>
          <w:rFonts w:cs="Arial"/>
        </w:rPr>
        <w:t xml:space="preserve"> Working Group’s</w:t>
      </w:r>
      <w:r w:rsidR="008F130F">
        <w:rPr>
          <w:rFonts w:cs="Arial"/>
        </w:rPr>
        <w:t xml:space="preserve"> Initial Report</w:t>
      </w:r>
      <w:r w:rsidR="00A871AB">
        <w:rPr>
          <w:rFonts w:cs="Arial"/>
        </w:rPr>
        <w:t xml:space="preserve">, relating principally to Recommendations </w:t>
      </w:r>
      <w:r w:rsidR="00E37C12">
        <w:rPr>
          <w:rFonts w:cs="Arial"/>
        </w:rPr>
        <w:t>#</w:t>
      </w:r>
      <w:r w:rsidR="00A871AB">
        <w:rPr>
          <w:rFonts w:cs="Arial"/>
        </w:rPr>
        <w:t xml:space="preserve">2 and </w:t>
      </w:r>
      <w:r w:rsidR="00E37C12">
        <w:rPr>
          <w:rFonts w:cs="Arial"/>
        </w:rPr>
        <w:t>#</w:t>
      </w:r>
      <w:proofErr w:type="gramStart"/>
      <w:r w:rsidR="00A871AB">
        <w:rPr>
          <w:rFonts w:cs="Arial"/>
        </w:rPr>
        <w:t>4</w:t>
      </w:r>
      <w:r w:rsidR="00A871AB" w:rsidRPr="008B7DBC">
        <w:rPr>
          <w:rFonts w:cs="Arial"/>
        </w:rPr>
        <w:t>.</w:t>
      </w:r>
      <w:proofErr w:type="gramEnd"/>
      <w:r w:rsidR="00A871AB">
        <w:rPr>
          <w:rFonts w:cs="Arial"/>
        </w:rPr>
        <w:t xml:space="preserve">  The GAC does not take exception to the Working Group Recommendation #1, which notes that the Initial Report recommendations do not apply to international non-governmental organizations (INGOs)</w:t>
      </w:r>
      <w:r w:rsidR="00E37C12">
        <w:rPr>
          <w:rFonts w:cs="Arial"/>
        </w:rPr>
        <w:t xml:space="preserve"> particularly insofar as </w:t>
      </w:r>
      <w:r w:rsidR="00A871AB">
        <w:rPr>
          <w:rFonts w:cs="Arial"/>
        </w:rPr>
        <w:t>two such INGOs, the Red Cross and International Olympic Committee, are the subject of separate, GAC advice.</w:t>
      </w:r>
    </w:p>
    <w:p w14:paraId="18C367BD" w14:textId="77777777" w:rsidR="009B419A" w:rsidRPr="008B7DBC" w:rsidRDefault="009B419A" w:rsidP="00CE1525">
      <w:pPr>
        <w:spacing w:after="0" w:line="240" w:lineRule="auto"/>
        <w:rPr>
          <w:rFonts w:cs="Arial"/>
        </w:rPr>
      </w:pPr>
    </w:p>
    <w:p w14:paraId="1B6F702A" w14:textId="77777777" w:rsidR="00777F09" w:rsidRPr="00CE1B4E" w:rsidRDefault="00777F09" w:rsidP="00CE1525">
      <w:pPr>
        <w:spacing w:after="0" w:line="240" w:lineRule="auto"/>
        <w:rPr>
          <w:rFonts w:cs="Arial"/>
          <w:b/>
          <w:u w:val="single"/>
        </w:rPr>
      </w:pPr>
      <w:r w:rsidRPr="00CE1B4E">
        <w:rPr>
          <w:rFonts w:cs="Arial"/>
          <w:b/>
          <w:u w:val="single"/>
        </w:rPr>
        <w:t>Substantive</w:t>
      </w:r>
      <w:r w:rsidR="008D30C4" w:rsidRPr="00CE1B4E">
        <w:rPr>
          <w:rFonts w:cs="Arial"/>
          <w:b/>
          <w:u w:val="single"/>
        </w:rPr>
        <w:t xml:space="preserve"> considerations regarding curative rights protection</w:t>
      </w:r>
      <w:r w:rsidR="008D30C4" w:rsidRPr="00CE1B4E">
        <w:rPr>
          <w:rStyle w:val="FootnoteReference"/>
          <w:rFonts w:cs="Arial"/>
          <w:b/>
        </w:rPr>
        <w:footnoteReference w:id="1"/>
      </w:r>
      <w:r w:rsidRPr="00CE1B4E">
        <w:rPr>
          <w:rFonts w:cs="Arial"/>
          <w:b/>
          <w:u w:val="single"/>
        </w:rPr>
        <w:t xml:space="preserve"> </w:t>
      </w:r>
    </w:p>
    <w:p w14:paraId="1D2EBF12" w14:textId="77777777" w:rsidR="00777F09" w:rsidRPr="008B7DBC" w:rsidRDefault="00777F09" w:rsidP="00CE1525">
      <w:pPr>
        <w:spacing w:after="0" w:line="240" w:lineRule="auto"/>
        <w:rPr>
          <w:rFonts w:cs="Arial"/>
          <w:u w:val="single"/>
        </w:rPr>
      </w:pPr>
    </w:p>
    <w:p w14:paraId="2564D7C7" w14:textId="77777777" w:rsidR="008D30C4" w:rsidRDefault="009B419A" w:rsidP="00CE1525">
      <w:pPr>
        <w:spacing w:after="0" w:line="240" w:lineRule="auto"/>
        <w:rPr>
          <w:rFonts w:cs="Arial"/>
        </w:rPr>
      </w:pPr>
      <w:r w:rsidRPr="008B7DBC">
        <w:rPr>
          <w:rFonts w:cs="Arial"/>
        </w:rPr>
        <w:t>ICANN</w:t>
      </w:r>
      <w:r w:rsidR="006A1B06" w:rsidRPr="008B7DBC">
        <w:rPr>
          <w:rFonts w:cs="Arial"/>
        </w:rPr>
        <w:t xml:space="preserve"> </w:t>
      </w:r>
      <w:r w:rsidR="00777F09" w:rsidRPr="008B7DBC">
        <w:rPr>
          <w:rFonts w:cs="Arial"/>
        </w:rPr>
        <w:t>sh</w:t>
      </w:r>
      <w:r w:rsidRPr="008B7DBC">
        <w:rPr>
          <w:rFonts w:cs="Arial"/>
        </w:rPr>
        <w:t xml:space="preserve">ould establish a dispute resolution mechanism </w:t>
      </w:r>
      <w:r w:rsidRPr="008D30C4">
        <w:rPr>
          <w:rFonts w:cs="Arial"/>
          <w:i/>
        </w:rPr>
        <w:t>modeled on but separate from the UDRP</w:t>
      </w:r>
      <w:r w:rsidRPr="008B7DBC">
        <w:rPr>
          <w:rFonts w:cs="Arial"/>
        </w:rPr>
        <w:t>, which provides</w:t>
      </w:r>
      <w:r w:rsidR="008D30C4">
        <w:rPr>
          <w:rFonts w:cs="Arial"/>
        </w:rPr>
        <w:t>:</w:t>
      </w:r>
    </w:p>
    <w:p w14:paraId="28B6B6A6" w14:textId="77777777" w:rsidR="008D30C4" w:rsidRDefault="008D30C4" w:rsidP="00CE1525">
      <w:pPr>
        <w:spacing w:after="0" w:line="240" w:lineRule="auto"/>
        <w:rPr>
          <w:rFonts w:cs="Arial"/>
        </w:rPr>
      </w:pPr>
    </w:p>
    <w:p w14:paraId="0489D17B" w14:textId="77777777" w:rsidR="00F73A0A" w:rsidRDefault="008D30C4" w:rsidP="00CE152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8C70C3">
        <w:rPr>
          <w:rFonts w:cs="Arial"/>
        </w:rPr>
        <w:t>Standing</w:t>
      </w:r>
      <w:r w:rsidR="002F4EB2" w:rsidRPr="008C70C3">
        <w:rPr>
          <w:rFonts w:cs="Arial"/>
        </w:rPr>
        <w:t xml:space="preserve"> for IGOs </w:t>
      </w:r>
      <w:r w:rsidR="00603526">
        <w:rPr>
          <w:rFonts w:cs="Arial"/>
        </w:rPr>
        <w:t xml:space="preserve">which </w:t>
      </w:r>
      <w:r w:rsidR="008C70C3" w:rsidRPr="008C70C3">
        <w:rPr>
          <w:rFonts w:cs="Arial"/>
        </w:rPr>
        <w:t xml:space="preserve">need not </w:t>
      </w:r>
      <w:r w:rsidR="00603526" w:rsidRPr="008C70C3">
        <w:rPr>
          <w:rFonts w:cs="Arial"/>
        </w:rPr>
        <w:t xml:space="preserve">be </w:t>
      </w:r>
      <w:r w:rsidR="00603526">
        <w:rPr>
          <w:rFonts w:cs="Arial"/>
        </w:rPr>
        <w:t>expressly gr</w:t>
      </w:r>
      <w:r w:rsidR="008C70C3" w:rsidRPr="008C70C3">
        <w:rPr>
          <w:rFonts w:cs="Arial"/>
        </w:rPr>
        <w:t>ounded in trademark law</w:t>
      </w:r>
      <w:r w:rsidR="008C70C3">
        <w:rPr>
          <w:rFonts w:cs="Arial"/>
        </w:rPr>
        <w:t xml:space="preserve"> as such</w:t>
      </w:r>
      <w:r w:rsidR="008C70C3" w:rsidRPr="008C70C3">
        <w:rPr>
          <w:rFonts w:cs="Arial"/>
        </w:rPr>
        <w:t>, as IGOs are created by governments under international law and are in an objectively diffe</w:t>
      </w:r>
      <w:r w:rsidR="008C70C3">
        <w:rPr>
          <w:rFonts w:cs="Arial"/>
        </w:rPr>
        <w:t>rent category of rights</w:t>
      </w:r>
      <w:r w:rsidR="008C70C3">
        <w:rPr>
          <w:rFonts w:cs="Arial"/>
        </w:rPr>
        <w:noBreakHyphen/>
      </w:r>
      <w:r w:rsidR="008C70C3" w:rsidRPr="008C70C3">
        <w:rPr>
          <w:rFonts w:cs="Arial"/>
        </w:rPr>
        <w:t>holders</w:t>
      </w:r>
      <w:r w:rsidR="00F73A0A">
        <w:rPr>
          <w:rFonts w:cs="Arial"/>
        </w:rPr>
        <w:t xml:space="preserve">. </w:t>
      </w:r>
      <w:r w:rsidR="00603526">
        <w:rPr>
          <w:rFonts w:cs="Arial"/>
        </w:rPr>
        <w:t xml:space="preserve"> </w:t>
      </w:r>
    </w:p>
    <w:p w14:paraId="363600A0" w14:textId="77777777" w:rsidR="00F73A0A" w:rsidRDefault="00F73A0A" w:rsidP="00CE1525">
      <w:pPr>
        <w:spacing w:after="0" w:line="240" w:lineRule="auto"/>
        <w:rPr>
          <w:rFonts w:cs="Arial"/>
        </w:rPr>
      </w:pPr>
    </w:p>
    <w:p w14:paraId="50C2C2A8" w14:textId="77777777" w:rsidR="004D4B09" w:rsidRDefault="004D4B09" w:rsidP="00CE1525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are two issues with </w:t>
      </w:r>
      <w:r w:rsidR="00F73A0A" w:rsidRPr="00603526">
        <w:rPr>
          <w:rFonts w:cs="Arial"/>
        </w:rPr>
        <w:t>Working Group Recommendat</w:t>
      </w:r>
      <w:r w:rsidR="00603526">
        <w:rPr>
          <w:rFonts w:cs="Arial"/>
        </w:rPr>
        <w:t>ion #2 which suggests issuing “Policy Guidance” on UDRP standing</w:t>
      </w:r>
      <w:r>
        <w:rPr>
          <w:rFonts w:cs="Arial"/>
        </w:rPr>
        <w:t xml:space="preserve">: </w:t>
      </w:r>
    </w:p>
    <w:p w14:paraId="5AB27A46" w14:textId="77777777" w:rsidR="004D4B09" w:rsidRDefault="004D4B09" w:rsidP="00CE1525">
      <w:pPr>
        <w:spacing w:after="0" w:line="240" w:lineRule="auto"/>
        <w:rPr>
          <w:rFonts w:cs="Arial"/>
        </w:rPr>
      </w:pPr>
    </w:p>
    <w:p w14:paraId="0C09C811" w14:textId="77777777" w:rsidR="004D4B09" w:rsidRDefault="004D4B09" w:rsidP="00CE1525">
      <w:pPr>
        <w:spacing w:after="0" w:line="240" w:lineRule="auto"/>
        <w:rPr>
          <w:rFonts w:cs="Arial"/>
        </w:rPr>
      </w:pPr>
      <w:r>
        <w:rPr>
          <w:rFonts w:cs="Arial"/>
        </w:rPr>
        <w:t>First, insofar as the Recommendation itself would effectively alter an existing Consensus Policy</w:t>
      </w:r>
      <w:r w:rsidR="005F0FB2">
        <w:rPr>
          <w:rFonts w:cs="Arial"/>
        </w:rPr>
        <w:t xml:space="preserve"> (no amendment of the UDRP)</w:t>
      </w:r>
      <w:r>
        <w:rPr>
          <w:rFonts w:cs="Arial"/>
        </w:rPr>
        <w:t xml:space="preserve">, it improperly </w:t>
      </w:r>
      <w:r w:rsidR="00446410">
        <w:rPr>
          <w:rFonts w:cs="Arial"/>
        </w:rPr>
        <w:t>bypass</w:t>
      </w:r>
      <w:r>
        <w:rPr>
          <w:rFonts w:cs="Arial"/>
        </w:rPr>
        <w:t>es</w:t>
      </w:r>
      <w:r w:rsidR="00446410">
        <w:rPr>
          <w:rFonts w:cs="Arial"/>
        </w:rPr>
        <w:t xml:space="preserve"> the </w:t>
      </w:r>
      <w:r w:rsidR="00CE5ED3">
        <w:rPr>
          <w:rFonts w:cs="Arial"/>
        </w:rPr>
        <w:t xml:space="preserve">ordinary </w:t>
      </w:r>
      <w:r w:rsidR="00D05139">
        <w:rPr>
          <w:rFonts w:cs="Arial"/>
        </w:rPr>
        <w:t>Bylaws</w:t>
      </w:r>
      <w:r w:rsidR="00D05139">
        <w:rPr>
          <w:rFonts w:cs="Arial"/>
        </w:rPr>
        <w:noBreakHyphen/>
      </w:r>
      <w:r w:rsidR="00446410">
        <w:rPr>
          <w:rFonts w:cs="Arial"/>
        </w:rPr>
        <w:t xml:space="preserve">prescribed Policy Development Process </w:t>
      </w:r>
      <w:r>
        <w:rPr>
          <w:rFonts w:cs="Arial"/>
        </w:rPr>
        <w:t xml:space="preserve">(it should not therefore be described merely as </w:t>
      </w:r>
      <w:r w:rsidR="00446410">
        <w:rPr>
          <w:rFonts w:cs="Arial"/>
        </w:rPr>
        <w:t xml:space="preserve">some form of </w:t>
      </w:r>
      <w:r w:rsidR="00CE5ED3">
        <w:rPr>
          <w:rFonts w:cs="Arial"/>
        </w:rPr>
        <w:t xml:space="preserve">policy </w:t>
      </w:r>
      <w:r w:rsidR="00312A9F" w:rsidRPr="00312A9F">
        <w:rPr>
          <w:rFonts w:cs="Arial"/>
        </w:rPr>
        <w:t>“implementation</w:t>
      </w:r>
      <w:r w:rsidR="00446410">
        <w:rPr>
          <w:rFonts w:cs="Arial"/>
        </w:rPr>
        <w:t>”</w:t>
      </w:r>
      <w:r w:rsidR="00312A9F" w:rsidRPr="00312A9F">
        <w:rPr>
          <w:rFonts w:cs="Arial"/>
        </w:rPr>
        <w:t xml:space="preserve"> guidance</w:t>
      </w:r>
      <w:r>
        <w:rPr>
          <w:rFonts w:cs="Arial"/>
        </w:rPr>
        <w:t xml:space="preserve">).  </w:t>
      </w:r>
    </w:p>
    <w:p w14:paraId="6E4CF895" w14:textId="77777777" w:rsidR="004D4B09" w:rsidRDefault="004D4B09" w:rsidP="00CE1525">
      <w:pPr>
        <w:spacing w:after="0" w:line="240" w:lineRule="auto"/>
        <w:rPr>
          <w:rFonts w:cs="Arial"/>
        </w:rPr>
      </w:pPr>
    </w:p>
    <w:p w14:paraId="19E9661D" w14:textId="77777777" w:rsidR="003B5065" w:rsidRDefault="004D4B09" w:rsidP="00CE152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Second,</w:t>
      </w:r>
      <w:r w:rsidR="00446410">
        <w:rPr>
          <w:rFonts w:cs="Arial"/>
        </w:rPr>
        <w:t xml:space="preserve"> </w:t>
      </w:r>
      <w:r w:rsidR="000C32E5">
        <w:rPr>
          <w:rFonts w:cs="Arial"/>
        </w:rPr>
        <w:t>aside from failing to</w:t>
      </w:r>
      <w:r w:rsidR="000C32E5" w:rsidRPr="000C32E5">
        <w:rPr>
          <w:rFonts w:cs="Arial"/>
        </w:rPr>
        <w:t xml:space="preserve"> </w:t>
      </w:r>
      <w:r w:rsidR="000C32E5">
        <w:rPr>
          <w:rFonts w:cs="Arial"/>
        </w:rPr>
        <w:t xml:space="preserve">adequately account for GAC Advice on this subject, </w:t>
      </w:r>
      <w:r w:rsidR="00446410">
        <w:rPr>
          <w:rFonts w:cs="Arial"/>
        </w:rPr>
        <w:t xml:space="preserve">this Recommendation </w:t>
      </w:r>
      <w:r w:rsidR="006162F4">
        <w:rPr>
          <w:rFonts w:cs="Arial"/>
        </w:rPr>
        <w:t xml:space="preserve">disregards </w:t>
      </w:r>
      <w:r w:rsidR="00603526">
        <w:rPr>
          <w:rFonts w:cs="Arial"/>
        </w:rPr>
        <w:t>the plain language of the UDRP</w:t>
      </w:r>
      <w:r w:rsidR="00312A9F">
        <w:rPr>
          <w:rFonts w:cs="Arial"/>
        </w:rPr>
        <w:t xml:space="preserve"> </w:t>
      </w:r>
      <w:r w:rsidR="00312A9F" w:rsidRPr="00312A9F">
        <w:rPr>
          <w:rFonts w:cs="Arial"/>
        </w:rPr>
        <w:t>which requires trademark rights for standing to file a case</w:t>
      </w:r>
      <w:r w:rsidR="008D574F">
        <w:rPr>
          <w:rFonts w:cs="Arial"/>
        </w:rPr>
        <w:t>.</w:t>
      </w:r>
      <w:r w:rsidR="009256C4">
        <w:rPr>
          <w:rStyle w:val="FootnoteReference"/>
          <w:rFonts w:cs="Arial"/>
        </w:rPr>
        <w:footnoteReference w:id="2"/>
      </w:r>
      <w:r w:rsidR="009256C4">
        <w:rPr>
          <w:rFonts w:cs="Arial"/>
        </w:rPr>
        <w:t xml:space="preserve"> </w:t>
      </w:r>
      <w:r w:rsidR="008D574F">
        <w:rPr>
          <w:rFonts w:cs="Arial"/>
        </w:rPr>
        <w:t xml:space="preserve"> </w:t>
      </w:r>
    </w:p>
    <w:p w14:paraId="29FF3549" w14:textId="77777777" w:rsidR="003B5065" w:rsidRDefault="003B5065" w:rsidP="00CE1525">
      <w:pPr>
        <w:spacing w:after="0" w:line="240" w:lineRule="auto"/>
        <w:rPr>
          <w:rFonts w:cs="Arial"/>
        </w:rPr>
      </w:pPr>
    </w:p>
    <w:p w14:paraId="3EAC07B0" w14:textId="77777777" w:rsidR="008D30C4" w:rsidRDefault="00A871AB" w:rsidP="00CE1525">
      <w:pPr>
        <w:spacing w:after="0" w:line="240" w:lineRule="auto"/>
        <w:rPr>
          <w:rFonts w:cs="Arial"/>
        </w:rPr>
      </w:pPr>
      <w:r>
        <w:rPr>
          <w:rFonts w:cs="Arial"/>
        </w:rPr>
        <w:t>For these same reasons, the GAC cannot agree to Recommendation #3, which provides that the Policy Guidance document in Recommendation #2, should reference Article 6</w:t>
      </w:r>
      <w:r w:rsidRPr="008722ED">
        <w:rPr>
          <w:rFonts w:cs="Arial"/>
          <w:i/>
        </w:rPr>
        <w:t>ter</w:t>
      </w:r>
      <w:r>
        <w:rPr>
          <w:rFonts w:cs="Arial"/>
        </w:rPr>
        <w:t xml:space="preserve"> (1)(c).</w:t>
      </w:r>
      <w:r>
        <w:rPr>
          <w:rStyle w:val="FootnoteReference"/>
          <w:rFonts w:cs="Arial"/>
        </w:rPr>
        <w:footnoteReference w:id="3"/>
      </w:r>
    </w:p>
    <w:p w14:paraId="68AFC06E" w14:textId="77777777" w:rsidR="00236B2B" w:rsidRDefault="00236B2B" w:rsidP="00CE1525">
      <w:pPr>
        <w:spacing w:after="0" w:line="240" w:lineRule="auto"/>
        <w:rPr>
          <w:rFonts w:cs="Arial"/>
        </w:rPr>
      </w:pPr>
      <w:r>
        <w:rPr>
          <w:rFonts w:cs="Arial"/>
        </w:rPr>
        <w:t xml:space="preserve">Such </w:t>
      </w:r>
      <w:r w:rsidRPr="008B7DBC">
        <w:rPr>
          <w:rFonts w:cs="Arial"/>
        </w:rPr>
        <w:t xml:space="preserve">dispute resolution mechanism </w:t>
      </w:r>
      <w:r>
        <w:rPr>
          <w:rFonts w:cs="Arial"/>
        </w:rPr>
        <w:t xml:space="preserve">should also </w:t>
      </w:r>
      <w:r w:rsidRPr="008B7DBC">
        <w:rPr>
          <w:rFonts w:cs="Arial"/>
        </w:rPr>
        <w:t>provide</w:t>
      </w:r>
      <w:r>
        <w:rPr>
          <w:rFonts w:cs="Arial"/>
        </w:rPr>
        <w:t xml:space="preserve"> for:</w:t>
      </w:r>
    </w:p>
    <w:p w14:paraId="39761F77" w14:textId="77777777" w:rsidR="00236B2B" w:rsidRDefault="00236B2B" w:rsidP="00CE1525">
      <w:pPr>
        <w:spacing w:after="0" w:line="240" w:lineRule="auto"/>
        <w:rPr>
          <w:rFonts w:cs="Arial"/>
        </w:rPr>
      </w:pPr>
    </w:p>
    <w:p w14:paraId="03A1FA77" w14:textId="77777777" w:rsidR="000F5E56" w:rsidRDefault="008D30C4" w:rsidP="00CE152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2F4EB2">
        <w:rPr>
          <w:rFonts w:cs="Arial"/>
        </w:rPr>
        <w:t>A</w:t>
      </w:r>
      <w:r w:rsidR="009B419A" w:rsidRPr="002F4EB2">
        <w:rPr>
          <w:rFonts w:cs="Arial"/>
        </w:rPr>
        <w:t>ppeal to an arbitral tribunal instead of national courts, in conformity with relevant principles of international law</w:t>
      </w:r>
      <w:r w:rsidR="002F4EB2">
        <w:rPr>
          <w:rFonts w:cs="Arial"/>
        </w:rPr>
        <w:t xml:space="preserve"> concerning recognized privileges and immunities conferred by governments on IGOs</w:t>
      </w:r>
      <w:r w:rsidR="006A1B06" w:rsidRPr="002F4EB2">
        <w:rPr>
          <w:rFonts w:cs="Arial"/>
        </w:rPr>
        <w:t>.</w:t>
      </w:r>
      <w:r w:rsidR="00D05839">
        <w:rPr>
          <w:rStyle w:val="FootnoteReference"/>
          <w:rFonts w:cs="Arial"/>
        </w:rPr>
        <w:footnoteReference w:id="4"/>
      </w:r>
      <w:r w:rsidR="009B419A" w:rsidRPr="002F4EB2">
        <w:rPr>
          <w:rFonts w:cs="Arial"/>
        </w:rPr>
        <w:t xml:space="preserve"> </w:t>
      </w:r>
    </w:p>
    <w:p w14:paraId="78125FB9" w14:textId="77777777" w:rsidR="00F73A0A" w:rsidRDefault="00F73A0A" w:rsidP="00CE1525">
      <w:pPr>
        <w:spacing w:after="0" w:line="240" w:lineRule="auto"/>
        <w:rPr>
          <w:rFonts w:cs="Arial"/>
        </w:rPr>
      </w:pPr>
    </w:p>
    <w:p w14:paraId="73EF3AC2" w14:textId="77777777" w:rsidR="007830D4" w:rsidRDefault="007830D4" w:rsidP="00CE1525">
      <w:pPr>
        <w:spacing w:after="0" w:line="240" w:lineRule="auto"/>
        <w:rPr>
          <w:rFonts w:cs="Arial"/>
        </w:rPr>
      </w:pPr>
      <w:r w:rsidRPr="00603526">
        <w:rPr>
          <w:rFonts w:cs="Arial"/>
        </w:rPr>
        <w:t>Working Group Recommendat</w:t>
      </w:r>
      <w:r>
        <w:rPr>
          <w:rFonts w:cs="Arial"/>
        </w:rPr>
        <w:t>ion #4</w:t>
      </w:r>
      <w:r w:rsidR="002B4DE5">
        <w:rPr>
          <w:rFonts w:cs="Arial"/>
        </w:rPr>
        <w:t xml:space="preserve"> (jurisdictional immunity),</w:t>
      </w:r>
      <w:r>
        <w:rPr>
          <w:rFonts w:cs="Arial"/>
        </w:rPr>
        <w:t xml:space="preserve"> which suggests a </w:t>
      </w:r>
      <w:r w:rsidR="004D030E">
        <w:rPr>
          <w:rFonts w:cs="Arial"/>
        </w:rPr>
        <w:t xml:space="preserve">form of </w:t>
      </w:r>
      <w:r>
        <w:rPr>
          <w:rFonts w:cs="Arial"/>
        </w:rPr>
        <w:t>workaround</w:t>
      </w:r>
      <w:r w:rsidR="009B0C3D">
        <w:rPr>
          <w:rFonts w:cs="Arial"/>
        </w:rPr>
        <w:t>,</w:t>
      </w:r>
      <w:r>
        <w:rPr>
          <w:rFonts w:cs="Arial"/>
        </w:rPr>
        <w:t xml:space="preserve"> is incompatible with the </w:t>
      </w:r>
      <w:r w:rsidR="000D7541">
        <w:rPr>
          <w:rFonts w:cs="Arial"/>
        </w:rPr>
        <w:t>position conveyed</w:t>
      </w:r>
      <w:r>
        <w:rPr>
          <w:rFonts w:cs="Arial"/>
        </w:rPr>
        <w:t xml:space="preserve"> by the Legal Counsels of IGO</w:t>
      </w:r>
      <w:r w:rsidR="009B0C3D">
        <w:rPr>
          <w:rFonts w:cs="Arial"/>
        </w:rPr>
        <w:t xml:space="preserve">s which </w:t>
      </w:r>
      <w:r w:rsidR="00A871AB">
        <w:rPr>
          <w:rFonts w:cs="Arial"/>
        </w:rPr>
        <w:t xml:space="preserve">was </w:t>
      </w:r>
      <w:r>
        <w:rPr>
          <w:rFonts w:cs="Arial"/>
        </w:rPr>
        <w:t>provided to the Working Group at its request.</w:t>
      </w:r>
    </w:p>
    <w:p w14:paraId="3BAE1CBD" w14:textId="77777777" w:rsidR="007830D4" w:rsidRDefault="007830D4" w:rsidP="00CE1525">
      <w:pPr>
        <w:spacing w:after="0" w:line="240" w:lineRule="auto"/>
        <w:rPr>
          <w:rFonts w:cs="Arial"/>
          <w:highlight w:val="yellow"/>
        </w:rPr>
      </w:pPr>
    </w:p>
    <w:p w14:paraId="219146AB" w14:textId="77777777" w:rsidR="00F73A0A" w:rsidRPr="00F73A0A" w:rsidRDefault="004E5A81" w:rsidP="00CE1525">
      <w:pPr>
        <w:spacing w:after="0" w:line="240" w:lineRule="auto"/>
        <w:rPr>
          <w:rFonts w:cs="Arial"/>
        </w:rPr>
      </w:pPr>
      <w:r w:rsidRPr="004E5A81">
        <w:rPr>
          <w:rFonts w:cs="Arial"/>
        </w:rPr>
        <w:t xml:space="preserve">Again </w:t>
      </w:r>
      <w:r w:rsidR="007830D4" w:rsidRPr="004E5A81">
        <w:rPr>
          <w:rFonts w:cs="Arial"/>
        </w:rPr>
        <w:t xml:space="preserve">for the same reason, </w:t>
      </w:r>
      <w:r w:rsidR="00F73A0A" w:rsidRPr="004E5A81">
        <w:rPr>
          <w:rFonts w:cs="Arial"/>
        </w:rPr>
        <w:t xml:space="preserve">Working Group Recommendation #4 does not </w:t>
      </w:r>
      <w:r w:rsidRPr="004E5A81">
        <w:rPr>
          <w:rFonts w:cs="Arial"/>
        </w:rPr>
        <w:t>adequately account for GAC Advice on this subject</w:t>
      </w:r>
      <w:r>
        <w:rPr>
          <w:rFonts w:cs="Arial"/>
        </w:rPr>
        <w:t xml:space="preserve"> which recognizes international norms regarding IGOs’ status as treaty</w:t>
      </w:r>
      <w:r>
        <w:rPr>
          <w:rFonts w:cs="Arial"/>
        </w:rPr>
        <w:noBreakHyphen/>
        <w:t>based organizations.</w:t>
      </w:r>
    </w:p>
    <w:p w14:paraId="5D50D6F3" w14:textId="77777777" w:rsidR="00F73A0A" w:rsidRPr="00F73A0A" w:rsidRDefault="00F73A0A" w:rsidP="00CE1525">
      <w:pPr>
        <w:spacing w:after="0" w:line="240" w:lineRule="auto"/>
        <w:rPr>
          <w:rFonts w:cs="Arial"/>
        </w:rPr>
      </w:pPr>
    </w:p>
    <w:p w14:paraId="01531766" w14:textId="77777777" w:rsidR="00D72C54" w:rsidRDefault="008D574F" w:rsidP="00CE1525">
      <w:pPr>
        <w:spacing w:after="0" w:line="240" w:lineRule="auto"/>
        <w:rPr>
          <w:rFonts w:cs="Arial"/>
        </w:rPr>
      </w:pPr>
      <w:r>
        <w:rPr>
          <w:rFonts w:cs="Arial"/>
        </w:rPr>
        <w:t xml:space="preserve">More fundamentally, </w:t>
      </w:r>
      <w:r w:rsidR="00E121BA">
        <w:rPr>
          <w:rFonts w:cs="Arial"/>
        </w:rPr>
        <w:t xml:space="preserve">as noted above, </w:t>
      </w:r>
      <w:r w:rsidRPr="00603526">
        <w:rPr>
          <w:rFonts w:cs="Arial"/>
        </w:rPr>
        <w:t>Working Group Recommendat</w:t>
      </w:r>
      <w:r>
        <w:rPr>
          <w:rFonts w:cs="Arial"/>
        </w:rPr>
        <w:t xml:space="preserve">ions #2 and #4 which suggest various adjustments to the UDRP plainly fail to account for GAC Advice (see, e.g., the Los Angeles and Hyderabad Communiqués) which calls for a separate standalone </w:t>
      </w:r>
      <w:r w:rsidR="00FF4DC8">
        <w:rPr>
          <w:rFonts w:cs="Arial"/>
        </w:rPr>
        <w:t xml:space="preserve">IGO-specific </w:t>
      </w:r>
      <w:r>
        <w:rPr>
          <w:rFonts w:cs="Arial"/>
        </w:rPr>
        <w:t>dispute resolution mechanism</w:t>
      </w:r>
      <w:r w:rsidRPr="000C32E5">
        <w:rPr>
          <w:rFonts w:cs="Arial"/>
        </w:rPr>
        <w:t>.</w:t>
      </w:r>
      <w:r>
        <w:rPr>
          <w:rFonts w:cs="Arial"/>
        </w:rPr>
        <w:t xml:space="preserve">  </w:t>
      </w:r>
      <w:r w:rsidR="003C42E9">
        <w:rPr>
          <w:rFonts w:cs="Arial"/>
        </w:rPr>
        <w:t xml:space="preserve"> </w:t>
      </w:r>
    </w:p>
    <w:p w14:paraId="6BB565D7" w14:textId="77777777" w:rsidR="00A871AB" w:rsidRDefault="00A871AB" w:rsidP="00CE1525">
      <w:pPr>
        <w:spacing w:after="0" w:line="240" w:lineRule="auto"/>
        <w:rPr>
          <w:rFonts w:cs="Arial"/>
        </w:rPr>
      </w:pPr>
    </w:p>
    <w:p w14:paraId="2910D561" w14:textId="77777777" w:rsidR="00A871AB" w:rsidRDefault="00A871AB" w:rsidP="00CE1525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GAC notes that Recommendation #5 is the one Working Group recommendation that takes the GAC’s advice into account, i.e., that any curative rights protection mechanisms be provided at no or nominal cost. </w:t>
      </w:r>
    </w:p>
    <w:p w14:paraId="05D6BB64" w14:textId="77777777" w:rsidR="000C32E5" w:rsidRDefault="000C32E5" w:rsidP="00CE1525">
      <w:pPr>
        <w:spacing w:after="0" w:line="240" w:lineRule="auto"/>
        <w:rPr>
          <w:rFonts w:cs="Arial"/>
        </w:rPr>
      </w:pPr>
    </w:p>
    <w:p w14:paraId="19DF93F1" w14:textId="77777777" w:rsidR="008D574F" w:rsidRPr="006F206F" w:rsidRDefault="003C42E9" w:rsidP="00CE1525">
      <w:pPr>
        <w:spacing w:after="0" w:line="240" w:lineRule="auto"/>
        <w:rPr>
          <w:rFonts w:cs="Arial"/>
        </w:rPr>
      </w:pPr>
      <w:r w:rsidRPr="006F206F">
        <w:rPr>
          <w:rFonts w:cs="Arial"/>
        </w:rPr>
        <w:t xml:space="preserve">Noting in particular ongoing work in regard to </w:t>
      </w:r>
      <w:r w:rsidR="000C32E5" w:rsidRPr="006F206F">
        <w:rPr>
          <w:rFonts w:cs="Arial"/>
        </w:rPr>
        <w:t>a</w:t>
      </w:r>
      <w:r w:rsidRPr="006F206F">
        <w:rPr>
          <w:rFonts w:cs="Arial"/>
        </w:rPr>
        <w:t xml:space="preserve"> GAC-GNSO Consultation Group on Early Engagement, the Working Group is invited</w:t>
      </w:r>
      <w:r w:rsidR="00A871AB">
        <w:rPr>
          <w:rFonts w:cs="Arial"/>
        </w:rPr>
        <w:t xml:space="preserve"> to</w:t>
      </w:r>
      <w:r w:rsidRPr="006F206F">
        <w:rPr>
          <w:rFonts w:cs="Arial"/>
        </w:rPr>
        <w:t xml:space="preserve"> </w:t>
      </w:r>
      <w:r w:rsidR="00D349D7" w:rsidRPr="006F206F">
        <w:rPr>
          <w:rFonts w:cs="Arial"/>
        </w:rPr>
        <w:t xml:space="preserve">reconsider the </w:t>
      </w:r>
      <w:r w:rsidRPr="006F206F">
        <w:rPr>
          <w:rFonts w:cs="Arial"/>
        </w:rPr>
        <w:t>policy recommendations</w:t>
      </w:r>
      <w:r w:rsidR="002B4DE5" w:rsidRPr="006F206F">
        <w:rPr>
          <w:rFonts w:cs="Arial"/>
        </w:rPr>
        <w:t xml:space="preserve"> in this Initial Report </w:t>
      </w:r>
      <w:r w:rsidR="00D349D7" w:rsidRPr="006F206F">
        <w:rPr>
          <w:rFonts w:cs="Arial"/>
        </w:rPr>
        <w:t xml:space="preserve">to more adequately account for </w:t>
      </w:r>
      <w:r w:rsidR="000C32E5" w:rsidRPr="006F206F">
        <w:rPr>
          <w:rFonts w:cs="Arial"/>
        </w:rPr>
        <w:t xml:space="preserve">GAC Advice </w:t>
      </w:r>
      <w:r w:rsidR="009F4D1D" w:rsidRPr="006F206F">
        <w:rPr>
          <w:rFonts w:cs="Arial"/>
        </w:rPr>
        <w:t>(</w:t>
      </w:r>
      <w:r w:rsidR="000A3277" w:rsidRPr="006F206F">
        <w:rPr>
          <w:rFonts w:cs="Arial"/>
        </w:rPr>
        <w:t xml:space="preserve">and </w:t>
      </w:r>
      <w:r w:rsidR="009F4D1D" w:rsidRPr="006F206F">
        <w:rPr>
          <w:rFonts w:cs="Arial"/>
        </w:rPr>
        <w:t xml:space="preserve">in particular requested </w:t>
      </w:r>
      <w:r w:rsidR="000A3277" w:rsidRPr="006F206F">
        <w:rPr>
          <w:rFonts w:cs="Arial"/>
        </w:rPr>
        <w:t>IGO input</w:t>
      </w:r>
      <w:r w:rsidR="009F4D1D" w:rsidRPr="006F206F">
        <w:rPr>
          <w:rFonts w:cs="Arial"/>
        </w:rPr>
        <w:t>)</w:t>
      </w:r>
      <w:r w:rsidRPr="006F206F">
        <w:rPr>
          <w:rFonts w:cs="Arial"/>
        </w:rPr>
        <w:t>.</w:t>
      </w:r>
      <w:r w:rsidR="00D349D7" w:rsidRPr="006F206F">
        <w:rPr>
          <w:rFonts w:cs="Arial"/>
        </w:rPr>
        <w:t xml:space="preserve">  Notably</w:t>
      </w:r>
      <w:r w:rsidR="006F206F">
        <w:rPr>
          <w:rFonts w:cs="Arial"/>
        </w:rPr>
        <w:t>,</w:t>
      </w:r>
      <w:r w:rsidR="00D349D7" w:rsidRPr="006F206F">
        <w:rPr>
          <w:rFonts w:cs="Arial"/>
        </w:rPr>
        <w:t xml:space="preserve"> this concerns the creation of a </w:t>
      </w:r>
      <w:r w:rsidR="000D7541">
        <w:rPr>
          <w:rFonts w:cs="Arial"/>
        </w:rPr>
        <w:t>standalone</w:t>
      </w:r>
      <w:r w:rsidR="00D349D7" w:rsidRPr="006F206F">
        <w:rPr>
          <w:rFonts w:cs="Arial"/>
        </w:rPr>
        <w:t xml:space="preserve"> dispute resolution mechanism, which adequately addresses jurisdictional concerns raised.</w:t>
      </w:r>
    </w:p>
    <w:p w14:paraId="313B4943" w14:textId="77777777" w:rsidR="008D574F" w:rsidRPr="006F206F" w:rsidRDefault="008D574F" w:rsidP="00CE1525">
      <w:pPr>
        <w:spacing w:after="0" w:line="240" w:lineRule="auto"/>
        <w:rPr>
          <w:rFonts w:cs="Arial"/>
        </w:rPr>
      </w:pPr>
    </w:p>
    <w:p w14:paraId="4A765878" w14:textId="77777777" w:rsidR="002F4EB2" w:rsidRDefault="000D7541" w:rsidP="00CE1525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Noting the importance of protecting IGOs’ beneficiaries from bad actors, w</w:t>
      </w:r>
      <w:r w:rsidR="002B4DE5">
        <w:rPr>
          <w:rFonts w:cs="Arial"/>
        </w:rPr>
        <w:t>e welcome the Working Group’s implementation of these observations</w:t>
      </w:r>
      <w:r w:rsidR="00913576">
        <w:rPr>
          <w:rFonts w:cs="Arial"/>
        </w:rPr>
        <w:t xml:space="preserve"> in revising the Recommendations of the IGO-</w:t>
      </w:r>
      <w:r w:rsidR="00913576" w:rsidRPr="00913576">
        <w:rPr>
          <w:rFonts w:cs="Arial"/>
        </w:rPr>
        <w:t xml:space="preserve">INGO Access to Curative Rights Protection Mechanisms </w:t>
      </w:r>
      <w:r w:rsidR="00913576">
        <w:rPr>
          <w:rFonts w:cs="Arial"/>
        </w:rPr>
        <w:t>Working Group</w:t>
      </w:r>
      <w:r w:rsidR="002F4EB2">
        <w:rPr>
          <w:rFonts w:cs="Arial"/>
        </w:rPr>
        <w:t>.</w:t>
      </w:r>
    </w:p>
    <w:p w14:paraId="392CD839" w14:textId="77777777" w:rsidR="002F4EB2" w:rsidRDefault="002F4EB2" w:rsidP="00CE1525">
      <w:pPr>
        <w:spacing w:after="0" w:line="240" w:lineRule="auto"/>
        <w:rPr>
          <w:rFonts w:cs="Arial"/>
        </w:rPr>
      </w:pPr>
    </w:p>
    <w:p w14:paraId="086FDA60" w14:textId="77777777" w:rsidR="002F4EB2" w:rsidRDefault="002F4EB2" w:rsidP="00CE1525">
      <w:pPr>
        <w:spacing w:after="0" w:line="240" w:lineRule="auto"/>
        <w:rPr>
          <w:rFonts w:cs="Arial"/>
        </w:rPr>
      </w:pPr>
      <w:r>
        <w:rPr>
          <w:rFonts w:cs="Arial"/>
        </w:rPr>
        <w:t>Submitted by and on behalf of the ICANN Governmental Advisory Committee</w:t>
      </w:r>
      <w:r w:rsidR="00A871AB">
        <w:rPr>
          <w:rFonts w:cs="Arial"/>
        </w:rPr>
        <w:t>,</w:t>
      </w:r>
      <w:r>
        <w:rPr>
          <w:rFonts w:cs="Arial"/>
        </w:rPr>
        <w:t xml:space="preserve"> </w:t>
      </w:r>
    </w:p>
    <w:p w14:paraId="46195C48" w14:textId="77777777" w:rsidR="000714FB" w:rsidRDefault="000714FB" w:rsidP="00CE1525">
      <w:pPr>
        <w:spacing w:after="0" w:line="240" w:lineRule="auto"/>
        <w:rPr>
          <w:rFonts w:cs="Arial"/>
        </w:rPr>
      </w:pPr>
    </w:p>
    <w:p w14:paraId="55F613F7" w14:textId="77777777" w:rsidR="000714FB" w:rsidRDefault="000714FB" w:rsidP="00CE1525">
      <w:pPr>
        <w:spacing w:after="0" w:line="240" w:lineRule="auto"/>
        <w:rPr>
          <w:rFonts w:cs="Arial"/>
        </w:rPr>
      </w:pPr>
      <w:r>
        <w:rPr>
          <w:rFonts w:cs="Arial"/>
        </w:rPr>
        <w:t>Thomas Schneider</w:t>
      </w:r>
    </w:p>
    <w:p w14:paraId="5C68D474" w14:textId="77777777" w:rsidR="002F4EB2" w:rsidRPr="002F4EB2" w:rsidRDefault="002F4EB2" w:rsidP="00CE1525">
      <w:pPr>
        <w:spacing w:after="0" w:line="240" w:lineRule="auto"/>
        <w:rPr>
          <w:rFonts w:cs="Arial"/>
        </w:rPr>
      </w:pPr>
      <w:r>
        <w:rPr>
          <w:rFonts w:cs="Arial"/>
        </w:rPr>
        <w:t xml:space="preserve">GAC Chair </w:t>
      </w:r>
    </w:p>
    <w:sectPr w:rsidR="002F4EB2" w:rsidRPr="002F4EB2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9055" w14:textId="77777777" w:rsidR="00DD0AFC" w:rsidRDefault="00DD0AFC" w:rsidP="006A1B06">
      <w:pPr>
        <w:spacing w:after="0" w:line="240" w:lineRule="auto"/>
      </w:pPr>
      <w:r>
        <w:separator/>
      </w:r>
    </w:p>
  </w:endnote>
  <w:endnote w:type="continuationSeparator" w:id="0">
    <w:p w14:paraId="172C8F28" w14:textId="77777777" w:rsidR="00DD0AFC" w:rsidRDefault="00DD0AFC" w:rsidP="006A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B4B4B" w14:textId="77777777" w:rsidR="00DD0AFC" w:rsidRDefault="00DD0AFC" w:rsidP="006A1B06">
      <w:pPr>
        <w:spacing w:after="0" w:line="240" w:lineRule="auto"/>
      </w:pPr>
      <w:r>
        <w:separator/>
      </w:r>
    </w:p>
  </w:footnote>
  <w:footnote w:type="continuationSeparator" w:id="0">
    <w:p w14:paraId="15538D71" w14:textId="77777777" w:rsidR="00DD0AFC" w:rsidRDefault="00DD0AFC" w:rsidP="006A1B06">
      <w:pPr>
        <w:spacing w:after="0" w:line="240" w:lineRule="auto"/>
      </w:pPr>
      <w:r>
        <w:continuationSeparator/>
      </w:r>
    </w:p>
  </w:footnote>
  <w:footnote w:id="1">
    <w:p w14:paraId="44B48639" w14:textId="77777777" w:rsidR="00D05839" w:rsidRDefault="008D30C4" w:rsidP="00D05839">
      <w:pPr>
        <w:pStyle w:val="FootnoteText"/>
        <w:spacing w:after="0" w:line="240" w:lineRule="auto"/>
      </w:pPr>
      <w:r w:rsidRPr="008B7DBC">
        <w:rPr>
          <w:rStyle w:val="FootnoteReference"/>
        </w:rPr>
        <w:footnoteRef/>
      </w:r>
      <w:r w:rsidRPr="008B7DBC">
        <w:t xml:space="preserve"> Given the </w:t>
      </w:r>
      <w:r>
        <w:t xml:space="preserve">narrow </w:t>
      </w:r>
      <w:r w:rsidRPr="008B7DBC">
        <w:t>remit of the IGO-INGO Access to Curative Rights Protection Mechanisms Working Group, the present submission does not address still operative GAC Advice concerning (a) a procedure to notify IGOs of third-party registration of their acronyms, and (b) an emergency relief (e.g., 24-48 hours) domain name suspension mechanism to combat risk of imminent harm</w:t>
      </w:r>
      <w:r w:rsidR="006162F4">
        <w:t xml:space="preserve"> – both of which form integral parts of a more holistic suite of protection sought</w:t>
      </w:r>
      <w:r w:rsidRPr="008B7DBC">
        <w:t>.</w:t>
      </w:r>
    </w:p>
    <w:p w14:paraId="5C8E2115" w14:textId="77777777" w:rsidR="00587DD5" w:rsidRPr="008B7DBC" w:rsidRDefault="00587DD5" w:rsidP="00D05839">
      <w:pPr>
        <w:pStyle w:val="FootnoteText"/>
        <w:spacing w:after="0" w:line="240" w:lineRule="auto"/>
      </w:pPr>
    </w:p>
  </w:footnote>
  <w:footnote w:id="2">
    <w:p w14:paraId="5397FD71" w14:textId="77777777" w:rsidR="009256C4" w:rsidRPr="00370C13" w:rsidRDefault="009256C4" w:rsidP="009256C4">
      <w:pPr>
        <w:pStyle w:val="FootnoteText"/>
      </w:pPr>
      <w:r>
        <w:rPr>
          <w:rStyle w:val="FootnoteReference"/>
        </w:rPr>
        <w:footnoteRef/>
      </w:r>
      <w:r>
        <w:t xml:space="preserve"> We note that the GAC </w:t>
      </w:r>
      <w:r w:rsidR="001A5A05">
        <w:t xml:space="preserve">would be </w:t>
      </w:r>
      <w:r>
        <w:t>unable to reach</w:t>
      </w:r>
      <w:r w:rsidR="003C42E9">
        <w:t xml:space="preserve"> </w:t>
      </w:r>
      <w:r>
        <w:t>consensus that, as set forth in this Recommendation #2, Article 6</w:t>
      </w:r>
      <w:r>
        <w:rPr>
          <w:i/>
        </w:rPr>
        <w:t xml:space="preserve">ter </w:t>
      </w:r>
      <w:r>
        <w:t>of the Paris Convention is a basis for standing to file a complaint under the UDRP/URS</w:t>
      </w:r>
      <w:r w:rsidR="002B4DE5">
        <w:t>.  T</w:t>
      </w:r>
      <w:r>
        <w:t xml:space="preserve">he GAC does not believe that </w:t>
      </w:r>
      <w:r w:rsidR="00265C78">
        <w:t xml:space="preserve">agreement on </w:t>
      </w:r>
      <w:r w:rsidR="003C42E9">
        <w:t xml:space="preserve">this </w:t>
      </w:r>
      <w:r w:rsidR="00122D20">
        <w:t>specific</w:t>
      </w:r>
      <w:r w:rsidR="003C42E9">
        <w:t xml:space="preserve"> point is necessary</w:t>
      </w:r>
      <w:r w:rsidR="002B4DE5">
        <w:t>, however,</w:t>
      </w:r>
      <w:r w:rsidR="003C42E9">
        <w:t xml:space="preserve"> </w:t>
      </w:r>
      <w:r>
        <w:t xml:space="preserve">to implement the small group compromise proposal.  </w:t>
      </w:r>
    </w:p>
  </w:footnote>
  <w:footnote w:id="3">
    <w:p w14:paraId="08E2B797" w14:textId="77777777" w:rsidR="00A871AB" w:rsidRDefault="00A871AB" w:rsidP="00A871AB">
      <w:pPr>
        <w:pStyle w:val="FootnoteText"/>
      </w:pPr>
      <w:r>
        <w:rPr>
          <w:rStyle w:val="FootnoteReference"/>
        </w:rPr>
        <w:footnoteRef/>
      </w:r>
      <w:r>
        <w:t xml:space="preserve"> Article 6</w:t>
      </w:r>
      <w:r w:rsidRPr="008722ED">
        <w:rPr>
          <w:i/>
        </w:rPr>
        <w:t>ter</w:t>
      </w:r>
      <w:r>
        <w:t xml:space="preserve"> 1(c) provides, in relevant part: “The countries of the Union shall not be required to apply the said provisions when the use or registration…is not of such a nature as to suggest to the public that a connection exists between the organization concerned and the armorial bearings, flags, emblems, abbreviations, and names, or if such use or registration is probably not of such a nature as to mislead the public as to the existence of a connection between the user and the organization.</w:t>
      </w:r>
      <w:r w:rsidR="00DC463D">
        <w:t>”</w:t>
      </w:r>
      <w:r>
        <w:t xml:space="preserve">  </w:t>
      </w:r>
    </w:p>
  </w:footnote>
  <w:footnote w:id="4">
    <w:p w14:paraId="7CA9BFAB" w14:textId="77777777" w:rsidR="00587DD5" w:rsidRDefault="00D05839" w:rsidP="00D05839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D05839">
        <w:t>Immunity from national court jurisdiction is a distinguishing characteristic of IGOs which allows them to independently carry out their public policy mandates.</w:t>
      </w:r>
      <w:r w:rsidR="008C70C3">
        <w:t xml:space="preserve">  </w:t>
      </w:r>
    </w:p>
    <w:p w14:paraId="172AFC95" w14:textId="77777777" w:rsidR="00587DD5" w:rsidRDefault="00587DD5" w:rsidP="00D05839">
      <w:pPr>
        <w:pStyle w:val="FootnoteText"/>
        <w:spacing w:after="0" w:line="240" w:lineRule="auto"/>
      </w:pPr>
    </w:p>
    <w:p w14:paraId="6728A489" w14:textId="77777777" w:rsidR="00587DD5" w:rsidRDefault="008C70C3" w:rsidP="00D05839">
      <w:pPr>
        <w:pStyle w:val="FootnoteText"/>
        <w:spacing w:after="0" w:line="240" w:lineRule="auto"/>
      </w:pPr>
      <w:r>
        <w:t>See in particular the attached Memorand</w:t>
      </w:r>
      <w:r w:rsidR="00B35FBE">
        <w:t>um</w:t>
      </w:r>
      <w:r>
        <w:t xml:space="preserve"> dated October 31, 2016 from Legal Counsel</w:t>
      </w:r>
      <w:r w:rsidR="00A871AB">
        <w:t>s</w:t>
      </w:r>
      <w:r>
        <w:t xml:space="preserve"> of IGOs to the GNSO.  </w:t>
      </w:r>
    </w:p>
    <w:p w14:paraId="1D3D15C1" w14:textId="77777777" w:rsidR="00587DD5" w:rsidRDefault="00587DD5" w:rsidP="00D05839">
      <w:pPr>
        <w:pStyle w:val="FootnoteText"/>
        <w:spacing w:after="0" w:line="240" w:lineRule="auto"/>
      </w:pPr>
    </w:p>
    <w:p w14:paraId="4B785BDD" w14:textId="77777777" w:rsidR="00D05839" w:rsidRDefault="008C70C3" w:rsidP="00D05839">
      <w:pPr>
        <w:pStyle w:val="FootnoteText"/>
        <w:spacing w:after="0" w:line="240" w:lineRule="auto"/>
      </w:pPr>
      <w:r>
        <w:t xml:space="preserve">See also the attached </w:t>
      </w:r>
      <w:r w:rsidRPr="007F18AA">
        <w:rPr>
          <w:i/>
        </w:rPr>
        <w:t>IGO small</w:t>
      </w:r>
      <w:r w:rsidR="006162F4">
        <w:rPr>
          <w:i/>
        </w:rPr>
        <w:t>-</w:t>
      </w:r>
      <w:r w:rsidRPr="007F18AA">
        <w:rPr>
          <w:i/>
        </w:rPr>
        <w:t>group response to the GNSO PDP Working Group questions</w:t>
      </w:r>
      <w:r>
        <w:t xml:space="preserve"> dated January 16, 2015.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3728B1"/>
    <w:multiLevelType w:val="hybridMultilevel"/>
    <w:tmpl w:val="890E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thony, Susan">
    <w15:presenceInfo w15:providerId="AD" w15:userId="S-1-5-21-185489447-88882503-980507067-1244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A"/>
    <w:rsid w:val="000714FB"/>
    <w:rsid w:val="000825E3"/>
    <w:rsid w:val="000A3277"/>
    <w:rsid w:val="000C32E5"/>
    <w:rsid w:val="000D7541"/>
    <w:rsid w:val="000E0E70"/>
    <w:rsid w:val="000F5E56"/>
    <w:rsid w:val="00122D20"/>
    <w:rsid w:val="00157A41"/>
    <w:rsid w:val="00185533"/>
    <w:rsid w:val="001A5A05"/>
    <w:rsid w:val="001E2067"/>
    <w:rsid w:val="00207097"/>
    <w:rsid w:val="00236B2B"/>
    <w:rsid w:val="00250096"/>
    <w:rsid w:val="00265C78"/>
    <w:rsid w:val="00295B37"/>
    <w:rsid w:val="002B4DE5"/>
    <w:rsid w:val="002F2809"/>
    <w:rsid w:val="002F4EB2"/>
    <w:rsid w:val="00312A9F"/>
    <w:rsid w:val="00336A67"/>
    <w:rsid w:val="00370C13"/>
    <w:rsid w:val="003941AF"/>
    <w:rsid w:val="003B481A"/>
    <w:rsid w:val="003B5065"/>
    <w:rsid w:val="003C42E9"/>
    <w:rsid w:val="003E2481"/>
    <w:rsid w:val="00431118"/>
    <w:rsid w:val="00446410"/>
    <w:rsid w:val="00497DCF"/>
    <w:rsid w:val="004C4C65"/>
    <w:rsid w:val="004C7E69"/>
    <w:rsid w:val="004D030E"/>
    <w:rsid w:val="004D4B09"/>
    <w:rsid w:val="004E5A81"/>
    <w:rsid w:val="004F44CD"/>
    <w:rsid w:val="004F6677"/>
    <w:rsid w:val="00512436"/>
    <w:rsid w:val="00587DD5"/>
    <w:rsid w:val="00593D84"/>
    <w:rsid w:val="005B3639"/>
    <w:rsid w:val="005C37EE"/>
    <w:rsid w:val="005D776D"/>
    <w:rsid w:val="005F0FB2"/>
    <w:rsid w:val="00603526"/>
    <w:rsid w:val="006162F4"/>
    <w:rsid w:val="00647CA2"/>
    <w:rsid w:val="00665193"/>
    <w:rsid w:val="00691FDD"/>
    <w:rsid w:val="006A1B06"/>
    <w:rsid w:val="006C6E31"/>
    <w:rsid w:val="006F206F"/>
    <w:rsid w:val="00707332"/>
    <w:rsid w:val="007116E9"/>
    <w:rsid w:val="00777F09"/>
    <w:rsid w:val="007830D4"/>
    <w:rsid w:val="007B240C"/>
    <w:rsid w:val="007D53C7"/>
    <w:rsid w:val="007F18AA"/>
    <w:rsid w:val="00804DB7"/>
    <w:rsid w:val="008234F2"/>
    <w:rsid w:val="00827385"/>
    <w:rsid w:val="00834D5F"/>
    <w:rsid w:val="008B7DBC"/>
    <w:rsid w:val="008C70C3"/>
    <w:rsid w:val="008D30C4"/>
    <w:rsid w:val="008D574F"/>
    <w:rsid w:val="008F130F"/>
    <w:rsid w:val="00913576"/>
    <w:rsid w:val="00913C4B"/>
    <w:rsid w:val="009256C4"/>
    <w:rsid w:val="009B0C3D"/>
    <w:rsid w:val="009B419A"/>
    <w:rsid w:val="009F4D1D"/>
    <w:rsid w:val="00A72E99"/>
    <w:rsid w:val="00A871AB"/>
    <w:rsid w:val="00B35FBE"/>
    <w:rsid w:val="00B662C8"/>
    <w:rsid w:val="00B70400"/>
    <w:rsid w:val="00BC267A"/>
    <w:rsid w:val="00C13182"/>
    <w:rsid w:val="00C554EC"/>
    <w:rsid w:val="00CD1B35"/>
    <w:rsid w:val="00CE1525"/>
    <w:rsid w:val="00CE1B4E"/>
    <w:rsid w:val="00CE5ED3"/>
    <w:rsid w:val="00D05139"/>
    <w:rsid w:val="00D05839"/>
    <w:rsid w:val="00D349D7"/>
    <w:rsid w:val="00D55840"/>
    <w:rsid w:val="00D72C54"/>
    <w:rsid w:val="00DB730E"/>
    <w:rsid w:val="00DC463D"/>
    <w:rsid w:val="00DD0AFC"/>
    <w:rsid w:val="00E04F52"/>
    <w:rsid w:val="00E121BA"/>
    <w:rsid w:val="00E14EA2"/>
    <w:rsid w:val="00E3754C"/>
    <w:rsid w:val="00E37C12"/>
    <w:rsid w:val="00E66746"/>
    <w:rsid w:val="00EB452B"/>
    <w:rsid w:val="00F015CC"/>
    <w:rsid w:val="00F26242"/>
    <w:rsid w:val="00F3692F"/>
    <w:rsid w:val="00F66A4A"/>
    <w:rsid w:val="00F73A0A"/>
    <w:rsid w:val="00F96191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38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DateWorkingDocument">
    <w:name w:val="DateWorkingDocument"/>
    <w:basedOn w:val="Normal"/>
    <w:uiPriority w:val="99"/>
    <w:rsid w:val="009B419A"/>
    <w:pPr>
      <w:spacing w:after="0" w:line="240" w:lineRule="auto"/>
      <w:ind w:left="5534"/>
    </w:pPr>
    <w:rPr>
      <w:rFonts w:ascii="Arial" w:eastAsia="Times New Roman" w:hAnsi="Arial" w:cs="Arial"/>
      <w:color w:val="FF0000"/>
      <w:sz w:val="20"/>
      <w:szCs w:val="20"/>
    </w:rPr>
  </w:style>
  <w:style w:type="character" w:styleId="FootnoteReference">
    <w:name w:val="footnote reference"/>
    <w:basedOn w:val="DefaultParagraphFont"/>
    <w:rsid w:val="006A1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4E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130F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58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84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84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5584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Revision">
    <w:name w:val="Revision"/>
    <w:hidden/>
    <w:uiPriority w:val="99"/>
    <w:semiHidden/>
    <w:rsid w:val="00A871A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DateWorkingDocument">
    <w:name w:val="DateWorkingDocument"/>
    <w:basedOn w:val="Normal"/>
    <w:uiPriority w:val="99"/>
    <w:rsid w:val="009B419A"/>
    <w:pPr>
      <w:spacing w:after="0" w:line="240" w:lineRule="auto"/>
      <w:ind w:left="5534"/>
    </w:pPr>
    <w:rPr>
      <w:rFonts w:ascii="Arial" w:eastAsia="Times New Roman" w:hAnsi="Arial" w:cs="Arial"/>
      <w:color w:val="FF0000"/>
      <w:sz w:val="20"/>
      <w:szCs w:val="20"/>
    </w:rPr>
  </w:style>
  <w:style w:type="character" w:styleId="FootnoteReference">
    <w:name w:val="footnote reference"/>
    <w:basedOn w:val="DefaultParagraphFont"/>
    <w:rsid w:val="006A1B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4EB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130F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5584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84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84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5584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Revision">
    <w:name w:val="Revision"/>
    <w:hidden/>
    <w:uiPriority w:val="99"/>
    <w:semiHidden/>
    <w:rsid w:val="00A871A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B691-4A3C-004D-A9EA-226BD7E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Heineman, Ashley</dc:creator>
  <cp:lastModifiedBy>Thomas Dale</cp:lastModifiedBy>
  <cp:revision>3</cp:revision>
  <cp:lastPrinted>2017-02-21T16:03:00Z</cp:lastPrinted>
  <dcterms:created xsi:type="dcterms:W3CDTF">2017-03-12T18:02:00Z</dcterms:created>
  <dcterms:modified xsi:type="dcterms:W3CDTF">2017-03-12T18:02:00Z</dcterms:modified>
</cp:coreProperties>
</file>