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19C" w:rsidRPr="00D54B15" w:rsidRDefault="00C4619C" w:rsidP="00136B06">
      <w:pPr>
        <w:rPr>
          <w:rFonts w:ascii="Arial" w:hAnsi="Arial" w:cs="Arial"/>
          <w:b/>
          <w:bCs/>
          <w:i/>
          <w:iCs/>
          <w:lang w:val="en-US"/>
        </w:rPr>
      </w:pPr>
      <w:r w:rsidRPr="00D54B15">
        <w:rPr>
          <w:rFonts w:ascii="Arial" w:hAnsi="Arial" w:cs="Arial"/>
          <w:b/>
          <w:bCs/>
          <w:i/>
          <w:iCs/>
          <w:lang w:val="en-US"/>
        </w:rPr>
        <w:t>Comments on “Preliminary issue report on New gTLD subsequent procedures</w:t>
      </w:r>
      <w:r>
        <w:rPr>
          <w:rFonts w:ascii="Arial" w:hAnsi="Arial" w:cs="Arial"/>
          <w:b/>
          <w:bCs/>
          <w:i/>
          <w:iCs/>
          <w:lang w:val="en-US"/>
        </w:rPr>
        <w:t>”</w:t>
      </w:r>
    </w:p>
    <w:p w:rsidR="00C4619C" w:rsidRPr="00D54B15" w:rsidRDefault="00C4619C" w:rsidP="00136B06">
      <w:pPr>
        <w:rPr>
          <w:rFonts w:ascii="Arial" w:hAnsi="Arial" w:cs="Arial"/>
          <w:lang w:val="en-US"/>
        </w:rPr>
      </w:pPr>
    </w:p>
    <w:p w:rsidR="00C4619C" w:rsidRDefault="00C4619C" w:rsidP="00136B06">
      <w:pPr>
        <w:rPr>
          <w:rFonts w:ascii="Arial" w:hAnsi="Arial" w:cs="Arial"/>
          <w:lang w:val="en-US"/>
        </w:rPr>
      </w:pPr>
      <w:r>
        <w:rPr>
          <w:rFonts w:ascii="Arial" w:hAnsi="Arial" w:cs="Arial"/>
          <w:lang w:val="en-US"/>
        </w:rPr>
        <w:t xml:space="preserve">This document is presented by the </w:t>
      </w:r>
      <w:r w:rsidRPr="00D54B15">
        <w:rPr>
          <w:rFonts w:ascii="Arial" w:hAnsi="Arial" w:cs="Arial"/>
          <w:lang w:val="en-US"/>
        </w:rPr>
        <w:t>Governments of Peru, Uruguay, Venezuela, Paraguay and Argentina</w:t>
      </w:r>
      <w:r>
        <w:rPr>
          <w:rFonts w:ascii="Arial" w:hAnsi="Arial" w:cs="Arial"/>
          <w:lang w:val="en-US"/>
        </w:rPr>
        <w:t>.</w:t>
      </w:r>
    </w:p>
    <w:p w:rsidR="00C4619C" w:rsidRDefault="00C4619C" w:rsidP="00136B06">
      <w:pPr>
        <w:rPr>
          <w:rFonts w:ascii="Arial" w:hAnsi="Arial" w:cs="Arial"/>
          <w:lang w:val="en-US"/>
        </w:rPr>
      </w:pPr>
    </w:p>
    <w:p w:rsidR="00C4619C" w:rsidRDefault="00C4619C" w:rsidP="00136B06">
      <w:pPr>
        <w:rPr>
          <w:rFonts w:ascii="Arial" w:hAnsi="Arial" w:cs="Arial"/>
          <w:lang w:val="en-US"/>
        </w:rPr>
      </w:pPr>
    </w:p>
    <w:p w:rsidR="00C4619C" w:rsidRPr="003409C0" w:rsidRDefault="00C4619C" w:rsidP="003409C0">
      <w:pPr>
        <w:pStyle w:val="BodyText"/>
        <w:ind w:right="545"/>
        <w:rPr>
          <w:rFonts w:ascii="Arial" w:hAnsi="Arial" w:cs="Arial"/>
          <w:sz w:val="24"/>
          <w:szCs w:val="24"/>
        </w:rPr>
      </w:pPr>
      <w:r w:rsidRPr="003409C0">
        <w:rPr>
          <w:rFonts w:ascii="Arial" w:hAnsi="Arial" w:cs="Arial"/>
          <w:sz w:val="24"/>
          <w:szCs w:val="24"/>
        </w:rPr>
        <w:t>Considering that the lists of names</w:t>
      </w:r>
      <w:r>
        <w:rPr>
          <w:rFonts w:ascii="Arial" w:hAnsi="Arial" w:cs="Arial"/>
          <w:sz w:val="24"/>
          <w:szCs w:val="24"/>
        </w:rPr>
        <w:t xml:space="preserve"> that were not be eligible for new gTLDs</w:t>
      </w:r>
      <w:r w:rsidRPr="003409C0">
        <w:rPr>
          <w:rFonts w:ascii="Arial" w:hAnsi="Arial" w:cs="Arial"/>
          <w:sz w:val="24"/>
          <w:szCs w:val="24"/>
        </w:rPr>
        <w:t xml:space="preserve"> </w:t>
      </w:r>
      <w:r>
        <w:rPr>
          <w:rFonts w:ascii="Arial" w:hAnsi="Arial" w:cs="Arial"/>
          <w:sz w:val="24"/>
          <w:szCs w:val="24"/>
        </w:rPr>
        <w:t>in</w:t>
      </w:r>
      <w:r w:rsidRPr="003409C0">
        <w:rPr>
          <w:rFonts w:ascii="Arial" w:hAnsi="Arial" w:cs="Arial"/>
          <w:sz w:val="24"/>
          <w:szCs w:val="24"/>
        </w:rPr>
        <w:t xml:space="preserve"> the Applicant Guide Book (AGB) for </w:t>
      </w:r>
      <w:r>
        <w:rPr>
          <w:rFonts w:ascii="Arial" w:hAnsi="Arial" w:cs="Arial"/>
          <w:sz w:val="24"/>
          <w:szCs w:val="24"/>
        </w:rPr>
        <w:t>the first round of new gTLDs were</w:t>
      </w:r>
      <w:r w:rsidRPr="003409C0">
        <w:rPr>
          <w:rFonts w:ascii="Arial" w:hAnsi="Arial" w:cs="Arial"/>
          <w:sz w:val="24"/>
          <w:szCs w:val="24"/>
        </w:rPr>
        <w:t xml:space="preserve"> not enough to avoid conflicts, these actions and ideas described in this document should be considered by ICANN staff and those SO and AC involved in the definition of the rules for the next round of new gTLDs.</w:t>
      </w:r>
    </w:p>
    <w:p w:rsidR="00C4619C" w:rsidRPr="003409C0" w:rsidRDefault="00C4619C">
      <w:pPr>
        <w:rPr>
          <w:rFonts w:ascii="Arial" w:hAnsi="Arial" w:cs="Arial"/>
          <w:lang w:val="en-AU"/>
        </w:rPr>
      </w:pPr>
    </w:p>
    <w:p w:rsidR="00C4619C" w:rsidRPr="00C86553" w:rsidRDefault="00C4619C">
      <w:pPr>
        <w:rPr>
          <w:rFonts w:ascii="Arial" w:hAnsi="Arial" w:cs="Arial"/>
          <w:lang w:val="en-US"/>
        </w:rPr>
      </w:pPr>
      <w:r>
        <w:rPr>
          <w:rFonts w:ascii="Arial" w:hAnsi="Arial" w:cs="Arial"/>
          <w:lang w:val="en-US"/>
        </w:rPr>
        <w:t>The objectives of these proposed actions and ideas are:</w:t>
      </w:r>
    </w:p>
    <w:p w:rsidR="00C4619C" w:rsidRPr="00C86553" w:rsidRDefault="00C4619C">
      <w:pPr>
        <w:rPr>
          <w:rFonts w:ascii="Arial" w:hAnsi="Arial" w:cs="Arial"/>
          <w:lang w:val="en-US"/>
        </w:rPr>
      </w:pPr>
    </w:p>
    <w:p w:rsidR="00C4619C" w:rsidRPr="003409C0" w:rsidRDefault="00C4619C" w:rsidP="003409C0">
      <w:pPr>
        <w:pStyle w:val="BodyText"/>
        <w:numPr>
          <w:ilvl w:val="0"/>
          <w:numId w:val="1"/>
        </w:numPr>
        <w:ind w:right="545"/>
        <w:rPr>
          <w:rFonts w:ascii="Arial" w:hAnsi="Arial" w:cs="Arial"/>
          <w:sz w:val="24"/>
          <w:szCs w:val="24"/>
        </w:rPr>
      </w:pPr>
      <w:r w:rsidRPr="003409C0">
        <w:rPr>
          <w:rFonts w:ascii="Arial" w:hAnsi="Arial" w:cs="Arial"/>
          <w:sz w:val="24"/>
          <w:szCs w:val="24"/>
        </w:rPr>
        <w:t>Lower uncertainty for the applicant, for countries, regions and communities.</w:t>
      </w:r>
    </w:p>
    <w:p w:rsidR="00C4619C" w:rsidRPr="003409C0" w:rsidRDefault="00C4619C" w:rsidP="003409C0">
      <w:pPr>
        <w:pStyle w:val="BodyText"/>
        <w:numPr>
          <w:ilvl w:val="0"/>
          <w:numId w:val="1"/>
        </w:numPr>
        <w:ind w:right="545"/>
        <w:rPr>
          <w:rFonts w:ascii="Arial" w:hAnsi="Arial" w:cs="Arial"/>
          <w:sz w:val="24"/>
          <w:szCs w:val="24"/>
        </w:rPr>
      </w:pPr>
      <w:r w:rsidRPr="003409C0">
        <w:rPr>
          <w:rFonts w:ascii="Arial" w:hAnsi="Arial" w:cs="Arial"/>
          <w:sz w:val="24"/>
          <w:szCs w:val="24"/>
        </w:rPr>
        <w:t>Prevent / Avoid misuse of names which are relevant for communities, regions, countries, etc.</w:t>
      </w:r>
    </w:p>
    <w:p w:rsidR="00C4619C" w:rsidRPr="003409C0" w:rsidRDefault="00C4619C" w:rsidP="003409C0">
      <w:pPr>
        <w:pStyle w:val="BodyText"/>
        <w:numPr>
          <w:ilvl w:val="0"/>
          <w:numId w:val="1"/>
        </w:numPr>
        <w:ind w:right="545"/>
        <w:rPr>
          <w:rFonts w:ascii="Arial" w:hAnsi="Arial" w:cs="Arial"/>
          <w:sz w:val="24"/>
          <w:szCs w:val="24"/>
        </w:rPr>
      </w:pPr>
      <w:r w:rsidRPr="003409C0">
        <w:rPr>
          <w:rFonts w:ascii="Arial" w:hAnsi="Arial" w:cs="Arial"/>
          <w:sz w:val="24"/>
          <w:szCs w:val="24"/>
        </w:rPr>
        <w:t>Lower the conflicts once the results of new round of new gTLDs will be announced.</w:t>
      </w:r>
    </w:p>
    <w:p w:rsidR="00C4619C" w:rsidRPr="00C86553" w:rsidRDefault="00C4619C">
      <w:pPr>
        <w:rPr>
          <w:rFonts w:ascii="Arial" w:hAnsi="Arial" w:cs="Arial"/>
          <w:lang w:val="en-US"/>
        </w:rPr>
      </w:pPr>
    </w:p>
    <w:p w:rsidR="00C4619C" w:rsidRPr="004F5D2E" w:rsidRDefault="00C4619C">
      <w:pPr>
        <w:rPr>
          <w:rFonts w:ascii="Arial" w:hAnsi="Arial" w:cs="Arial"/>
          <w:b/>
          <w:bCs/>
          <w:lang w:val="en-US"/>
        </w:rPr>
      </w:pPr>
      <w:r w:rsidRPr="004F5D2E">
        <w:rPr>
          <w:rFonts w:ascii="Arial" w:hAnsi="Arial" w:cs="Arial"/>
          <w:b/>
          <w:bCs/>
          <w:lang w:val="en-US"/>
        </w:rPr>
        <w:t>Proposed actions and ideas:</w:t>
      </w:r>
    </w:p>
    <w:p w:rsidR="00C4619C" w:rsidRPr="00C86553" w:rsidRDefault="00C4619C">
      <w:pPr>
        <w:rPr>
          <w:rFonts w:ascii="Arial" w:hAnsi="Arial" w:cs="Arial"/>
          <w:lang w:val="en-US"/>
        </w:rPr>
      </w:pPr>
    </w:p>
    <w:p w:rsidR="00C4619C" w:rsidRPr="00D54B15" w:rsidRDefault="00C4619C" w:rsidP="00D54B15">
      <w:pPr>
        <w:pStyle w:val="BodyText"/>
        <w:numPr>
          <w:ilvl w:val="0"/>
          <w:numId w:val="10"/>
        </w:numPr>
        <w:ind w:right="545"/>
        <w:rPr>
          <w:rFonts w:ascii="Arial" w:hAnsi="Arial" w:cs="Arial"/>
          <w:b/>
          <w:bCs/>
          <w:sz w:val="24"/>
          <w:szCs w:val="24"/>
        </w:rPr>
      </w:pPr>
      <w:r w:rsidRPr="00D54B15">
        <w:rPr>
          <w:rFonts w:ascii="Arial" w:hAnsi="Arial" w:cs="Arial"/>
          <w:b/>
          <w:bCs/>
          <w:sz w:val="24"/>
          <w:szCs w:val="24"/>
        </w:rPr>
        <w:t>Find ways of enforcing in the rules of the second round of new gTLDs the GAC principles  for new gTLDs agreed in 2007:</w:t>
      </w:r>
    </w:p>
    <w:p w:rsidR="00C4619C" w:rsidRPr="004821A9" w:rsidRDefault="00C4619C" w:rsidP="00EE0CDD">
      <w:pPr>
        <w:pStyle w:val="BodyText"/>
        <w:numPr>
          <w:ilvl w:val="0"/>
          <w:numId w:val="1"/>
        </w:numPr>
        <w:ind w:right="545"/>
        <w:rPr>
          <w:rFonts w:ascii="Arial" w:hAnsi="Arial" w:cs="Arial"/>
          <w:sz w:val="24"/>
          <w:szCs w:val="24"/>
        </w:rPr>
      </w:pPr>
      <w:r w:rsidRPr="004821A9">
        <w:rPr>
          <w:rFonts w:ascii="Arial" w:hAnsi="Arial" w:cs="Arial"/>
          <w:sz w:val="24"/>
          <w:szCs w:val="24"/>
        </w:rPr>
        <w:t>New gTLDs should respect national sensitivities regarding terms with national, cultural, geogra</w:t>
      </w:r>
      <w:r>
        <w:rPr>
          <w:rFonts w:ascii="Arial" w:hAnsi="Arial" w:cs="Arial"/>
          <w:sz w:val="24"/>
          <w:szCs w:val="24"/>
        </w:rPr>
        <w:t>phic and religious significance.</w:t>
      </w:r>
    </w:p>
    <w:p w:rsidR="00C4619C" w:rsidRPr="004821A9" w:rsidRDefault="00C4619C" w:rsidP="00EE0CDD">
      <w:pPr>
        <w:pStyle w:val="BodyText"/>
        <w:numPr>
          <w:ilvl w:val="0"/>
          <w:numId w:val="1"/>
        </w:numPr>
        <w:ind w:right="545"/>
        <w:rPr>
          <w:rFonts w:ascii="Arial" w:hAnsi="Arial" w:cs="Arial"/>
          <w:sz w:val="24"/>
          <w:szCs w:val="24"/>
        </w:rPr>
      </w:pPr>
      <w:r w:rsidRPr="004821A9">
        <w:rPr>
          <w:rFonts w:ascii="Arial" w:hAnsi="Arial" w:cs="Arial"/>
          <w:sz w:val="24"/>
          <w:szCs w:val="24"/>
        </w:rPr>
        <w:t>New gTLDs should not prejudice the application of the pr</w:t>
      </w:r>
      <w:r>
        <w:rPr>
          <w:rFonts w:ascii="Arial" w:hAnsi="Arial" w:cs="Arial"/>
          <w:sz w:val="24"/>
          <w:szCs w:val="24"/>
        </w:rPr>
        <w:t>inciple of national sovereignty.</w:t>
      </w:r>
    </w:p>
    <w:p w:rsidR="00C4619C" w:rsidRPr="004821A9" w:rsidRDefault="00C4619C" w:rsidP="00EE0CDD">
      <w:pPr>
        <w:pStyle w:val="BodyText"/>
        <w:numPr>
          <w:ilvl w:val="0"/>
          <w:numId w:val="1"/>
        </w:numPr>
        <w:ind w:right="545"/>
        <w:rPr>
          <w:rFonts w:ascii="Arial" w:hAnsi="Arial" w:cs="Arial"/>
          <w:sz w:val="24"/>
          <w:szCs w:val="24"/>
        </w:rPr>
      </w:pPr>
      <w:r w:rsidRPr="004821A9">
        <w:rPr>
          <w:rFonts w:ascii="Arial" w:hAnsi="Arial" w:cs="Arial"/>
          <w:sz w:val="24"/>
          <w:szCs w:val="24"/>
        </w:rPr>
        <w:t>Internet naming system is a public resource and it must be administered in the public and common interest.</w:t>
      </w:r>
    </w:p>
    <w:p w:rsidR="00C4619C" w:rsidRDefault="00C4619C" w:rsidP="00EE0CDD">
      <w:pPr>
        <w:pStyle w:val="BodyText"/>
        <w:numPr>
          <w:ilvl w:val="0"/>
          <w:numId w:val="1"/>
        </w:numPr>
        <w:ind w:right="545"/>
        <w:rPr>
          <w:rFonts w:ascii="Arial" w:hAnsi="Arial" w:cs="Arial"/>
          <w:sz w:val="24"/>
          <w:szCs w:val="24"/>
        </w:rPr>
      </w:pPr>
      <w:r w:rsidRPr="004821A9">
        <w:rPr>
          <w:rFonts w:ascii="Arial" w:hAnsi="Arial" w:cs="Arial"/>
          <w:sz w:val="24"/>
          <w:szCs w:val="24"/>
        </w:rPr>
        <w:t>ICANN should avoid country, territory or place names, and country, territory or regional language or people descriptions, unless in agreement with the relevant go</w:t>
      </w:r>
      <w:r>
        <w:rPr>
          <w:rFonts w:ascii="Arial" w:hAnsi="Arial" w:cs="Arial"/>
          <w:sz w:val="24"/>
          <w:szCs w:val="24"/>
        </w:rPr>
        <w:t>vernments or public authorities.</w:t>
      </w:r>
    </w:p>
    <w:p w:rsidR="00C4619C" w:rsidRPr="004821A9" w:rsidRDefault="00C4619C" w:rsidP="003409C0">
      <w:pPr>
        <w:pStyle w:val="BodyText"/>
        <w:ind w:left="708" w:right="545"/>
        <w:rPr>
          <w:rFonts w:ascii="Arial" w:hAnsi="Arial" w:cs="Arial"/>
          <w:sz w:val="24"/>
          <w:szCs w:val="24"/>
        </w:rPr>
      </w:pPr>
    </w:p>
    <w:p w:rsidR="00C4619C" w:rsidRPr="00E120B2" w:rsidRDefault="00C4619C" w:rsidP="00E120B2">
      <w:pPr>
        <w:pStyle w:val="BodyText"/>
        <w:numPr>
          <w:ilvl w:val="0"/>
          <w:numId w:val="10"/>
        </w:numPr>
        <w:ind w:right="545"/>
        <w:rPr>
          <w:rFonts w:ascii="Arial" w:hAnsi="Arial" w:cs="Arial"/>
          <w:b/>
          <w:bCs/>
          <w:sz w:val="24"/>
          <w:szCs w:val="24"/>
        </w:rPr>
      </w:pPr>
      <w:r w:rsidRPr="00E120B2">
        <w:rPr>
          <w:rFonts w:ascii="Arial" w:hAnsi="Arial" w:cs="Arial"/>
          <w:b/>
          <w:bCs/>
          <w:sz w:val="24"/>
          <w:szCs w:val="24"/>
        </w:rPr>
        <w:t>Define easier ways for government and communities to express concerns related with community, geograph</w:t>
      </w:r>
      <w:r>
        <w:rPr>
          <w:rFonts w:ascii="Arial" w:hAnsi="Arial" w:cs="Arial"/>
          <w:b/>
          <w:bCs/>
          <w:sz w:val="24"/>
          <w:szCs w:val="24"/>
        </w:rPr>
        <w:t xml:space="preserve">ic, religious or other scripts requested as new </w:t>
      </w:r>
      <w:r w:rsidRPr="003409C0">
        <w:rPr>
          <w:rFonts w:ascii="Arial" w:hAnsi="Arial" w:cs="Arial"/>
          <w:b/>
          <w:bCs/>
          <w:sz w:val="24"/>
          <w:szCs w:val="24"/>
        </w:rPr>
        <w:t>gTLDs</w:t>
      </w:r>
    </w:p>
    <w:p w:rsidR="00C4619C" w:rsidRDefault="00C4619C" w:rsidP="003409C0">
      <w:pPr>
        <w:pStyle w:val="BodyText"/>
        <w:ind w:right="545"/>
        <w:rPr>
          <w:rFonts w:ascii="Arial" w:hAnsi="Arial" w:cs="Arial"/>
          <w:sz w:val="24"/>
          <w:szCs w:val="24"/>
        </w:rPr>
      </w:pPr>
      <w:r>
        <w:rPr>
          <w:rFonts w:ascii="Arial" w:hAnsi="Arial" w:cs="Arial"/>
          <w:sz w:val="24"/>
          <w:szCs w:val="24"/>
        </w:rPr>
        <w:t>Objection processes included in the first round AGB (early warning, GAC advice, independent objector, others) resulted difficult to achieve by many countries and communities, expensive in some cases, and in practice they were limited to those participating in the ICANN community.</w:t>
      </w:r>
    </w:p>
    <w:p w:rsidR="00C4619C" w:rsidRDefault="00C4619C" w:rsidP="000A6291">
      <w:pPr>
        <w:pStyle w:val="BodyText"/>
        <w:ind w:right="545"/>
        <w:rPr>
          <w:rFonts w:ascii="Arial" w:hAnsi="Arial" w:cs="Arial"/>
          <w:sz w:val="24"/>
          <w:szCs w:val="24"/>
        </w:rPr>
      </w:pPr>
    </w:p>
    <w:p w:rsidR="00C4619C" w:rsidRPr="003409C0" w:rsidRDefault="00C4619C" w:rsidP="003409C0">
      <w:pPr>
        <w:pStyle w:val="BodyText"/>
        <w:numPr>
          <w:ilvl w:val="0"/>
          <w:numId w:val="10"/>
        </w:numPr>
        <w:ind w:right="545"/>
        <w:rPr>
          <w:rFonts w:ascii="Arial" w:hAnsi="Arial" w:cs="Arial"/>
          <w:b/>
          <w:bCs/>
          <w:sz w:val="24"/>
          <w:szCs w:val="24"/>
        </w:rPr>
      </w:pPr>
      <w:r w:rsidRPr="003409C0">
        <w:rPr>
          <w:rFonts w:ascii="Arial" w:hAnsi="Arial" w:cs="Arial"/>
          <w:b/>
          <w:bCs/>
          <w:sz w:val="24"/>
          <w:szCs w:val="24"/>
        </w:rPr>
        <w:t>Consider as relevant background information a compilation of conflicts during the first round of new gTLDs</w:t>
      </w:r>
    </w:p>
    <w:p w:rsidR="00C4619C" w:rsidRPr="003409C0" w:rsidRDefault="00C4619C" w:rsidP="003409C0">
      <w:pPr>
        <w:pStyle w:val="BodyText"/>
        <w:ind w:right="545"/>
        <w:rPr>
          <w:rFonts w:ascii="Arial" w:hAnsi="Arial" w:cs="Arial"/>
          <w:sz w:val="24"/>
          <w:szCs w:val="24"/>
        </w:rPr>
      </w:pPr>
      <w:r w:rsidRPr="003409C0">
        <w:rPr>
          <w:rFonts w:ascii="Arial" w:hAnsi="Arial" w:cs="Arial"/>
          <w:sz w:val="24"/>
          <w:szCs w:val="24"/>
        </w:rPr>
        <w:t xml:space="preserve">There were sseveral conflicts during the first round of new gTLS, mainly related with the use of geographic and community names which were not included in the lists of the AGB. </w:t>
      </w:r>
    </w:p>
    <w:p w:rsidR="00C4619C" w:rsidRPr="003409C0" w:rsidRDefault="00C4619C" w:rsidP="003409C0">
      <w:pPr>
        <w:pStyle w:val="BodyText"/>
        <w:ind w:right="545"/>
        <w:rPr>
          <w:rFonts w:ascii="Arial" w:hAnsi="Arial" w:cs="Arial"/>
          <w:sz w:val="24"/>
          <w:szCs w:val="24"/>
        </w:rPr>
      </w:pPr>
      <w:r w:rsidRPr="003409C0">
        <w:rPr>
          <w:rFonts w:ascii="Arial" w:hAnsi="Arial" w:cs="Arial"/>
          <w:sz w:val="24"/>
          <w:szCs w:val="24"/>
        </w:rPr>
        <w:t>Information related with conflicting applications of new gTLDs in the first round should be considered as background information about what should be avoided or enhanced in the second round of new gTLDs.</w:t>
      </w:r>
    </w:p>
    <w:p w:rsidR="00C4619C" w:rsidRPr="00C86553" w:rsidRDefault="00C4619C">
      <w:pPr>
        <w:rPr>
          <w:rFonts w:ascii="Arial" w:hAnsi="Arial" w:cs="Arial"/>
          <w:lang w:val="en-US"/>
        </w:rPr>
      </w:pPr>
    </w:p>
    <w:p w:rsidR="00C4619C" w:rsidRPr="00E120B2" w:rsidRDefault="00C4619C" w:rsidP="00E120B2">
      <w:pPr>
        <w:pStyle w:val="BodyText"/>
        <w:numPr>
          <w:ilvl w:val="0"/>
          <w:numId w:val="10"/>
        </w:numPr>
        <w:ind w:right="545"/>
        <w:rPr>
          <w:rFonts w:ascii="Arial" w:hAnsi="Arial" w:cs="Arial"/>
          <w:b/>
          <w:bCs/>
          <w:sz w:val="24"/>
          <w:szCs w:val="24"/>
        </w:rPr>
      </w:pPr>
      <w:r w:rsidRPr="00E120B2">
        <w:rPr>
          <w:rFonts w:ascii="Arial" w:hAnsi="Arial" w:cs="Arial"/>
          <w:b/>
          <w:bCs/>
          <w:sz w:val="24"/>
          <w:szCs w:val="24"/>
        </w:rPr>
        <w:t xml:space="preserve">Best practices for future rounds of new gTLDs </w:t>
      </w:r>
    </w:p>
    <w:p w:rsidR="00C4619C" w:rsidRDefault="00C4619C" w:rsidP="003409C0">
      <w:pPr>
        <w:pStyle w:val="BodyText"/>
        <w:ind w:right="545"/>
        <w:rPr>
          <w:rFonts w:ascii="Arial" w:hAnsi="Arial" w:cs="Arial"/>
          <w:sz w:val="24"/>
          <w:szCs w:val="24"/>
        </w:rPr>
      </w:pPr>
      <w:r>
        <w:rPr>
          <w:rFonts w:ascii="Arial" w:hAnsi="Arial" w:cs="Arial"/>
          <w:sz w:val="24"/>
          <w:szCs w:val="24"/>
        </w:rPr>
        <w:t>These are suggested best practices for future rounds of new gTLDs, that were prepared based on the experience of the first round.</w:t>
      </w:r>
    </w:p>
    <w:p w:rsidR="00C4619C" w:rsidRPr="004821A9" w:rsidRDefault="00C4619C" w:rsidP="003409C0">
      <w:pPr>
        <w:pStyle w:val="BodyText"/>
        <w:ind w:right="545"/>
        <w:rPr>
          <w:rFonts w:ascii="Arial" w:hAnsi="Arial" w:cs="Arial"/>
          <w:sz w:val="24"/>
          <w:szCs w:val="24"/>
        </w:rPr>
      </w:pPr>
      <w:r>
        <w:rPr>
          <w:rFonts w:ascii="Arial" w:hAnsi="Arial" w:cs="Arial"/>
          <w:sz w:val="24"/>
          <w:szCs w:val="24"/>
        </w:rPr>
        <w:t xml:space="preserve">These best practices should be “enforceable” in </w:t>
      </w:r>
      <w:r w:rsidRPr="004821A9">
        <w:rPr>
          <w:rFonts w:ascii="Arial" w:hAnsi="Arial" w:cs="Arial"/>
          <w:sz w:val="24"/>
          <w:szCs w:val="24"/>
        </w:rPr>
        <w:t>futur</w:t>
      </w:r>
      <w:r>
        <w:rPr>
          <w:rFonts w:ascii="Arial" w:hAnsi="Arial" w:cs="Arial"/>
          <w:sz w:val="24"/>
          <w:szCs w:val="24"/>
        </w:rPr>
        <w:t>e rounds of new gTLDs:</w:t>
      </w:r>
    </w:p>
    <w:p w:rsidR="00C4619C" w:rsidRPr="004821A9" w:rsidRDefault="00C4619C" w:rsidP="00E120B2">
      <w:pPr>
        <w:pStyle w:val="BodyText"/>
        <w:ind w:left="708" w:right="545"/>
        <w:rPr>
          <w:rFonts w:ascii="Arial" w:hAnsi="Arial" w:cs="Arial"/>
          <w:b/>
          <w:bCs/>
          <w:sz w:val="24"/>
          <w:szCs w:val="24"/>
        </w:rPr>
      </w:pPr>
      <w:r w:rsidRPr="004821A9">
        <w:rPr>
          <w:rFonts w:ascii="Arial" w:hAnsi="Arial" w:cs="Arial"/>
          <w:b/>
          <w:bCs/>
          <w:sz w:val="24"/>
          <w:szCs w:val="24"/>
        </w:rPr>
        <w:t xml:space="preserve">- For the applicant: </w:t>
      </w:r>
    </w:p>
    <w:p w:rsidR="00C4619C" w:rsidRPr="004821A9" w:rsidRDefault="00C4619C" w:rsidP="00E120B2">
      <w:pPr>
        <w:pStyle w:val="BodyText"/>
        <w:numPr>
          <w:ilvl w:val="0"/>
          <w:numId w:val="4"/>
        </w:numPr>
        <w:ind w:left="1428" w:right="545"/>
        <w:rPr>
          <w:rFonts w:ascii="Arial" w:hAnsi="Arial" w:cs="Arial"/>
          <w:sz w:val="24"/>
          <w:szCs w:val="24"/>
        </w:rPr>
      </w:pPr>
      <w:r w:rsidRPr="004821A9">
        <w:rPr>
          <w:rFonts w:ascii="Arial" w:hAnsi="Arial" w:cs="Arial"/>
          <w:sz w:val="24"/>
          <w:szCs w:val="24"/>
        </w:rPr>
        <w:t xml:space="preserve">Once a sting is selected to be requested as a new gTLD, a thorough search should be undertaken to determine whether the string is a geographic </w:t>
      </w:r>
      <w:r>
        <w:rPr>
          <w:rFonts w:ascii="Arial" w:hAnsi="Arial" w:cs="Arial"/>
          <w:sz w:val="24"/>
          <w:szCs w:val="24"/>
        </w:rPr>
        <w:t xml:space="preserve">or a community </w:t>
      </w:r>
      <w:r w:rsidRPr="004821A9">
        <w:rPr>
          <w:rFonts w:ascii="Arial" w:hAnsi="Arial" w:cs="Arial"/>
          <w:sz w:val="24"/>
          <w:szCs w:val="24"/>
        </w:rPr>
        <w:t>name, including but not limited to cities,</w:t>
      </w:r>
      <w:r>
        <w:rPr>
          <w:rFonts w:ascii="Arial" w:hAnsi="Arial" w:cs="Arial"/>
          <w:sz w:val="24"/>
          <w:szCs w:val="24"/>
        </w:rPr>
        <w:t xml:space="preserve"> countries, regions, subregions, and communities.</w:t>
      </w:r>
    </w:p>
    <w:p w:rsidR="00C4619C" w:rsidRPr="004821A9" w:rsidRDefault="00C4619C" w:rsidP="00E120B2">
      <w:pPr>
        <w:pStyle w:val="BodyText"/>
        <w:numPr>
          <w:ilvl w:val="0"/>
          <w:numId w:val="4"/>
        </w:numPr>
        <w:ind w:left="1428" w:right="545"/>
        <w:rPr>
          <w:rFonts w:ascii="Arial" w:hAnsi="Arial" w:cs="Arial"/>
          <w:sz w:val="24"/>
          <w:szCs w:val="24"/>
        </w:rPr>
      </w:pPr>
      <w:r w:rsidRPr="004821A9">
        <w:rPr>
          <w:rFonts w:ascii="Arial" w:hAnsi="Arial" w:cs="Arial"/>
          <w:sz w:val="24"/>
          <w:szCs w:val="24"/>
        </w:rPr>
        <w:t>If the selected string is directly related with a country, city, region, subregion</w:t>
      </w:r>
      <w:r>
        <w:rPr>
          <w:rFonts w:ascii="Arial" w:hAnsi="Arial" w:cs="Arial"/>
          <w:sz w:val="24"/>
          <w:szCs w:val="24"/>
        </w:rPr>
        <w:t xml:space="preserve"> or a community</w:t>
      </w:r>
      <w:r w:rsidRPr="004821A9">
        <w:rPr>
          <w:rFonts w:ascii="Arial" w:hAnsi="Arial" w:cs="Arial"/>
          <w:sz w:val="24"/>
          <w:szCs w:val="24"/>
        </w:rPr>
        <w:t xml:space="preserve">, the relevant authorities </w:t>
      </w:r>
      <w:r>
        <w:rPr>
          <w:rFonts w:ascii="Arial" w:hAnsi="Arial" w:cs="Arial"/>
          <w:sz w:val="24"/>
          <w:szCs w:val="24"/>
        </w:rPr>
        <w:t>or communities related with the selected string</w:t>
      </w:r>
      <w:r w:rsidRPr="004821A9">
        <w:rPr>
          <w:rFonts w:ascii="Arial" w:hAnsi="Arial" w:cs="Arial"/>
          <w:sz w:val="24"/>
          <w:szCs w:val="24"/>
        </w:rPr>
        <w:t xml:space="preserve"> should be contacted. </w:t>
      </w:r>
    </w:p>
    <w:p w:rsidR="00C4619C" w:rsidRPr="004821A9" w:rsidRDefault="00C4619C" w:rsidP="00E120B2">
      <w:pPr>
        <w:pStyle w:val="BodyText"/>
        <w:numPr>
          <w:ilvl w:val="0"/>
          <w:numId w:val="4"/>
        </w:numPr>
        <w:ind w:left="1428" w:right="545"/>
        <w:rPr>
          <w:rFonts w:ascii="Arial" w:hAnsi="Arial" w:cs="Arial"/>
          <w:sz w:val="24"/>
          <w:szCs w:val="24"/>
        </w:rPr>
      </w:pPr>
      <w:r w:rsidRPr="004821A9">
        <w:rPr>
          <w:rFonts w:ascii="Arial" w:hAnsi="Arial" w:cs="Arial"/>
          <w:sz w:val="24"/>
          <w:szCs w:val="24"/>
        </w:rPr>
        <w:t xml:space="preserve">Previous research and investigation about different meanings of the applied for string, </w:t>
      </w:r>
      <w:r>
        <w:rPr>
          <w:rFonts w:ascii="Arial" w:hAnsi="Arial" w:cs="Arial"/>
          <w:sz w:val="24"/>
          <w:szCs w:val="24"/>
        </w:rPr>
        <w:t>should consider</w:t>
      </w:r>
      <w:r w:rsidRPr="004821A9">
        <w:rPr>
          <w:rFonts w:ascii="Arial" w:hAnsi="Arial" w:cs="Arial"/>
          <w:sz w:val="24"/>
          <w:szCs w:val="24"/>
        </w:rPr>
        <w:t xml:space="preserve"> also the notion of protection of a name even if it is being translated to another language. </w:t>
      </w:r>
    </w:p>
    <w:p w:rsidR="00C4619C" w:rsidRPr="004821A9" w:rsidRDefault="00C4619C" w:rsidP="00E120B2">
      <w:pPr>
        <w:pStyle w:val="BodyText"/>
        <w:numPr>
          <w:ilvl w:val="0"/>
          <w:numId w:val="4"/>
        </w:numPr>
        <w:ind w:left="1428" w:right="545"/>
        <w:rPr>
          <w:rFonts w:ascii="Arial" w:hAnsi="Arial" w:cs="Arial"/>
          <w:sz w:val="24"/>
          <w:szCs w:val="24"/>
        </w:rPr>
      </w:pPr>
      <w:r w:rsidRPr="004821A9">
        <w:rPr>
          <w:rFonts w:ascii="Arial" w:hAnsi="Arial" w:cs="Arial"/>
          <w:sz w:val="24"/>
          <w:szCs w:val="24"/>
        </w:rPr>
        <w:t>In the case of</w:t>
      </w:r>
      <w:r>
        <w:rPr>
          <w:rFonts w:ascii="Arial" w:hAnsi="Arial" w:cs="Arial"/>
          <w:sz w:val="24"/>
          <w:szCs w:val="24"/>
        </w:rPr>
        <w:t xml:space="preserve"> any</w:t>
      </w:r>
      <w:r w:rsidRPr="004821A9">
        <w:rPr>
          <w:rFonts w:ascii="Arial" w:hAnsi="Arial" w:cs="Arial"/>
          <w:sz w:val="24"/>
          <w:szCs w:val="24"/>
        </w:rPr>
        <w:t xml:space="preserve"> doubts, the applicant </w:t>
      </w:r>
      <w:r>
        <w:rPr>
          <w:rFonts w:ascii="Arial" w:hAnsi="Arial" w:cs="Arial"/>
          <w:sz w:val="24"/>
          <w:szCs w:val="24"/>
        </w:rPr>
        <w:t xml:space="preserve">should </w:t>
      </w:r>
      <w:r w:rsidRPr="004821A9">
        <w:rPr>
          <w:rFonts w:ascii="Arial" w:hAnsi="Arial" w:cs="Arial"/>
          <w:sz w:val="24"/>
          <w:szCs w:val="24"/>
        </w:rPr>
        <w:t>establish contact previous to the application with the relevant authorities of the country – city – region – subregion</w:t>
      </w:r>
      <w:r>
        <w:rPr>
          <w:rFonts w:ascii="Arial" w:hAnsi="Arial" w:cs="Arial"/>
          <w:sz w:val="24"/>
          <w:szCs w:val="24"/>
        </w:rPr>
        <w:t>-community representatives</w:t>
      </w:r>
      <w:r w:rsidRPr="004821A9">
        <w:rPr>
          <w:rFonts w:ascii="Arial" w:hAnsi="Arial" w:cs="Arial"/>
          <w:sz w:val="24"/>
          <w:szCs w:val="24"/>
        </w:rPr>
        <w:t xml:space="preserve">. </w:t>
      </w:r>
    </w:p>
    <w:p w:rsidR="00C4619C" w:rsidRPr="004821A9" w:rsidRDefault="00C4619C" w:rsidP="00E120B2">
      <w:pPr>
        <w:pStyle w:val="BodyText"/>
        <w:ind w:left="708" w:right="545"/>
        <w:rPr>
          <w:rFonts w:ascii="Arial" w:hAnsi="Arial" w:cs="Arial"/>
          <w:b/>
          <w:bCs/>
          <w:sz w:val="24"/>
          <w:szCs w:val="24"/>
        </w:rPr>
      </w:pPr>
      <w:r w:rsidRPr="004821A9">
        <w:rPr>
          <w:rFonts w:ascii="Arial" w:hAnsi="Arial" w:cs="Arial"/>
          <w:b/>
          <w:bCs/>
          <w:sz w:val="24"/>
          <w:szCs w:val="24"/>
        </w:rPr>
        <w:t xml:space="preserve">- For ICANN: </w:t>
      </w:r>
    </w:p>
    <w:p w:rsidR="00C4619C" w:rsidRPr="004821A9" w:rsidRDefault="00C4619C" w:rsidP="00E120B2">
      <w:pPr>
        <w:pStyle w:val="BodyText"/>
        <w:numPr>
          <w:ilvl w:val="0"/>
          <w:numId w:val="5"/>
        </w:numPr>
        <w:ind w:left="1428" w:right="545"/>
        <w:rPr>
          <w:rFonts w:ascii="Arial" w:hAnsi="Arial" w:cs="Arial"/>
          <w:sz w:val="24"/>
          <w:szCs w:val="24"/>
        </w:rPr>
      </w:pPr>
      <w:r w:rsidRPr="004821A9">
        <w:rPr>
          <w:rFonts w:ascii="Arial" w:hAnsi="Arial" w:cs="Arial"/>
          <w:sz w:val="24"/>
          <w:szCs w:val="24"/>
        </w:rPr>
        <w:t xml:space="preserve">Enhance outreach efforts to all countries and regions of the world previous to the next new gTLD round. </w:t>
      </w:r>
    </w:p>
    <w:p w:rsidR="00C4619C" w:rsidRPr="004821A9" w:rsidRDefault="00C4619C" w:rsidP="00E120B2">
      <w:pPr>
        <w:pStyle w:val="BodyText"/>
        <w:numPr>
          <w:ilvl w:val="0"/>
          <w:numId w:val="5"/>
        </w:numPr>
        <w:ind w:left="1428" w:right="545"/>
        <w:rPr>
          <w:rFonts w:ascii="Arial" w:hAnsi="Arial" w:cs="Arial"/>
          <w:sz w:val="24"/>
          <w:szCs w:val="24"/>
        </w:rPr>
      </w:pPr>
      <w:r w:rsidRPr="004821A9">
        <w:rPr>
          <w:rFonts w:ascii="Arial" w:hAnsi="Arial" w:cs="Arial"/>
          <w:sz w:val="24"/>
          <w:szCs w:val="24"/>
        </w:rPr>
        <w:t>Governments should have an appropriate way to raise concerns about the use of geographic</w:t>
      </w:r>
      <w:r>
        <w:rPr>
          <w:rFonts w:ascii="Arial" w:hAnsi="Arial" w:cs="Arial"/>
          <w:sz w:val="24"/>
          <w:szCs w:val="24"/>
        </w:rPr>
        <w:t xml:space="preserve"> and community</w:t>
      </w:r>
      <w:r w:rsidRPr="004821A9">
        <w:rPr>
          <w:rFonts w:ascii="Arial" w:hAnsi="Arial" w:cs="Arial"/>
          <w:sz w:val="24"/>
          <w:szCs w:val="24"/>
        </w:rPr>
        <w:t xml:space="preserve"> names as</w:t>
      </w:r>
      <w:r>
        <w:rPr>
          <w:rFonts w:ascii="Arial" w:hAnsi="Arial" w:cs="Arial"/>
          <w:sz w:val="24"/>
          <w:szCs w:val="24"/>
        </w:rPr>
        <w:t>sociated with their territories.</w:t>
      </w:r>
    </w:p>
    <w:p w:rsidR="00C4619C" w:rsidRPr="00C86553" w:rsidRDefault="00C4619C">
      <w:pPr>
        <w:rPr>
          <w:rFonts w:ascii="Arial" w:hAnsi="Arial" w:cs="Arial"/>
          <w:lang w:val="en-US"/>
        </w:rPr>
      </w:pPr>
    </w:p>
    <w:sectPr w:rsidR="00C4619C" w:rsidRPr="00C86553" w:rsidSect="00514E2E">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35BD"/>
    <w:multiLevelType w:val="hybridMultilevel"/>
    <w:tmpl w:val="AECC689E"/>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161F667A"/>
    <w:multiLevelType w:val="hybridMultilevel"/>
    <w:tmpl w:val="235E27B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19D075EC"/>
    <w:multiLevelType w:val="hybridMultilevel"/>
    <w:tmpl w:val="435CA26E"/>
    <w:lvl w:ilvl="0" w:tplc="0C090001">
      <w:start w:val="1"/>
      <w:numFmt w:val="bullet"/>
      <w:lvlText w:val=""/>
      <w:lvlJc w:val="left"/>
      <w:pPr>
        <w:ind w:left="1068" w:hanging="360"/>
      </w:pPr>
      <w:rPr>
        <w:rFonts w:ascii="Symbol" w:hAnsi="Symbol" w:cs="Symbol" w:hint="default"/>
      </w:rPr>
    </w:lvl>
    <w:lvl w:ilvl="1" w:tplc="0C090003">
      <w:start w:val="1"/>
      <w:numFmt w:val="bullet"/>
      <w:lvlText w:val="o"/>
      <w:lvlJc w:val="left"/>
      <w:pPr>
        <w:ind w:left="1788" w:hanging="360"/>
      </w:pPr>
      <w:rPr>
        <w:rFonts w:ascii="Courier New" w:hAnsi="Courier New" w:cs="Courier New" w:hint="default"/>
      </w:rPr>
    </w:lvl>
    <w:lvl w:ilvl="2" w:tplc="0C090005">
      <w:start w:val="1"/>
      <w:numFmt w:val="bullet"/>
      <w:lvlText w:val=""/>
      <w:lvlJc w:val="left"/>
      <w:pPr>
        <w:ind w:left="2508" w:hanging="360"/>
      </w:pPr>
      <w:rPr>
        <w:rFonts w:ascii="Wingdings" w:hAnsi="Wingdings" w:cs="Wingdings" w:hint="default"/>
      </w:rPr>
    </w:lvl>
    <w:lvl w:ilvl="3" w:tplc="0C090001">
      <w:start w:val="1"/>
      <w:numFmt w:val="bullet"/>
      <w:lvlText w:val=""/>
      <w:lvlJc w:val="left"/>
      <w:pPr>
        <w:ind w:left="3228" w:hanging="360"/>
      </w:pPr>
      <w:rPr>
        <w:rFonts w:ascii="Symbol" w:hAnsi="Symbol" w:cs="Symbol" w:hint="default"/>
      </w:rPr>
    </w:lvl>
    <w:lvl w:ilvl="4" w:tplc="0C090003">
      <w:start w:val="1"/>
      <w:numFmt w:val="bullet"/>
      <w:lvlText w:val="o"/>
      <w:lvlJc w:val="left"/>
      <w:pPr>
        <w:ind w:left="3948" w:hanging="360"/>
      </w:pPr>
      <w:rPr>
        <w:rFonts w:ascii="Courier New" w:hAnsi="Courier New" w:cs="Courier New" w:hint="default"/>
      </w:rPr>
    </w:lvl>
    <w:lvl w:ilvl="5" w:tplc="0C090005">
      <w:start w:val="1"/>
      <w:numFmt w:val="bullet"/>
      <w:lvlText w:val=""/>
      <w:lvlJc w:val="left"/>
      <w:pPr>
        <w:ind w:left="4668" w:hanging="360"/>
      </w:pPr>
      <w:rPr>
        <w:rFonts w:ascii="Wingdings" w:hAnsi="Wingdings" w:cs="Wingdings" w:hint="default"/>
      </w:rPr>
    </w:lvl>
    <w:lvl w:ilvl="6" w:tplc="0C090001">
      <w:start w:val="1"/>
      <w:numFmt w:val="bullet"/>
      <w:lvlText w:val=""/>
      <w:lvlJc w:val="left"/>
      <w:pPr>
        <w:ind w:left="5388" w:hanging="360"/>
      </w:pPr>
      <w:rPr>
        <w:rFonts w:ascii="Symbol" w:hAnsi="Symbol" w:cs="Symbol" w:hint="default"/>
      </w:rPr>
    </w:lvl>
    <w:lvl w:ilvl="7" w:tplc="0C090003">
      <w:start w:val="1"/>
      <w:numFmt w:val="bullet"/>
      <w:lvlText w:val="o"/>
      <w:lvlJc w:val="left"/>
      <w:pPr>
        <w:ind w:left="6108" w:hanging="360"/>
      </w:pPr>
      <w:rPr>
        <w:rFonts w:ascii="Courier New" w:hAnsi="Courier New" w:cs="Courier New" w:hint="default"/>
      </w:rPr>
    </w:lvl>
    <w:lvl w:ilvl="8" w:tplc="0C090005">
      <w:start w:val="1"/>
      <w:numFmt w:val="bullet"/>
      <w:lvlText w:val=""/>
      <w:lvlJc w:val="left"/>
      <w:pPr>
        <w:ind w:left="6828" w:hanging="360"/>
      </w:pPr>
      <w:rPr>
        <w:rFonts w:ascii="Wingdings" w:hAnsi="Wingdings" w:cs="Wingdings" w:hint="default"/>
      </w:rPr>
    </w:lvl>
  </w:abstractNum>
  <w:abstractNum w:abstractNumId="3">
    <w:nsid w:val="23576D37"/>
    <w:multiLevelType w:val="hybridMultilevel"/>
    <w:tmpl w:val="63144B90"/>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305A399F"/>
    <w:multiLevelType w:val="hybridMultilevel"/>
    <w:tmpl w:val="969C5448"/>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5">
    <w:nsid w:val="335512E7"/>
    <w:multiLevelType w:val="hybridMultilevel"/>
    <w:tmpl w:val="A3569782"/>
    <w:lvl w:ilvl="0" w:tplc="1BBE967E">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3BA5619F"/>
    <w:multiLevelType w:val="hybridMultilevel"/>
    <w:tmpl w:val="97786124"/>
    <w:lvl w:ilvl="0" w:tplc="1BBE967E">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42241A19"/>
    <w:multiLevelType w:val="hybridMultilevel"/>
    <w:tmpl w:val="E8302416"/>
    <w:lvl w:ilvl="0" w:tplc="DDBC2666">
      <w:start w:val="1"/>
      <w:numFmt w:val="bullet"/>
      <w:lvlText w:val="•"/>
      <w:lvlJc w:val="left"/>
      <w:pPr>
        <w:tabs>
          <w:tab w:val="num" w:pos="720"/>
        </w:tabs>
        <w:ind w:left="720" w:hanging="360"/>
      </w:pPr>
      <w:rPr>
        <w:rFonts w:ascii="Arial" w:hAnsi="Arial" w:cs="Arial" w:hint="default"/>
      </w:rPr>
    </w:lvl>
    <w:lvl w:ilvl="1" w:tplc="977AA5D8">
      <w:start w:val="1"/>
      <w:numFmt w:val="bullet"/>
      <w:lvlText w:val="•"/>
      <w:lvlJc w:val="left"/>
      <w:pPr>
        <w:tabs>
          <w:tab w:val="num" w:pos="1440"/>
        </w:tabs>
        <w:ind w:left="1440" w:hanging="360"/>
      </w:pPr>
      <w:rPr>
        <w:rFonts w:ascii="Arial" w:hAnsi="Arial" w:cs="Arial" w:hint="default"/>
      </w:rPr>
    </w:lvl>
    <w:lvl w:ilvl="2" w:tplc="F8A6C4FC">
      <w:start w:val="1"/>
      <w:numFmt w:val="bullet"/>
      <w:lvlText w:val="•"/>
      <w:lvlJc w:val="left"/>
      <w:pPr>
        <w:tabs>
          <w:tab w:val="num" w:pos="2160"/>
        </w:tabs>
        <w:ind w:left="2160" w:hanging="360"/>
      </w:pPr>
      <w:rPr>
        <w:rFonts w:ascii="Arial" w:hAnsi="Arial" w:cs="Arial" w:hint="default"/>
      </w:rPr>
    </w:lvl>
    <w:lvl w:ilvl="3" w:tplc="7F4E6E7C">
      <w:start w:val="1"/>
      <w:numFmt w:val="bullet"/>
      <w:lvlText w:val="•"/>
      <w:lvlJc w:val="left"/>
      <w:pPr>
        <w:tabs>
          <w:tab w:val="num" w:pos="2880"/>
        </w:tabs>
        <w:ind w:left="2880" w:hanging="360"/>
      </w:pPr>
      <w:rPr>
        <w:rFonts w:ascii="Arial" w:hAnsi="Arial" w:cs="Arial" w:hint="default"/>
      </w:rPr>
    </w:lvl>
    <w:lvl w:ilvl="4" w:tplc="F9A846D8">
      <w:start w:val="1"/>
      <w:numFmt w:val="bullet"/>
      <w:lvlText w:val="•"/>
      <w:lvlJc w:val="left"/>
      <w:pPr>
        <w:tabs>
          <w:tab w:val="num" w:pos="3600"/>
        </w:tabs>
        <w:ind w:left="3600" w:hanging="360"/>
      </w:pPr>
      <w:rPr>
        <w:rFonts w:ascii="Arial" w:hAnsi="Arial" w:cs="Arial" w:hint="default"/>
      </w:rPr>
    </w:lvl>
    <w:lvl w:ilvl="5" w:tplc="62527A1C">
      <w:start w:val="1"/>
      <w:numFmt w:val="bullet"/>
      <w:lvlText w:val="•"/>
      <w:lvlJc w:val="left"/>
      <w:pPr>
        <w:tabs>
          <w:tab w:val="num" w:pos="4320"/>
        </w:tabs>
        <w:ind w:left="4320" w:hanging="360"/>
      </w:pPr>
      <w:rPr>
        <w:rFonts w:ascii="Arial" w:hAnsi="Arial" w:cs="Arial" w:hint="default"/>
      </w:rPr>
    </w:lvl>
    <w:lvl w:ilvl="6" w:tplc="EC1CAB2A">
      <w:start w:val="1"/>
      <w:numFmt w:val="bullet"/>
      <w:lvlText w:val="•"/>
      <w:lvlJc w:val="left"/>
      <w:pPr>
        <w:tabs>
          <w:tab w:val="num" w:pos="5040"/>
        </w:tabs>
        <w:ind w:left="5040" w:hanging="360"/>
      </w:pPr>
      <w:rPr>
        <w:rFonts w:ascii="Arial" w:hAnsi="Arial" w:cs="Arial" w:hint="default"/>
      </w:rPr>
    </w:lvl>
    <w:lvl w:ilvl="7" w:tplc="FCBC7E36">
      <w:start w:val="1"/>
      <w:numFmt w:val="bullet"/>
      <w:lvlText w:val="•"/>
      <w:lvlJc w:val="left"/>
      <w:pPr>
        <w:tabs>
          <w:tab w:val="num" w:pos="5760"/>
        </w:tabs>
        <w:ind w:left="5760" w:hanging="360"/>
      </w:pPr>
      <w:rPr>
        <w:rFonts w:ascii="Arial" w:hAnsi="Arial" w:cs="Arial" w:hint="default"/>
      </w:rPr>
    </w:lvl>
    <w:lvl w:ilvl="8" w:tplc="4A1EB524">
      <w:start w:val="1"/>
      <w:numFmt w:val="bullet"/>
      <w:lvlText w:val="•"/>
      <w:lvlJc w:val="left"/>
      <w:pPr>
        <w:tabs>
          <w:tab w:val="num" w:pos="6480"/>
        </w:tabs>
        <w:ind w:left="6480" w:hanging="360"/>
      </w:pPr>
      <w:rPr>
        <w:rFonts w:ascii="Arial" w:hAnsi="Arial" w:cs="Arial" w:hint="default"/>
      </w:rPr>
    </w:lvl>
  </w:abstractNum>
  <w:abstractNum w:abstractNumId="8">
    <w:nsid w:val="50C26B31"/>
    <w:multiLevelType w:val="hybridMultilevel"/>
    <w:tmpl w:val="819842EC"/>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9">
    <w:nsid w:val="552C495B"/>
    <w:multiLevelType w:val="hybridMultilevel"/>
    <w:tmpl w:val="C8528AD4"/>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0">
    <w:nsid w:val="5803229E"/>
    <w:multiLevelType w:val="hybridMultilevel"/>
    <w:tmpl w:val="9B2C59D0"/>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1">
    <w:nsid w:val="608055B7"/>
    <w:multiLevelType w:val="hybridMultilevel"/>
    <w:tmpl w:val="02A4CE80"/>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num w:numId="1">
    <w:abstractNumId w:val="2"/>
  </w:num>
  <w:num w:numId="2">
    <w:abstractNumId w:val="11"/>
  </w:num>
  <w:num w:numId="3">
    <w:abstractNumId w:val="8"/>
  </w:num>
  <w:num w:numId="4">
    <w:abstractNumId w:val="10"/>
  </w:num>
  <w:num w:numId="5">
    <w:abstractNumId w:val="4"/>
  </w:num>
  <w:num w:numId="6">
    <w:abstractNumId w:val="9"/>
  </w:num>
  <w:num w:numId="7">
    <w:abstractNumId w:val="3"/>
  </w:num>
  <w:num w:numId="8">
    <w:abstractNumId w:val="7"/>
  </w:num>
  <w:num w:numId="9">
    <w:abstractNumId w:val="1"/>
  </w:num>
  <w:num w:numId="10">
    <w:abstractNumId w:val="6"/>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0CDD"/>
    <w:rsid w:val="00021666"/>
    <w:rsid w:val="000A6291"/>
    <w:rsid w:val="000C1B57"/>
    <w:rsid w:val="001149E9"/>
    <w:rsid w:val="00136B06"/>
    <w:rsid w:val="00177C7F"/>
    <w:rsid w:val="003409C0"/>
    <w:rsid w:val="003F648F"/>
    <w:rsid w:val="004821A9"/>
    <w:rsid w:val="004C0165"/>
    <w:rsid w:val="004F5D2E"/>
    <w:rsid w:val="00514E2E"/>
    <w:rsid w:val="00637242"/>
    <w:rsid w:val="008A4FD8"/>
    <w:rsid w:val="009526CD"/>
    <w:rsid w:val="009E34CA"/>
    <w:rsid w:val="00A11AA5"/>
    <w:rsid w:val="00B3796A"/>
    <w:rsid w:val="00B75BC6"/>
    <w:rsid w:val="00B807D4"/>
    <w:rsid w:val="00BA0DFC"/>
    <w:rsid w:val="00C4619C"/>
    <w:rsid w:val="00C86553"/>
    <w:rsid w:val="00CD57A3"/>
    <w:rsid w:val="00CE6B2D"/>
    <w:rsid w:val="00D54B15"/>
    <w:rsid w:val="00E120B2"/>
    <w:rsid w:val="00EE0CDD"/>
    <w:rsid w:val="00EE7886"/>
    <w:rsid w:val="00F81E26"/>
    <w:rsid w:val="00FD2A34"/>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A34"/>
    <w:rPr>
      <w:rFonts w:cs="Cambria"/>
      <w:sz w:val="24"/>
      <w:szCs w:val="24"/>
      <w:lang w:val="es-ES_tradnl"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E0CDD"/>
    <w:pPr>
      <w:spacing w:after="200" w:line="276" w:lineRule="auto"/>
      <w:jc w:val="both"/>
    </w:pPr>
    <w:rPr>
      <w:rFonts w:ascii="Century Gothic" w:hAnsi="Century Gothic" w:cs="Century Gothic"/>
      <w:sz w:val="20"/>
      <w:szCs w:val="20"/>
      <w:lang w:val="en-AU" w:eastAsia="en-US"/>
    </w:rPr>
  </w:style>
  <w:style w:type="character" w:customStyle="1" w:styleId="BodyTextChar">
    <w:name w:val="Body Text Char"/>
    <w:basedOn w:val="DefaultParagraphFont"/>
    <w:link w:val="BodyText"/>
    <w:uiPriority w:val="99"/>
    <w:locked/>
    <w:rsid w:val="00EE0CDD"/>
    <w:rPr>
      <w:rFonts w:ascii="Century Gothic" w:eastAsia="Times New Roman" w:hAnsi="Century Gothic" w:cs="Century Gothic"/>
      <w:sz w:val="22"/>
      <w:szCs w:val="22"/>
      <w:lang w:val="en-AU" w:eastAsia="en-US"/>
    </w:rPr>
  </w:style>
  <w:style w:type="table" w:styleId="TableGrid">
    <w:name w:val="Table Grid"/>
    <w:basedOn w:val="TableNormal"/>
    <w:uiPriority w:val="99"/>
    <w:rsid w:val="00EE0CDD"/>
    <w:rPr>
      <w:rFonts w:ascii="Century Gothic" w:hAnsi="Century Gothic" w:cs="Century Gothic"/>
      <w:sz w:val="20"/>
      <w:szCs w:val="20"/>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8A4FD8"/>
    <w:pPr>
      <w:jc w:val="both"/>
    </w:pPr>
    <w:rPr>
      <w:rFonts w:ascii="Century Gothic" w:hAnsi="Century Gothic" w:cs="Century Gothic"/>
      <w:sz w:val="20"/>
      <w:szCs w:val="20"/>
      <w:lang w:val="en-AU" w:eastAsia="en-US"/>
    </w:rPr>
  </w:style>
  <w:style w:type="paragraph" w:styleId="ListParagraph">
    <w:name w:val="List Paragraph"/>
    <w:basedOn w:val="Normal"/>
    <w:uiPriority w:val="99"/>
    <w:qFormat/>
    <w:rsid w:val="00E120B2"/>
    <w:pPr>
      <w:ind w:left="720"/>
    </w:pPr>
  </w:style>
</w:styles>
</file>

<file path=word/webSettings.xml><?xml version="1.0" encoding="utf-8"?>
<w:webSettings xmlns:r="http://schemas.openxmlformats.org/officeDocument/2006/relationships" xmlns:w="http://schemas.openxmlformats.org/wordprocessingml/2006/main">
  <w:divs>
    <w:div w:id="420566799">
      <w:marLeft w:val="0"/>
      <w:marRight w:val="0"/>
      <w:marTop w:val="0"/>
      <w:marBottom w:val="0"/>
      <w:divBdr>
        <w:top w:val="none" w:sz="0" w:space="0" w:color="auto"/>
        <w:left w:val="none" w:sz="0" w:space="0" w:color="auto"/>
        <w:bottom w:val="none" w:sz="0" w:space="0" w:color="auto"/>
        <w:right w:val="none" w:sz="0" w:space="0" w:color="auto"/>
      </w:divBdr>
      <w:divsChild>
        <w:div w:id="420566798">
          <w:marLeft w:val="778"/>
          <w:marRight w:val="0"/>
          <w:marTop w:val="134"/>
          <w:marBottom w:val="0"/>
          <w:divBdr>
            <w:top w:val="none" w:sz="0" w:space="0" w:color="auto"/>
            <w:left w:val="none" w:sz="0" w:space="0" w:color="auto"/>
            <w:bottom w:val="none" w:sz="0" w:space="0" w:color="auto"/>
            <w:right w:val="none" w:sz="0" w:space="0" w:color="auto"/>
          </w:divBdr>
        </w:div>
        <w:div w:id="420566800">
          <w:marLeft w:val="778"/>
          <w:marRight w:val="0"/>
          <w:marTop w:val="134"/>
          <w:marBottom w:val="0"/>
          <w:divBdr>
            <w:top w:val="none" w:sz="0" w:space="0" w:color="auto"/>
            <w:left w:val="none" w:sz="0" w:space="0" w:color="auto"/>
            <w:bottom w:val="none" w:sz="0" w:space="0" w:color="auto"/>
            <w:right w:val="none" w:sz="0" w:space="0" w:color="auto"/>
          </w:divBdr>
        </w:div>
        <w:div w:id="420566801">
          <w:marLeft w:val="778"/>
          <w:marRight w:val="0"/>
          <w:marTop w:val="134"/>
          <w:marBottom w:val="0"/>
          <w:divBdr>
            <w:top w:val="none" w:sz="0" w:space="0" w:color="auto"/>
            <w:left w:val="none" w:sz="0" w:space="0" w:color="auto"/>
            <w:bottom w:val="none" w:sz="0" w:space="0" w:color="auto"/>
            <w:right w:val="none" w:sz="0" w:space="0" w:color="auto"/>
          </w:divBdr>
        </w:div>
        <w:div w:id="420566802">
          <w:marLeft w:val="778"/>
          <w:marRight w:val="0"/>
          <w:marTop w:val="13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587</Words>
  <Characters>3229</Characters>
  <Application>Microsoft Office Outlook</Application>
  <DocSecurity>0</DocSecurity>
  <Lines>0</Lines>
  <Paragraphs>0</Paragraphs>
  <ScaleCrop>false</ScaleCrop>
  <Company>MRECIC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Considering that the lists of names included in the Applicant GuideBook (AGB) for the first round of new gTLDs was not enough to avoid conflicts, these actions should be proposed to ICANN staff and to different SO and AC revising policies related with ne</dc:title>
  <dc:subject/>
  <dc:creator>Olga Cavalli</dc:creator>
  <cp:keywords/>
  <dc:description/>
  <cp:lastModifiedBy>Cavalli, Olga del Carmen</cp:lastModifiedBy>
  <cp:revision>2</cp:revision>
  <cp:lastPrinted>2015-10-30T19:56:00Z</cp:lastPrinted>
  <dcterms:created xsi:type="dcterms:W3CDTF">2015-10-30T20:08:00Z</dcterms:created>
  <dcterms:modified xsi:type="dcterms:W3CDTF">2015-10-30T20:08:00Z</dcterms:modified>
</cp:coreProperties>
</file>