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EE4B" w14:textId="143EC803" w:rsidR="007B38F0" w:rsidRPr="008C125C" w:rsidRDefault="00F44181">
      <w:pPr>
        <w:rPr>
          <w:b/>
        </w:rPr>
      </w:pPr>
      <w:r w:rsidRPr="008C125C">
        <w:rPr>
          <w:b/>
        </w:rPr>
        <w:t xml:space="preserve">IANA Transition Comments </w:t>
      </w:r>
      <w:r w:rsidR="008772F9" w:rsidRPr="008C125C">
        <w:rPr>
          <w:b/>
        </w:rPr>
        <w:t xml:space="preserve">on the Draft FY17 </w:t>
      </w:r>
      <w:r w:rsidR="004F5720">
        <w:rPr>
          <w:b/>
        </w:rPr>
        <w:t xml:space="preserve">ICANN </w:t>
      </w:r>
      <w:r w:rsidR="008772F9" w:rsidRPr="008C125C">
        <w:rPr>
          <w:b/>
        </w:rPr>
        <w:t xml:space="preserve">Operating Plan &amp; Budget </w:t>
      </w:r>
      <w:r w:rsidRPr="008C125C">
        <w:rPr>
          <w:b/>
        </w:rPr>
        <w:t>from Chuck Gomes</w:t>
      </w:r>
    </w:p>
    <w:p w14:paraId="42B960F4" w14:textId="0A578FA0" w:rsidR="008772F9" w:rsidRDefault="00F44181">
      <w:r w:rsidRPr="008C125C">
        <w:t xml:space="preserve">These comments are submitted personally by Chuck Gomes </w:t>
      </w:r>
      <w:r w:rsidR="004F5720">
        <w:t xml:space="preserve">and do not necessarily represent the views of Verisign or the members of CWG Design Team O that Chuck led.  </w:t>
      </w:r>
    </w:p>
    <w:p w14:paraId="532DF13A" w14:textId="44E6F579" w:rsidR="0035751B" w:rsidRDefault="0035751B">
      <w:r>
        <w:t xml:space="preserve">To facilitate understanding of the comments it may be helpful to refer to the </w:t>
      </w:r>
      <w:r w:rsidRPr="0035751B">
        <w:t xml:space="preserve">Draft FY17 </w:t>
      </w:r>
      <w:r w:rsidR="00B3137A">
        <w:t xml:space="preserve">ICANN </w:t>
      </w:r>
      <w:r w:rsidRPr="0035751B">
        <w:t>Operating Plan &amp; Budget</w:t>
      </w:r>
      <w:r w:rsidR="00B473BF">
        <w:t xml:space="preserve"> and supplemental documents.  L</w:t>
      </w:r>
      <w:r>
        <w:t>ink</w:t>
      </w:r>
      <w:r w:rsidR="00B473BF">
        <w:t>s are</w:t>
      </w:r>
      <w:r>
        <w:t xml:space="preserve"> provided at </w:t>
      </w:r>
      <w:hyperlink r:id="rId8" w:history="1">
        <w:r w:rsidRPr="00E020CA">
          <w:rPr>
            <w:rStyle w:val="Hyperlink"/>
          </w:rPr>
          <w:t>https://www.icann.org/public-comments/op-budget-fy17-five-year-2016-03-05-en</w:t>
        </w:r>
      </w:hyperlink>
      <w:r>
        <w:t xml:space="preserve"> in Section III</w:t>
      </w:r>
      <w:r w:rsidR="00B473BF">
        <w:t xml:space="preserve"> to the </w:t>
      </w:r>
      <w:r w:rsidR="00B473BF" w:rsidRPr="0035751B">
        <w:t>Draft FY17 Operating Plan &amp; Budget</w:t>
      </w:r>
      <w:r w:rsidR="00B473BF">
        <w:t xml:space="preserve"> and to </w:t>
      </w:r>
      <w:r w:rsidR="00B3137A">
        <w:t xml:space="preserve">the </w:t>
      </w:r>
      <w:r w:rsidR="00B473BF">
        <w:t>breakdown of costs at the project level</w:t>
      </w:r>
      <w:r>
        <w:t>.</w:t>
      </w:r>
    </w:p>
    <w:p w14:paraId="65AA8C7C" w14:textId="5C2D9B32" w:rsidR="004F5720" w:rsidRPr="0035751B" w:rsidRDefault="004F5720">
      <w:r>
        <w:t xml:space="preserve">Note that </w:t>
      </w:r>
      <w:r>
        <w:t>t</w:t>
      </w:r>
      <w:r w:rsidRPr="008C125C">
        <w:t xml:space="preserve">he comments are provided after references to the relevant sections of the Draft FY17 </w:t>
      </w:r>
      <w:r>
        <w:t>ICANN Operating Plan &amp;</w:t>
      </w:r>
      <w:r w:rsidRPr="008C125C">
        <w:t>Budget.</w:t>
      </w:r>
    </w:p>
    <w:p w14:paraId="5CC942D6" w14:textId="77777777" w:rsidR="008772F9" w:rsidRPr="008C125C" w:rsidRDefault="008772F9">
      <w:bookmarkStart w:id="0" w:name="_Toc445126782"/>
      <w:r w:rsidRPr="008C125C">
        <w:rPr>
          <w:b/>
        </w:rPr>
        <w:t>4 - Overview of the IANA Stewardship Transition and implementation (including PTI)</w:t>
      </w:r>
      <w:bookmarkEnd w:id="0"/>
    </w:p>
    <w:p w14:paraId="4E6BCA7A" w14:textId="77777777" w:rsidR="003C5D2D" w:rsidRPr="008C125C" w:rsidRDefault="006E05EB">
      <w:bookmarkStart w:id="1" w:name="_Toc445126784"/>
      <w:r w:rsidRPr="008C125C">
        <w:rPr>
          <w:u w:val="single"/>
        </w:rPr>
        <w:t>4.2 – Focus on the Post-Transition IANA (PTI) implementation</w:t>
      </w:r>
      <w:bookmarkEnd w:id="1"/>
    </w:p>
    <w:p w14:paraId="7184B06A" w14:textId="084823B6" w:rsidR="008347C9" w:rsidRPr="008C125C" w:rsidRDefault="006E05EB">
      <w:r w:rsidRPr="008C125C">
        <w:t xml:space="preserve">A graph is provided on page 24 </w:t>
      </w:r>
      <w:r w:rsidR="00D84953" w:rsidRPr="008C125C">
        <w:t xml:space="preserve">to illustrate the planned post transition state.  The </w:t>
      </w:r>
      <w:r w:rsidR="008347C9" w:rsidRPr="008C125C">
        <w:t xml:space="preserve">following elements of the </w:t>
      </w:r>
      <w:r w:rsidR="00D84953" w:rsidRPr="008C125C">
        <w:t xml:space="preserve">graph and </w:t>
      </w:r>
      <w:r w:rsidR="008347C9" w:rsidRPr="008C125C">
        <w:t xml:space="preserve">the </w:t>
      </w:r>
      <w:r w:rsidR="00D84953" w:rsidRPr="008C125C">
        <w:t xml:space="preserve">explanations </w:t>
      </w:r>
      <w:r w:rsidR="00D3345F" w:rsidRPr="008C125C">
        <w:t>that are provided on subsequent pages</w:t>
      </w:r>
      <w:r w:rsidR="008347C9" w:rsidRPr="008C125C">
        <w:t xml:space="preserve"> raise the following questions:</w:t>
      </w:r>
    </w:p>
    <w:p w14:paraId="1843946C" w14:textId="431CA34A" w:rsidR="006E05EB" w:rsidRPr="008C125C" w:rsidRDefault="008347C9" w:rsidP="008347C9">
      <w:pPr>
        <w:pStyle w:val="ListParagraph"/>
        <w:numPr>
          <w:ilvl w:val="0"/>
          <w:numId w:val="3"/>
        </w:numPr>
        <w:rPr>
          <w:rFonts w:asciiTheme="minorHAnsi" w:hAnsiTheme="minorHAnsi"/>
          <w:szCs w:val="22"/>
        </w:rPr>
      </w:pPr>
      <w:r w:rsidRPr="008C125C">
        <w:rPr>
          <w:rFonts w:asciiTheme="minorHAnsi" w:hAnsiTheme="minorHAnsi"/>
          <w:szCs w:val="22"/>
        </w:rPr>
        <w:t>Will there need to be an IANA Department in ICANN after PTI is formed?</w:t>
      </w:r>
    </w:p>
    <w:p w14:paraId="4A914BFA" w14:textId="67B10B1C" w:rsidR="008347C9" w:rsidRPr="008C125C" w:rsidRDefault="008347C9" w:rsidP="008347C9">
      <w:pPr>
        <w:pStyle w:val="ListParagraph"/>
        <w:numPr>
          <w:ilvl w:val="1"/>
          <w:numId w:val="3"/>
        </w:numPr>
        <w:rPr>
          <w:rFonts w:asciiTheme="minorHAnsi" w:hAnsiTheme="minorHAnsi"/>
          <w:szCs w:val="22"/>
        </w:rPr>
      </w:pPr>
      <w:r w:rsidRPr="008C125C">
        <w:rPr>
          <w:rFonts w:asciiTheme="minorHAnsi" w:hAnsiTheme="minorHAnsi"/>
          <w:szCs w:val="22"/>
        </w:rPr>
        <w:t xml:space="preserve">It is our understanding that PTI will provide IANA services for all three operational communities even though </w:t>
      </w:r>
      <w:r w:rsidR="00D3345F" w:rsidRPr="008C125C">
        <w:rPr>
          <w:rFonts w:asciiTheme="minorHAnsi" w:hAnsiTheme="minorHAnsi"/>
          <w:szCs w:val="22"/>
        </w:rPr>
        <w:t xml:space="preserve">at the outset </w:t>
      </w:r>
      <w:r w:rsidRPr="008C125C">
        <w:rPr>
          <w:rFonts w:asciiTheme="minorHAnsi" w:hAnsiTheme="minorHAnsi"/>
          <w:szCs w:val="22"/>
        </w:rPr>
        <w:t xml:space="preserve">the </w:t>
      </w:r>
      <w:r w:rsidR="00D3345F" w:rsidRPr="008C125C">
        <w:rPr>
          <w:rFonts w:asciiTheme="minorHAnsi" w:hAnsiTheme="minorHAnsi"/>
          <w:szCs w:val="22"/>
        </w:rPr>
        <w:t>protocol and numbers communities will likely contract directly with ICANN, not PTI.  If our understanding is correct:</w:t>
      </w:r>
    </w:p>
    <w:p w14:paraId="7E10CFF7" w14:textId="77777777" w:rsidR="005068EE" w:rsidRPr="008C125C" w:rsidRDefault="00D3345F" w:rsidP="00D3345F">
      <w:pPr>
        <w:pStyle w:val="ListParagraph"/>
        <w:numPr>
          <w:ilvl w:val="2"/>
          <w:numId w:val="3"/>
        </w:numPr>
        <w:rPr>
          <w:rFonts w:asciiTheme="minorHAnsi" w:hAnsiTheme="minorHAnsi"/>
          <w:szCs w:val="22"/>
        </w:rPr>
      </w:pPr>
      <w:r w:rsidRPr="008C125C">
        <w:rPr>
          <w:rFonts w:asciiTheme="minorHAnsi" w:hAnsiTheme="minorHAnsi"/>
          <w:szCs w:val="22"/>
        </w:rPr>
        <w:t>Why would there need to be any IANA operations in an IANA Department?</w:t>
      </w:r>
    </w:p>
    <w:p w14:paraId="2D0A2FA4" w14:textId="3FF56800" w:rsidR="00D3345F" w:rsidRPr="008C125C" w:rsidRDefault="00D3345F" w:rsidP="00D3345F">
      <w:pPr>
        <w:pStyle w:val="ListParagraph"/>
        <w:numPr>
          <w:ilvl w:val="2"/>
          <w:numId w:val="3"/>
        </w:numPr>
        <w:rPr>
          <w:rFonts w:asciiTheme="minorHAnsi" w:hAnsiTheme="minorHAnsi"/>
          <w:szCs w:val="22"/>
        </w:rPr>
      </w:pPr>
      <w:r w:rsidRPr="008C125C">
        <w:rPr>
          <w:rFonts w:asciiTheme="minorHAnsi" w:hAnsiTheme="minorHAnsi"/>
          <w:szCs w:val="22"/>
        </w:rPr>
        <w:t>Why would there need to be an IANA Department budget as part of the ICANN b</w:t>
      </w:r>
      <w:r w:rsidR="005068EE" w:rsidRPr="008C125C">
        <w:rPr>
          <w:rFonts w:asciiTheme="minorHAnsi" w:hAnsiTheme="minorHAnsi"/>
          <w:szCs w:val="22"/>
        </w:rPr>
        <w:t>udget?</w:t>
      </w:r>
    </w:p>
    <w:p w14:paraId="140BE4BE" w14:textId="21F0AEE2" w:rsidR="00D3345F" w:rsidRPr="008C125C" w:rsidRDefault="00D3345F" w:rsidP="008347C9">
      <w:pPr>
        <w:pStyle w:val="ListParagraph"/>
        <w:numPr>
          <w:ilvl w:val="1"/>
          <w:numId w:val="3"/>
        </w:numPr>
        <w:rPr>
          <w:rFonts w:asciiTheme="minorHAnsi" w:hAnsiTheme="minorHAnsi"/>
          <w:szCs w:val="22"/>
        </w:rPr>
      </w:pPr>
      <w:r w:rsidRPr="008C125C">
        <w:rPr>
          <w:rFonts w:asciiTheme="minorHAnsi" w:hAnsiTheme="minorHAnsi"/>
          <w:szCs w:val="22"/>
        </w:rPr>
        <w:t>If there is an IANA Department in ICANN, what would it consist of?</w:t>
      </w:r>
    </w:p>
    <w:p w14:paraId="6659D3DB" w14:textId="77777777" w:rsidR="005068EE" w:rsidRPr="008C125C" w:rsidRDefault="00D3345F" w:rsidP="00D3345F">
      <w:pPr>
        <w:pStyle w:val="ListParagraph"/>
        <w:numPr>
          <w:ilvl w:val="2"/>
          <w:numId w:val="3"/>
        </w:numPr>
        <w:rPr>
          <w:rFonts w:asciiTheme="minorHAnsi" w:hAnsiTheme="minorHAnsi"/>
          <w:szCs w:val="22"/>
        </w:rPr>
      </w:pPr>
      <w:r w:rsidRPr="008C125C">
        <w:rPr>
          <w:rFonts w:asciiTheme="minorHAnsi" w:hAnsiTheme="minorHAnsi"/>
          <w:szCs w:val="22"/>
        </w:rPr>
        <w:t xml:space="preserve">It is our understanding that all of the current </w:t>
      </w:r>
      <w:r w:rsidR="005068EE" w:rsidRPr="008C125C">
        <w:rPr>
          <w:rFonts w:asciiTheme="minorHAnsi" w:hAnsiTheme="minorHAnsi"/>
          <w:szCs w:val="22"/>
        </w:rPr>
        <w:t>IANA staff will be moved to PTI:</w:t>
      </w:r>
    </w:p>
    <w:p w14:paraId="06165612" w14:textId="08251E9F" w:rsidR="00D3345F" w:rsidRPr="008C125C" w:rsidRDefault="005068EE" w:rsidP="005068EE">
      <w:pPr>
        <w:pStyle w:val="ListParagraph"/>
        <w:numPr>
          <w:ilvl w:val="3"/>
          <w:numId w:val="3"/>
        </w:numPr>
        <w:rPr>
          <w:rFonts w:asciiTheme="minorHAnsi" w:hAnsiTheme="minorHAnsi"/>
          <w:szCs w:val="22"/>
        </w:rPr>
      </w:pPr>
      <w:r w:rsidRPr="008C125C">
        <w:rPr>
          <w:rFonts w:asciiTheme="minorHAnsi" w:hAnsiTheme="minorHAnsi"/>
          <w:szCs w:val="22"/>
        </w:rPr>
        <w:t>I</w:t>
      </w:r>
      <w:r w:rsidR="00D3345F" w:rsidRPr="008C125C">
        <w:rPr>
          <w:rFonts w:asciiTheme="minorHAnsi" w:hAnsiTheme="minorHAnsi"/>
          <w:szCs w:val="22"/>
        </w:rPr>
        <w:t xml:space="preserve">s </w:t>
      </w:r>
      <w:r w:rsidRPr="008C125C">
        <w:rPr>
          <w:rFonts w:asciiTheme="minorHAnsi" w:hAnsiTheme="minorHAnsi"/>
          <w:szCs w:val="22"/>
        </w:rPr>
        <w:t xml:space="preserve">that </w:t>
      </w:r>
      <w:r w:rsidR="00D3345F" w:rsidRPr="008C125C">
        <w:rPr>
          <w:rFonts w:asciiTheme="minorHAnsi" w:hAnsiTheme="minorHAnsi"/>
          <w:szCs w:val="22"/>
        </w:rPr>
        <w:t>correct?</w:t>
      </w:r>
    </w:p>
    <w:p w14:paraId="13147A0E" w14:textId="139B18B8" w:rsidR="005068EE" w:rsidRPr="008C125C" w:rsidRDefault="005068EE" w:rsidP="005068EE">
      <w:pPr>
        <w:pStyle w:val="ListParagraph"/>
        <w:numPr>
          <w:ilvl w:val="3"/>
          <w:numId w:val="3"/>
        </w:numPr>
        <w:rPr>
          <w:rFonts w:asciiTheme="minorHAnsi" w:hAnsiTheme="minorHAnsi"/>
          <w:szCs w:val="22"/>
        </w:rPr>
      </w:pPr>
      <w:r w:rsidRPr="008C125C">
        <w:rPr>
          <w:rFonts w:asciiTheme="minorHAnsi" w:hAnsiTheme="minorHAnsi"/>
          <w:szCs w:val="22"/>
        </w:rPr>
        <w:t>If so, why would dedicated resources be needed?</w:t>
      </w:r>
    </w:p>
    <w:p w14:paraId="2971D7E0" w14:textId="4966CE61" w:rsidR="00D3345F" w:rsidRPr="008C125C" w:rsidRDefault="00D3345F" w:rsidP="00D3345F">
      <w:pPr>
        <w:pStyle w:val="ListParagraph"/>
        <w:numPr>
          <w:ilvl w:val="0"/>
          <w:numId w:val="3"/>
        </w:numPr>
        <w:rPr>
          <w:rFonts w:asciiTheme="minorHAnsi" w:hAnsiTheme="minorHAnsi"/>
          <w:szCs w:val="22"/>
        </w:rPr>
      </w:pPr>
      <w:r w:rsidRPr="008C125C">
        <w:rPr>
          <w:rFonts w:asciiTheme="minorHAnsi" w:hAnsiTheme="minorHAnsi"/>
          <w:szCs w:val="22"/>
        </w:rPr>
        <w:t>What is IAOC in the Protocols Parameter Community portion of the graph?</w:t>
      </w:r>
    </w:p>
    <w:p w14:paraId="40101612" w14:textId="4D516F37" w:rsidR="005068EE" w:rsidRPr="008C125C" w:rsidRDefault="005068EE" w:rsidP="00D3345F">
      <w:pPr>
        <w:pStyle w:val="ListParagraph"/>
        <w:numPr>
          <w:ilvl w:val="0"/>
          <w:numId w:val="3"/>
        </w:numPr>
        <w:rPr>
          <w:rFonts w:asciiTheme="minorHAnsi" w:hAnsiTheme="minorHAnsi"/>
          <w:szCs w:val="22"/>
        </w:rPr>
      </w:pPr>
      <w:r w:rsidRPr="008C125C">
        <w:rPr>
          <w:rFonts w:asciiTheme="minorHAnsi" w:hAnsiTheme="minorHAnsi"/>
          <w:szCs w:val="22"/>
        </w:rPr>
        <w:t>On page 25, the post-transition ICANN Budget shows separate components for PTI (#4) and IANA Operations Budget (#6).</w:t>
      </w:r>
    </w:p>
    <w:p w14:paraId="3F4B7843" w14:textId="5D4A8697" w:rsidR="005068EE" w:rsidRPr="008C125C" w:rsidRDefault="008C125C" w:rsidP="005068EE">
      <w:pPr>
        <w:pStyle w:val="ListParagraph"/>
        <w:numPr>
          <w:ilvl w:val="1"/>
          <w:numId w:val="3"/>
        </w:numPr>
        <w:rPr>
          <w:rFonts w:asciiTheme="minorHAnsi" w:hAnsiTheme="minorHAnsi"/>
          <w:szCs w:val="22"/>
        </w:rPr>
      </w:pPr>
      <w:r w:rsidRPr="008C125C">
        <w:rPr>
          <w:rFonts w:asciiTheme="minorHAnsi" w:hAnsiTheme="minorHAnsi"/>
          <w:szCs w:val="22"/>
        </w:rPr>
        <w:t>Why wouldn’t the IANA Operations Budget be included in the PTI Budget?</w:t>
      </w:r>
    </w:p>
    <w:p w14:paraId="0F1A2926" w14:textId="1845B9D1" w:rsidR="008C125C" w:rsidRDefault="008C125C" w:rsidP="005068EE">
      <w:pPr>
        <w:pStyle w:val="ListParagraph"/>
        <w:numPr>
          <w:ilvl w:val="1"/>
          <w:numId w:val="3"/>
        </w:numPr>
        <w:rPr>
          <w:rFonts w:asciiTheme="minorHAnsi" w:hAnsiTheme="minorHAnsi"/>
          <w:szCs w:val="22"/>
        </w:rPr>
      </w:pPr>
      <w:r>
        <w:rPr>
          <w:rFonts w:asciiTheme="minorHAnsi" w:hAnsiTheme="minorHAnsi"/>
          <w:szCs w:val="22"/>
        </w:rPr>
        <w:t>In fact, why wouldn’t the following elements shown for the IANA Operations Budget simply be parts of the PTI Budget: #3 – Direct Costs/Dedicated Resources; #7 – Direct Costs/Shared Resources; #8 – Support Services Allocations.</w:t>
      </w:r>
    </w:p>
    <w:p w14:paraId="4BD5A4BD" w14:textId="5203563F" w:rsidR="00CA4752" w:rsidRDefault="00CA4752" w:rsidP="00CA4752">
      <w:pPr>
        <w:pStyle w:val="ListParagraph"/>
        <w:numPr>
          <w:ilvl w:val="0"/>
          <w:numId w:val="3"/>
        </w:numPr>
        <w:rPr>
          <w:rFonts w:asciiTheme="minorHAnsi" w:hAnsiTheme="minorHAnsi"/>
          <w:szCs w:val="22"/>
        </w:rPr>
      </w:pPr>
      <w:r>
        <w:rPr>
          <w:rFonts w:asciiTheme="minorHAnsi" w:hAnsiTheme="minorHAnsi"/>
          <w:szCs w:val="22"/>
        </w:rPr>
        <w:t xml:space="preserve">On page 26, the description of Item #4, Post-Transition IANA (PTI) is: “New legal </w:t>
      </w:r>
      <w:r w:rsidR="00A64E59">
        <w:rPr>
          <w:rFonts w:asciiTheme="minorHAnsi" w:hAnsiTheme="minorHAnsi"/>
          <w:szCs w:val="22"/>
        </w:rPr>
        <w:t>entity, destined</w:t>
      </w:r>
      <w:r>
        <w:rPr>
          <w:rFonts w:asciiTheme="minorHAnsi" w:hAnsiTheme="minorHAnsi"/>
          <w:szCs w:val="22"/>
        </w:rPr>
        <w:t xml:space="preserve"> to host activities and costs of the IANA functions in service of the Names community.”</w:t>
      </w:r>
    </w:p>
    <w:p w14:paraId="5303F665" w14:textId="496EDBB3" w:rsidR="00CA4752" w:rsidRDefault="00CA4752" w:rsidP="00CA4752">
      <w:pPr>
        <w:pStyle w:val="ListParagraph"/>
        <w:numPr>
          <w:ilvl w:val="1"/>
          <w:numId w:val="3"/>
        </w:numPr>
        <w:rPr>
          <w:rFonts w:asciiTheme="minorHAnsi" w:hAnsiTheme="minorHAnsi"/>
          <w:szCs w:val="22"/>
        </w:rPr>
      </w:pPr>
      <w:r>
        <w:rPr>
          <w:rFonts w:asciiTheme="minorHAnsi" w:hAnsiTheme="minorHAnsi"/>
          <w:szCs w:val="22"/>
        </w:rPr>
        <w:t xml:space="preserve">As noted above, it </w:t>
      </w:r>
      <w:r w:rsidRPr="008C125C">
        <w:rPr>
          <w:rFonts w:asciiTheme="minorHAnsi" w:hAnsiTheme="minorHAnsi"/>
          <w:szCs w:val="22"/>
        </w:rPr>
        <w:t>is our understanding that PTI will provide IANA services for all three operational communities</w:t>
      </w:r>
      <w:r>
        <w:rPr>
          <w:rFonts w:asciiTheme="minorHAnsi" w:hAnsiTheme="minorHAnsi"/>
          <w:szCs w:val="22"/>
        </w:rPr>
        <w:t>.</w:t>
      </w:r>
    </w:p>
    <w:p w14:paraId="4CBB5A7A" w14:textId="2197F1F8" w:rsidR="005F70C3" w:rsidRPr="008C125C" w:rsidRDefault="0035751B" w:rsidP="00D3345F">
      <w:r>
        <w:t>If our understandings above are accurate, then edits should be made to the graph on page 24, the budget tables on page 25 and the descriptions on page 26.</w:t>
      </w:r>
    </w:p>
    <w:p w14:paraId="63F08128" w14:textId="77777777" w:rsidR="00FE5AF3" w:rsidRDefault="00FE5AF3">
      <w:pPr>
        <w:rPr>
          <w:u w:val="single"/>
        </w:rPr>
      </w:pPr>
      <w:bookmarkStart w:id="2" w:name="_Toc445126785"/>
    </w:p>
    <w:p w14:paraId="73A1AE80" w14:textId="77777777" w:rsidR="00D84953" w:rsidRPr="008C125C" w:rsidRDefault="00A15BA3">
      <w:bookmarkStart w:id="3" w:name="_GoBack"/>
      <w:bookmarkEnd w:id="3"/>
      <w:r w:rsidRPr="008C125C">
        <w:rPr>
          <w:u w:val="single"/>
        </w:rPr>
        <w:lastRenderedPageBreak/>
        <w:t>4.3 - Focus on the IANA Functions Operating Plan and Budget</w:t>
      </w:r>
      <w:bookmarkEnd w:id="2"/>
    </w:p>
    <w:p w14:paraId="1CB05857" w14:textId="480F1F50" w:rsidR="00A15BA3" w:rsidRDefault="00A15BA3" w:rsidP="00A15BA3">
      <w:pPr>
        <w:pStyle w:val="CommentText"/>
        <w:rPr>
          <w:rFonts w:asciiTheme="minorHAnsi" w:hAnsiTheme="minorHAnsi"/>
          <w:sz w:val="22"/>
          <w:szCs w:val="22"/>
        </w:rPr>
      </w:pPr>
      <w:r w:rsidRPr="008C125C">
        <w:rPr>
          <w:rFonts w:asciiTheme="minorHAnsi" w:hAnsiTheme="minorHAnsi"/>
          <w:sz w:val="22"/>
          <w:szCs w:val="22"/>
        </w:rPr>
        <w:t xml:space="preserve">A table is </w:t>
      </w:r>
      <w:r w:rsidR="000B490B" w:rsidRPr="008C125C">
        <w:rPr>
          <w:rFonts w:asciiTheme="minorHAnsi" w:hAnsiTheme="minorHAnsi"/>
          <w:sz w:val="22"/>
          <w:szCs w:val="22"/>
        </w:rPr>
        <w:t xml:space="preserve">provided at the top of page 28 </w:t>
      </w:r>
      <w:r w:rsidRPr="008C125C">
        <w:rPr>
          <w:rFonts w:asciiTheme="minorHAnsi" w:hAnsiTheme="minorHAnsi"/>
          <w:sz w:val="22"/>
          <w:szCs w:val="22"/>
        </w:rPr>
        <w:t>that shows a summarized view of</w:t>
      </w:r>
      <w:r w:rsidR="00691863">
        <w:rPr>
          <w:rFonts w:asciiTheme="minorHAnsi" w:hAnsiTheme="minorHAnsi"/>
          <w:sz w:val="22"/>
          <w:szCs w:val="22"/>
        </w:rPr>
        <w:t xml:space="preserve"> the total IANA Functions costs with</w:t>
      </w:r>
      <w:r w:rsidRPr="008C125C">
        <w:rPr>
          <w:rFonts w:asciiTheme="minorHAnsi" w:hAnsiTheme="minorHAnsi"/>
          <w:sz w:val="22"/>
          <w:szCs w:val="22"/>
        </w:rPr>
        <w:t xml:space="preserve"> breakdown</w:t>
      </w:r>
      <w:r w:rsidR="00691863">
        <w:rPr>
          <w:rFonts w:asciiTheme="minorHAnsi" w:hAnsiTheme="minorHAnsi"/>
          <w:sz w:val="22"/>
          <w:szCs w:val="22"/>
        </w:rPr>
        <w:t xml:space="preserve">s by operational community and </w:t>
      </w:r>
      <w:r w:rsidRPr="008C125C">
        <w:rPr>
          <w:rFonts w:asciiTheme="minorHAnsi" w:hAnsiTheme="minorHAnsi"/>
          <w:sz w:val="22"/>
          <w:szCs w:val="22"/>
        </w:rPr>
        <w:t xml:space="preserve">by the three sources of costs.  </w:t>
      </w:r>
      <w:r w:rsidR="00691863">
        <w:rPr>
          <w:rFonts w:asciiTheme="minorHAnsi" w:hAnsiTheme="minorHAnsi"/>
          <w:sz w:val="22"/>
          <w:szCs w:val="22"/>
        </w:rPr>
        <w:t xml:space="preserve">It is our understanding that these costs include the costs for PTI and the IANA Department as shown in the </w:t>
      </w:r>
      <w:r w:rsidRPr="008C125C">
        <w:rPr>
          <w:rFonts w:asciiTheme="minorHAnsi" w:hAnsiTheme="minorHAnsi"/>
          <w:sz w:val="22"/>
          <w:szCs w:val="22"/>
        </w:rPr>
        <w:t>diagram of the IANA implementation in Section 4.2</w:t>
      </w:r>
      <w:r w:rsidR="00691863">
        <w:rPr>
          <w:rFonts w:asciiTheme="minorHAnsi" w:hAnsiTheme="minorHAnsi"/>
          <w:sz w:val="22"/>
          <w:szCs w:val="22"/>
        </w:rPr>
        <w:t xml:space="preserve"> on page 24.</w:t>
      </w:r>
    </w:p>
    <w:p w14:paraId="7114D4EC" w14:textId="3B8F2E46" w:rsidR="00691863" w:rsidRDefault="00E607F9" w:rsidP="00691863">
      <w:pPr>
        <w:pStyle w:val="CommentText"/>
        <w:numPr>
          <w:ilvl w:val="0"/>
          <w:numId w:val="4"/>
        </w:numPr>
        <w:rPr>
          <w:rFonts w:asciiTheme="minorHAnsi" w:hAnsiTheme="minorHAnsi"/>
          <w:sz w:val="22"/>
          <w:szCs w:val="22"/>
        </w:rPr>
      </w:pPr>
      <w:r>
        <w:rPr>
          <w:rFonts w:asciiTheme="minorHAnsi" w:hAnsiTheme="minorHAnsi"/>
          <w:sz w:val="22"/>
          <w:szCs w:val="22"/>
        </w:rPr>
        <w:t>First of all we want to say that the breakdowns are very helpful.</w:t>
      </w:r>
    </w:p>
    <w:p w14:paraId="5CB2FA7A" w14:textId="77777777" w:rsidR="00E607F9" w:rsidRDefault="00E607F9" w:rsidP="00E607F9">
      <w:pPr>
        <w:pStyle w:val="CommentText"/>
        <w:numPr>
          <w:ilvl w:val="0"/>
          <w:numId w:val="4"/>
        </w:numPr>
        <w:rPr>
          <w:rFonts w:asciiTheme="minorHAnsi" w:hAnsiTheme="minorHAnsi"/>
          <w:sz w:val="22"/>
          <w:szCs w:val="22"/>
        </w:rPr>
      </w:pPr>
      <w:r>
        <w:rPr>
          <w:rFonts w:asciiTheme="minorHAnsi" w:hAnsiTheme="minorHAnsi"/>
          <w:sz w:val="22"/>
          <w:szCs w:val="22"/>
        </w:rPr>
        <w:t>Second, we would like to know what the PTI Specific Costs represent.</w:t>
      </w:r>
    </w:p>
    <w:p w14:paraId="6C3EF81F" w14:textId="3264D34A" w:rsidR="00E607F9" w:rsidRDefault="00E607F9" w:rsidP="00E607F9">
      <w:pPr>
        <w:pStyle w:val="CommentText"/>
        <w:numPr>
          <w:ilvl w:val="1"/>
          <w:numId w:val="4"/>
        </w:numPr>
        <w:rPr>
          <w:rFonts w:asciiTheme="minorHAnsi" w:hAnsiTheme="minorHAnsi"/>
          <w:sz w:val="22"/>
          <w:szCs w:val="22"/>
        </w:rPr>
      </w:pPr>
      <w:r>
        <w:rPr>
          <w:rFonts w:asciiTheme="minorHAnsi" w:hAnsiTheme="minorHAnsi"/>
          <w:sz w:val="22"/>
          <w:szCs w:val="22"/>
        </w:rPr>
        <w:t>Aren’t the three categories of costs above in the ‘Names’ column also specific to PTI?</w:t>
      </w:r>
    </w:p>
    <w:p w14:paraId="6CA470BF" w14:textId="7E2001F4" w:rsidR="00E607F9" w:rsidRDefault="00E607F9" w:rsidP="00E607F9">
      <w:pPr>
        <w:pStyle w:val="CommentText"/>
        <w:numPr>
          <w:ilvl w:val="1"/>
          <w:numId w:val="4"/>
        </w:numPr>
        <w:rPr>
          <w:rFonts w:asciiTheme="minorHAnsi" w:hAnsiTheme="minorHAnsi"/>
          <w:sz w:val="22"/>
          <w:szCs w:val="22"/>
        </w:rPr>
      </w:pPr>
      <w:r>
        <w:rPr>
          <w:rFonts w:asciiTheme="minorHAnsi" w:hAnsiTheme="minorHAnsi"/>
          <w:sz w:val="22"/>
          <w:szCs w:val="22"/>
        </w:rPr>
        <w:t>A more detailed breakout of the PTI Specific costs is requested.</w:t>
      </w:r>
    </w:p>
    <w:p w14:paraId="629DEFBC" w14:textId="2CF7F0FE" w:rsidR="00E607F9" w:rsidRPr="00E607F9" w:rsidRDefault="00E607F9" w:rsidP="00E607F9">
      <w:pPr>
        <w:pStyle w:val="CommentText"/>
        <w:numPr>
          <w:ilvl w:val="0"/>
          <w:numId w:val="4"/>
        </w:numPr>
        <w:rPr>
          <w:rFonts w:asciiTheme="minorHAnsi" w:hAnsiTheme="minorHAnsi"/>
          <w:sz w:val="22"/>
          <w:szCs w:val="22"/>
        </w:rPr>
      </w:pPr>
      <w:r>
        <w:rPr>
          <w:rFonts w:asciiTheme="minorHAnsi" w:hAnsiTheme="minorHAnsi"/>
          <w:sz w:val="22"/>
          <w:szCs w:val="22"/>
        </w:rPr>
        <w:t>Third, if our assumptions in our comments above for Section 4.2 are correct, then it seems like all of the costs shown in the table on page 28 should be shown as PTI costs; if not, an explanation is requested.</w:t>
      </w:r>
    </w:p>
    <w:p w14:paraId="3439D48D" w14:textId="77777777" w:rsidR="000B490B" w:rsidRPr="008C125C" w:rsidRDefault="000B490B" w:rsidP="00A15BA3">
      <w:pPr>
        <w:pStyle w:val="CommentText"/>
        <w:rPr>
          <w:rFonts w:asciiTheme="minorHAnsi" w:hAnsiTheme="minorHAnsi"/>
          <w:sz w:val="22"/>
          <w:szCs w:val="22"/>
        </w:rPr>
      </w:pPr>
    </w:p>
    <w:p w14:paraId="299C01FC" w14:textId="77777777" w:rsidR="00E40D24" w:rsidRPr="008C125C" w:rsidRDefault="00E40D24" w:rsidP="00A15BA3">
      <w:pPr>
        <w:pStyle w:val="CommentText"/>
        <w:rPr>
          <w:rFonts w:asciiTheme="minorHAnsi" w:hAnsiTheme="minorHAnsi"/>
          <w:sz w:val="22"/>
          <w:szCs w:val="22"/>
        </w:rPr>
      </w:pPr>
      <w:bookmarkStart w:id="4" w:name="_Toc445126795"/>
      <w:r w:rsidRPr="008C125C">
        <w:rPr>
          <w:rFonts w:asciiTheme="minorHAnsi" w:hAnsiTheme="minorHAnsi"/>
          <w:b/>
          <w:sz w:val="22"/>
          <w:szCs w:val="22"/>
        </w:rPr>
        <w:t>7 - FY17 Operating Plan &amp; Budget – Description</w:t>
      </w:r>
      <w:bookmarkEnd w:id="4"/>
    </w:p>
    <w:p w14:paraId="668B082B" w14:textId="77777777" w:rsidR="00C42546" w:rsidRPr="008C125C" w:rsidRDefault="00C42546" w:rsidP="00C42546">
      <w:pPr>
        <w:pStyle w:val="CommentText"/>
        <w:rPr>
          <w:rFonts w:asciiTheme="minorHAnsi" w:hAnsiTheme="minorHAnsi"/>
          <w:sz w:val="22"/>
          <w:szCs w:val="22"/>
        </w:rPr>
      </w:pPr>
    </w:p>
    <w:p w14:paraId="7EC54537" w14:textId="77777777" w:rsidR="00C42546" w:rsidRPr="008C125C" w:rsidRDefault="00C42546">
      <w:pPr>
        <w:rPr>
          <w:u w:val="single"/>
        </w:rPr>
      </w:pPr>
      <w:r w:rsidRPr="008C125C">
        <w:rPr>
          <w:u w:val="single"/>
        </w:rPr>
        <w:t>7 - 2.1.7 Implementation of IANA Functions Stewardship Transition &amp; Enhancing ICANN Accountability</w:t>
      </w:r>
    </w:p>
    <w:p w14:paraId="5FF97AA5" w14:textId="76420236" w:rsidR="005F70C3" w:rsidRDefault="005F70C3" w:rsidP="007C4390">
      <w:pPr>
        <w:pStyle w:val="CommentText"/>
        <w:rPr>
          <w:rFonts w:asciiTheme="minorHAnsi" w:hAnsiTheme="minorHAnsi"/>
          <w:sz w:val="22"/>
          <w:szCs w:val="22"/>
        </w:rPr>
      </w:pPr>
      <w:r>
        <w:rPr>
          <w:rFonts w:asciiTheme="minorHAnsi" w:hAnsiTheme="minorHAnsi"/>
          <w:sz w:val="22"/>
          <w:szCs w:val="22"/>
        </w:rPr>
        <w:t xml:space="preserve">On page 47, we note that </w:t>
      </w:r>
      <w:r w:rsidR="00D85959">
        <w:rPr>
          <w:rFonts w:asciiTheme="minorHAnsi" w:hAnsiTheme="minorHAnsi"/>
          <w:sz w:val="22"/>
          <w:szCs w:val="22"/>
        </w:rPr>
        <w:t xml:space="preserve">$1.1M </w:t>
      </w:r>
      <w:r>
        <w:rPr>
          <w:rFonts w:asciiTheme="minorHAnsi" w:hAnsiTheme="minorHAnsi"/>
          <w:sz w:val="22"/>
          <w:szCs w:val="22"/>
        </w:rPr>
        <w:t>is budgeted for this portfolio:</w:t>
      </w:r>
    </w:p>
    <w:p w14:paraId="7F4C72D9" w14:textId="77777777" w:rsidR="005F70C3" w:rsidRDefault="005F70C3" w:rsidP="005F70C3">
      <w:pPr>
        <w:pStyle w:val="CommentText"/>
        <w:numPr>
          <w:ilvl w:val="0"/>
          <w:numId w:val="5"/>
        </w:numPr>
        <w:rPr>
          <w:rFonts w:asciiTheme="minorHAnsi" w:hAnsiTheme="minorHAnsi"/>
          <w:sz w:val="22"/>
          <w:szCs w:val="22"/>
        </w:rPr>
      </w:pPr>
      <w:r w:rsidRPr="005F70C3">
        <w:rPr>
          <w:rFonts w:asciiTheme="minorHAnsi" w:hAnsiTheme="minorHAnsi"/>
          <w:sz w:val="22"/>
          <w:szCs w:val="22"/>
        </w:rPr>
        <w:t xml:space="preserve">The equivalent of one full-time person at a cost of </w:t>
      </w:r>
      <w:r w:rsidR="007C4390" w:rsidRPr="005F70C3">
        <w:rPr>
          <w:rFonts w:asciiTheme="minorHAnsi" w:hAnsiTheme="minorHAnsi"/>
          <w:sz w:val="22"/>
          <w:szCs w:val="22"/>
        </w:rPr>
        <w:t>$300K</w:t>
      </w:r>
    </w:p>
    <w:p w14:paraId="45C44EC7" w14:textId="77777777" w:rsidR="005F70C3" w:rsidRDefault="007C4390" w:rsidP="005F70C3">
      <w:pPr>
        <w:pStyle w:val="CommentText"/>
        <w:numPr>
          <w:ilvl w:val="0"/>
          <w:numId w:val="5"/>
        </w:numPr>
        <w:rPr>
          <w:rFonts w:asciiTheme="minorHAnsi" w:hAnsiTheme="minorHAnsi"/>
          <w:sz w:val="22"/>
          <w:szCs w:val="22"/>
        </w:rPr>
      </w:pPr>
      <w:r w:rsidRPr="005F70C3">
        <w:rPr>
          <w:rFonts w:asciiTheme="minorHAnsi" w:hAnsiTheme="minorHAnsi"/>
          <w:sz w:val="22"/>
          <w:szCs w:val="22"/>
        </w:rPr>
        <w:t xml:space="preserve"> $800K for Professional Services</w:t>
      </w:r>
      <w:r w:rsidR="005F70C3" w:rsidRPr="005F70C3">
        <w:rPr>
          <w:rFonts w:asciiTheme="minorHAnsi" w:hAnsiTheme="minorHAnsi"/>
          <w:sz w:val="22"/>
          <w:szCs w:val="22"/>
        </w:rPr>
        <w:t>.</w:t>
      </w:r>
    </w:p>
    <w:p w14:paraId="35560996" w14:textId="77777777" w:rsidR="005F70C3" w:rsidRDefault="005F70C3" w:rsidP="005F70C3">
      <w:pPr>
        <w:pStyle w:val="CommentText"/>
        <w:ind w:left="48"/>
        <w:rPr>
          <w:rFonts w:asciiTheme="minorHAnsi" w:hAnsiTheme="minorHAnsi"/>
          <w:sz w:val="22"/>
          <w:szCs w:val="22"/>
        </w:rPr>
      </w:pPr>
    </w:p>
    <w:p w14:paraId="40BA8A45" w14:textId="337210CF" w:rsidR="005F70C3" w:rsidRDefault="005F70C3" w:rsidP="005F70C3">
      <w:pPr>
        <w:pStyle w:val="CommentText"/>
        <w:ind w:left="48"/>
        <w:rPr>
          <w:rFonts w:asciiTheme="minorHAnsi" w:hAnsiTheme="minorHAnsi"/>
          <w:sz w:val="22"/>
          <w:szCs w:val="22"/>
        </w:rPr>
      </w:pPr>
      <w:r>
        <w:rPr>
          <w:rFonts w:asciiTheme="minorHAnsi" w:hAnsiTheme="minorHAnsi"/>
          <w:sz w:val="22"/>
          <w:szCs w:val="22"/>
        </w:rPr>
        <w:t xml:space="preserve">From the spreadsheet that contains the </w:t>
      </w:r>
      <w:r w:rsidR="00D85959">
        <w:rPr>
          <w:rFonts w:asciiTheme="minorHAnsi" w:hAnsiTheme="minorHAnsi"/>
          <w:sz w:val="22"/>
          <w:szCs w:val="22"/>
        </w:rPr>
        <w:t>breakout of costs by project, we see that this portfolio contains two projects both of which relate to enhancing ICANN Accountability.</w:t>
      </w:r>
    </w:p>
    <w:p w14:paraId="7B6A2DF5" w14:textId="2B2969DD" w:rsidR="00D85959" w:rsidRDefault="00D85959" w:rsidP="00D85959">
      <w:pPr>
        <w:pStyle w:val="CommentText"/>
        <w:numPr>
          <w:ilvl w:val="0"/>
          <w:numId w:val="6"/>
        </w:numPr>
        <w:rPr>
          <w:rFonts w:asciiTheme="minorHAnsi" w:hAnsiTheme="minorHAnsi"/>
          <w:sz w:val="22"/>
          <w:szCs w:val="22"/>
        </w:rPr>
      </w:pPr>
      <w:r>
        <w:rPr>
          <w:rFonts w:asciiTheme="minorHAnsi" w:hAnsiTheme="minorHAnsi"/>
          <w:sz w:val="22"/>
          <w:szCs w:val="22"/>
        </w:rPr>
        <w:t>Is it safe to assume that the costs for implementation of the IANA Functions Stewardship are contained elsewhere?</w:t>
      </w:r>
    </w:p>
    <w:p w14:paraId="04B4E7B3" w14:textId="57944683" w:rsidR="00D85959" w:rsidRDefault="00D85959" w:rsidP="00D85959">
      <w:pPr>
        <w:pStyle w:val="CommentText"/>
        <w:numPr>
          <w:ilvl w:val="1"/>
          <w:numId w:val="6"/>
        </w:numPr>
        <w:rPr>
          <w:rFonts w:asciiTheme="minorHAnsi" w:hAnsiTheme="minorHAnsi"/>
          <w:sz w:val="22"/>
          <w:szCs w:val="22"/>
        </w:rPr>
      </w:pPr>
      <w:r>
        <w:rPr>
          <w:rFonts w:asciiTheme="minorHAnsi" w:hAnsiTheme="minorHAnsi"/>
          <w:sz w:val="22"/>
          <w:szCs w:val="22"/>
        </w:rPr>
        <w:t>If so it would be helpful to provide a reference in this section to where they can be found, especially since the portfolio title includes the implementation of the IANA functions.</w:t>
      </w:r>
    </w:p>
    <w:p w14:paraId="3E4A86DD" w14:textId="235FBB90" w:rsidR="00D85959" w:rsidRDefault="00D85959" w:rsidP="00D85959">
      <w:pPr>
        <w:pStyle w:val="CommentText"/>
        <w:numPr>
          <w:ilvl w:val="0"/>
          <w:numId w:val="6"/>
        </w:numPr>
        <w:rPr>
          <w:rFonts w:asciiTheme="minorHAnsi" w:hAnsiTheme="minorHAnsi"/>
          <w:sz w:val="22"/>
          <w:szCs w:val="22"/>
        </w:rPr>
      </w:pPr>
      <w:r>
        <w:rPr>
          <w:rFonts w:asciiTheme="minorHAnsi" w:hAnsiTheme="minorHAnsi"/>
          <w:sz w:val="22"/>
          <w:szCs w:val="22"/>
        </w:rPr>
        <w:t>Is the $1.1M the total amount planned in FY17 for ICANN Accountability?</w:t>
      </w:r>
    </w:p>
    <w:p w14:paraId="2AAB45B3" w14:textId="48136DAC" w:rsidR="00D85959" w:rsidRPr="00D85959" w:rsidRDefault="00D85959" w:rsidP="00D85959">
      <w:pPr>
        <w:pStyle w:val="CommentText"/>
        <w:numPr>
          <w:ilvl w:val="1"/>
          <w:numId w:val="6"/>
        </w:numPr>
        <w:rPr>
          <w:rFonts w:asciiTheme="minorHAnsi" w:hAnsiTheme="minorHAnsi"/>
          <w:sz w:val="22"/>
          <w:szCs w:val="22"/>
        </w:rPr>
      </w:pPr>
      <w:r>
        <w:rPr>
          <w:rFonts w:asciiTheme="minorHAnsi" w:hAnsiTheme="minorHAnsi"/>
          <w:sz w:val="22"/>
          <w:szCs w:val="22"/>
        </w:rPr>
        <w:t>If not, where are other funds budgeted?</w:t>
      </w:r>
    </w:p>
    <w:p w14:paraId="7849F7EA" w14:textId="77777777" w:rsidR="00D85959" w:rsidRDefault="00D85959" w:rsidP="00D85959">
      <w:pPr>
        <w:pStyle w:val="CommentText"/>
        <w:numPr>
          <w:ilvl w:val="0"/>
          <w:numId w:val="6"/>
        </w:numPr>
        <w:rPr>
          <w:rFonts w:asciiTheme="minorHAnsi" w:hAnsiTheme="minorHAnsi"/>
          <w:sz w:val="22"/>
          <w:szCs w:val="22"/>
        </w:rPr>
      </w:pPr>
      <w:r>
        <w:rPr>
          <w:rFonts w:asciiTheme="minorHAnsi" w:hAnsiTheme="minorHAnsi"/>
          <w:sz w:val="22"/>
          <w:szCs w:val="22"/>
        </w:rPr>
        <w:t>It is difficult to determine whether the budgeted costs will be sufficient for implementing the ICANN Accountability recommendations in FY17.</w:t>
      </w:r>
    </w:p>
    <w:p w14:paraId="6ECF00B9" w14:textId="79262B54" w:rsidR="00D85959" w:rsidRDefault="00D85959" w:rsidP="00D85959">
      <w:pPr>
        <w:pStyle w:val="CommentText"/>
        <w:numPr>
          <w:ilvl w:val="1"/>
          <w:numId w:val="6"/>
        </w:numPr>
        <w:rPr>
          <w:rFonts w:asciiTheme="minorHAnsi" w:hAnsiTheme="minorHAnsi"/>
          <w:sz w:val="22"/>
          <w:szCs w:val="22"/>
        </w:rPr>
      </w:pPr>
      <w:r>
        <w:rPr>
          <w:rFonts w:asciiTheme="minorHAnsi" w:hAnsiTheme="minorHAnsi"/>
          <w:sz w:val="22"/>
          <w:szCs w:val="22"/>
        </w:rPr>
        <w:t>How were the cost estimates determined?</w:t>
      </w:r>
    </w:p>
    <w:p w14:paraId="3FE21AAF" w14:textId="4E90E29B" w:rsidR="007C4390" w:rsidRPr="00A64E59" w:rsidRDefault="00A64E59" w:rsidP="007C4390">
      <w:pPr>
        <w:pStyle w:val="CommentText"/>
        <w:numPr>
          <w:ilvl w:val="1"/>
          <w:numId w:val="6"/>
        </w:numPr>
        <w:rPr>
          <w:rFonts w:asciiTheme="minorHAnsi" w:hAnsiTheme="minorHAnsi"/>
          <w:sz w:val="22"/>
          <w:szCs w:val="22"/>
        </w:rPr>
      </w:pPr>
      <w:r>
        <w:rPr>
          <w:rFonts w:asciiTheme="minorHAnsi" w:hAnsiTheme="minorHAnsi"/>
          <w:sz w:val="22"/>
          <w:szCs w:val="22"/>
        </w:rPr>
        <w:t>Is it possible to see the cost build-up?</w:t>
      </w:r>
    </w:p>
    <w:p w14:paraId="60268CE8" w14:textId="77777777" w:rsidR="00240025" w:rsidRPr="008C125C" w:rsidRDefault="00240025" w:rsidP="00240025">
      <w:pPr>
        <w:pStyle w:val="Heading2"/>
        <w:ind w:right="2240"/>
        <w:rPr>
          <w:rFonts w:asciiTheme="minorHAnsi" w:hAnsiTheme="minorHAnsi"/>
          <w:b w:val="0"/>
          <w:sz w:val="22"/>
          <w:szCs w:val="22"/>
          <w:u w:val="single"/>
        </w:rPr>
      </w:pPr>
      <w:bookmarkStart w:id="5" w:name="_Toc445126807"/>
      <w:r w:rsidRPr="008C125C">
        <w:rPr>
          <w:rFonts w:asciiTheme="minorHAnsi" w:hAnsiTheme="minorHAnsi"/>
          <w:b w:val="0"/>
          <w:sz w:val="22"/>
          <w:szCs w:val="22"/>
          <w:u w:val="single"/>
        </w:rPr>
        <w:t>7.12 – 3.2 Ensure Structured coordination of ICANN’s technical resources</w:t>
      </w:r>
    </w:p>
    <w:bookmarkEnd w:id="5"/>
    <w:p w14:paraId="41F8783F" w14:textId="77777777" w:rsidR="007C4390" w:rsidRPr="008C125C" w:rsidRDefault="007C4390" w:rsidP="007C4390">
      <w:pPr>
        <w:pStyle w:val="CommentText"/>
        <w:rPr>
          <w:rFonts w:asciiTheme="minorHAnsi" w:hAnsiTheme="minorHAnsi"/>
          <w:sz w:val="22"/>
          <w:szCs w:val="22"/>
        </w:rPr>
      </w:pPr>
    </w:p>
    <w:p w14:paraId="19126EDB" w14:textId="42D0ABF9" w:rsidR="00D71ABC" w:rsidRPr="008C125C" w:rsidRDefault="00A64E59">
      <w:r>
        <w:t>For this goal, t</w:t>
      </w:r>
      <w:r w:rsidR="00300FA6" w:rsidRPr="008C125C">
        <w:t>he second activity listed on pages 54-55 is: “Measure and compare metric for the IANA Functions against baseline for YoY improvement”</w:t>
      </w:r>
      <w:r>
        <w:t>. It undoubtedly does not need to be said that t</w:t>
      </w:r>
      <w:r w:rsidR="00300FA6" w:rsidRPr="008C125C">
        <w:t xml:space="preserve">his will need to include </w:t>
      </w:r>
      <w:r>
        <w:t xml:space="preserve">the </w:t>
      </w:r>
      <w:r w:rsidR="00300FA6" w:rsidRPr="008C125C">
        <w:t>new SLEs once they are finalized</w:t>
      </w:r>
      <w:r w:rsidR="008A0EE0" w:rsidRPr="008C125C">
        <w:t>.</w:t>
      </w:r>
    </w:p>
    <w:sectPr w:rsidR="00D71ABC" w:rsidRPr="008C125C">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45B94" w15:done="0"/>
  <w15:commentEx w15:paraId="601364DD" w15:done="0"/>
  <w15:commentEx w15:paraId="2BFF12F3" w15:done="0"/>
  <w15:commentEx w15:paraId="54B01995" w15:done="0"/>
  <w15:commentEx w15:paraId="06FA76E0" w15:done="0"/>
  <w15:commentEx w15:paraId="69CEE5B3" w15:done="0"/>
  <w15:commentEx w15:paraId="59AD06B8" w15:done="0"/>
  <w15:commentEx w15:paraId="07D46E07" w15:done="0"/>
  <w15:commentEx w15:paraId="2584254A" w15:done="0"/>
  <w15:commentEx w15:paraId="6100210B" w15:done="0"/>
  <w15:commentEx w15:paraId="61E8A1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5E233" w14:textId="77777777" w:rsidR="00015E17" w:rsidRDefault="00015E17" w:rsidP="00B473BF">
      <w:pPr>
        <w:spacing w:after="0" w:line="240" w:lineRule="auto"/>
      </w:pPr>
      <w:r>
        <w:separator/>
      </w:r>
    </w:p>
  </w:endnote>
  <w:endnote w:type="continuationSeparator" w:id="0">
    <w:p w14:paraId="1C367C04" w14:textId="77777777" w:rsidR="00015E17" w:rsidRDefault="00015E17" w:rsidP="00B4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ource Sans Pro">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41044"/>
      <w:docPartObj>
        <w:docPartGallery w:val="Page Numbers (Bottom of Page)"/>
        <w:docPartUnique/>
      </w:docPartObj>
    </w:sdtPr>
    <w:sdtEndPr>
      <w:rPr>
        <w:noProof/>
      </w:rPr>
    </w:sdtEndPr>
    <w:sdtContent>
      <w:p w14:paraId="65634B1C" w14:textId="58750B94" w:rsidR="00B473BF" w:rsidRDefault="00B473BF">
        <w:pPr>
          <w:pStyle w:val="Footer"/>
          <w:jc w:val="right"/>
        </w:pPr>
        <w:r>
          <w:fldChar w:fldCharType="begin"/>
        </w:r>
        <w:r>
          <w:instrText xml:space="preserve"> PAGE   \* MERGEFORMAT </w:instrText>
        </w:r>
        <w:r>
          <w:fldChar w:fldCharType="separate"/>
        </w:r>
        <w:r w:rsidR="00FE5AF3">
          <w:rPr>
            <w:noProof/>
          </w:rPr>
          <w:t>2</w:t>
        </w:r>
        <w:r>
          <w:rPr>
            <w:noProof/>
          </w:rPr>
          <w:fldChar w:fldCharType="end"/>
        </w:r>
      </w:p>
    </w:sdtContent>
  </w:sdt>
  <w:p w14:paraId="4BB876D0" w14:textId="77777777" w:rsidR="00B473BF" w:rsidRDefault="00B47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804C4" w14:textId="77777777" w:rsidR="00015E17" w:rsidRDefault="00015E17" w:rsidP="00B473BF">
      <w:pPr>
        <w:spacing w:after="0" w:line="240" w:lineRule="auto"/>
      </w:pPr>
      <w:r>
        <w:separator/>
      </w:r>
    </w:p>
  </w:footnote>
  <w:footnote w:type="continuationSeparator" w:id="0">
    <w:p w14:paraId="2FD80822" w14:textId="77777777" w:rsidR="00015E17" w:rsidRDefault="00015E17" w:rsidP="00B47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4EA"/>
    <w:multiLevelType w:val="hybridMultilevel"/>
    <w:tmpl w:val="2F44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F7B06"/>
    <w:multiLevelType w:val="hybridMultilevel"/>
    <w:tmpl w:val="DF3A4B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372161E"/>
    <w:multiLevelType w:val="hybridMultilevel"/>
    <w:tmpl w:val="608EC3BE"/>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cs="Courier New" w:hint="default"/>
      </w:rPr>
    </w:lvl>
    <w:lvl w:ilvl="2" w:tplc="04090005">
      <w:start w:val="1"/>
      <w:numFmt w:val="bullet"/>
      <w:lvlText w:val=""/>
      <w:lvlJc w:val="left"/>
      <w:pPr>
        <w:ind w:left="2255" w:hanging="360"/>
      </w:pPr>
      <w:rPr>
        <w:rFonts w:ascii="Wingdings" w:hAnsi="Wingdings" w:hint="default"/>
      </w:rPr>
    </w:lvl>
    <w:lvl w:ilvl="3" w:tplc="6F66FD7C">
      <w:start w:val="1"/>
      <w:numFmt w:val="bullet"/>
      <w:lvlText w:val="-"/>
      <w:lvlJc w:val="left"/>
      <w:pPr>
        <w:ind w:left="2975" w:hanging="360"/>
      </w:pPr>
      <w:rPr>
        <w:rFonts w:ascii="Times New Roman" w:hAnsi="Times New Roman" w:cs="Times New Roman"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
    <w:nsid w:val="267753E6"/>
    <w:multiLevelType w:val="hybridMultilevel"/>
    <w:tmpl w:val="3044E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42B85"/>
    <w:multiLevelType w:val="hybridMultilevel"/>
    <w:tmpl w:val="81E6C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5">
    <w:nsid w:val="39E25BCE"/>
    <w:multiLevelType w:val="multilevel"/>
    <w:tmpl w:val="0E0EB364"/>
    <w:lvl w:ilvl="0">
      <w:start w:val="1"/>
      <w:numFmt w:val="decimal"/>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9FB031B"/>
    <w:multiLevelType w:val="hybridMultilevel"/>
    <w:tmpl w:val="A8D0ACD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avier Calvez">
    <w15:presenceInfo w15:providerId="None" w15:userId="Xavier Cal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9"/>
    <w:rsid w:val="00015E17"/>
    <w:rsid w:val="0006707B"/>
    <w:rsid w:val="000B490B"/>
    <w:rsid w:val="001E5759"/>
    <w:rsid w:val="00240025"/>
    <w:rsid w:val="002A1142"/>
    <w:rsid w:val="002E252B"/>
    <w:rsid w:val="00300FA6"/>
    <w:rsid w:val="00327BC8"/>
    <w:rsid w:val="0035751B"/>
    <w:rsid w:val="003A0FB1"/>
    <w:rsid w:val="003A2AD3"/>
    <w:rsid w:val="003A6196"/>
    <w:rsid w:val="003C5D2D"/>
    <w:rsid w:val="004468B7"/>
    <w:rsid w:val="004F5720"/>
    <w:rsid w:val="005068EE"/>
    <w:rsid w:val="005B699B"/>
    <w:rsid w:val="005F70C3"/>
    <w:rsid w:val="00625A04"/>
    <w:rsid w:val="00645224"/>
    <w:rsid w:val="00691863"/>
    <w:rsid w:val="006E05EB"/>
    <w:rsid w:val="006F6640"/>
    <w:rsid w:val="00727CD0"/>
    <w:rsid w:val="0077553A"/>
    <w:rsid w:val="007C4390"/>
    <w:rsid w:val="007E5D4A"/>
    <w:rsid w:val="008347C9"/>
    <w:rsid w:val="00867638"/>
    <w:rsid w:val="008772F9"/>
    <w:rsid w:val="008A0EE0"/>
    <w:rsid w:val="008C125C"/>
    <w:rsid w:val="008E050D"/>
    <w:rsid w:val="008E0E10"/>
    <w:rsid w:val="009A0D31"/>
    <w:rsid w:val="00A15BA3"/>
    <w:rsid w:val="00A64E59"/>
    <w:rsid w:val="00A96D36"/>
    <w:rsid w:val="00AB0E4E"/>
    <w:rsid w:val="00B3137A"/>
    <w:rsid w:val="00B42F23"/>
    <w:rsid w:val="00B46296"/>
    <w:rsid w:val="00B473BF"/>
    <w:rsid w:val="00C42546"/>
    <w:rsid w:val="00CA4752"/>
    <w:rsid w:val="00D07108"/>
    <w:rsid w:val="00D3345F"/>
    <w:rsid w:val="00D71ABC"/>
    <w:rsid w:val="00D821BA"/>
    <w:rsid w:val="00D84953"/>
    <w:rsid w:val="00D85959"/>
    <w:rsid w:val="00DF7B89"/>
    <w:rsid w:val="00E40D24"/>
    <w:rsid w:val="00E607F9"/>
    <w:rsid w:val="00EC4EBE"/>
    <w:rsid w:val="00F33B00"/>
    <w:rsid w:val="00F44181"/>
    <w:rsid w:val="00FE571C"/>
    <w:rsid w:val="00FE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1ABC"/>
    <w:pPr>
      <w:keepNext/>
      <w:keepLines/>
      <w:spacing w:before="280" w:after="80" w:line="240" w:lineRule="auto"/>
      <w:ind w:right="2520"/>
      <w:outlineLvl w:val="1"/>
    </w:pPr>
    <w:rPr>
      <w:rFonts w:ascii="Source Sans Pro" w:eastAsia="MS Gothic" w:hAnsi="Source Sans Pro" w:cs="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ABC"/>
    <w:rPr>
      <w:rFonts w:ascii="Source Sans Pro" w:eastAsia="MS Gothic" w:hAnsi="Source Sans Pro" w:cs="Times New Roman"/>
      <w:b/>
      <w:bCs/>
      <w:sz w:val="36"/>
      <w:szCs w:val="26"/>
    </w:rPr>
  </w:style>
  <w:style w:type="character" w:styleId="CommentReference">
    <w:name w:val="annotation reference"/>
    <w:basedOn w:val="DefaultParagraphFont"/>
    <w:uiPriority w:val="99"/>
    <w:semiHidden/>
    <w:unhideWhenUsed/>
    <w:rsid w:val="003C5D2D"/>
    <w:rPr>
      <w:sz w:val="16"/>
      <w:szCs w:val="16"/>
    </w:rPr>
  </w:style>
  <w:style w:type="paragraph" w:styleId="CommentText">
    <w:name w:val="annotation text"/>
    <w:basedOn w:val="Normal"/>
    <w:link w:val="CommentTextChar"/>
    <w:uiPriority w:val="99"/>
    <w:unhideWhenUsed/>
    <w:rsid w:val="003C5D2D"/>
    <w:pPr>
      <w:spacing w:after="0" w:line="240" w:lineRule="auto"/>
    </w:pPr>
    <w:rPr>
      <w:rFonts w:ascii="Source Sans Pro" w:eastAsiaTheme="minorEastAsia" w:hAnsi="Source Sans Pro"/>
      <w:sz w:val="20"/>
      <w:szCs w:val="20"/>
    </w:rPr>
  </w:style>
  <w:style w:type="character" w:customStyle="1" w:styleId="CommentTextChar">
    <w:name w:val="Comment Text Char"/>
    <w:basedOn w:val="DefaultParagraphFont"/>
    <w:link w:val="CommentText"/>
    <w:uiPriority w:val="99"/>
    <w:rsid w:val="003C5D2D"/>
    <w:rPr>
      <w:rFonts w:ascii="Source Sans Pro" w:eastAsiaTheme="minorEastAsia" w:hAnsi="Source Sans Pro"/>
      <w:sz w:val="20"/>
      <w:szCs w:val="20"/>
    </w:rPr>
  </w:style>
  <w:style w:type="paragraph" w:styleId="BalloonText">
    <w:name w:val="Balloon Text"/>
    <w:basedOn w:val="Normal"/>
    <w:link w:val="BalloonTextChar"/>
    <w:uiPriority w:val="99"/>
    <w:semiHidden/>
    <w:unhideWhenUsed/>
    <w:rsid w:val="003C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2D"/>
    <w:rPr>
      <w:rFonts w:ascii="Tahoma" w:hAnsi="Tahoma" w:cs="Tahoma"/>
      <w:sz w:val="16"/>
      <w:szCs w:val="16"/>
    </w:rPr>
  </w:style>
  <w:style w:type="paragraph" w:styleId="ListParagraph">
    <w:name w:val="List Paragraph"/>
    <w:basedOn w:val="Normal"/>
    <w:uiPriority w:val="34"/>
    <w:qFormat/>
    <w:rsid w:val="008A0EE0"/>
    <w:pPr>
      <w:spacing w:after="0" w:line="240" w:lineRule="auto"/>
      <w:ind w:left="720"/>
      <w:contextualSpacing/>
    </w:pPr>
    <w:rPr>
      <w:rFonts w:ascii="Source Sans Pro" w:eastAsiaTheme="minorEastAsia" w:hAnsi="Source Sans Pro"/>
      <w:szCs w:val="24"/>
    </w:rPr>
  </w:style>
  <w:style w:type="paragraph" w:styleId="CommentSubject">
    <w:name w:val="annotation subject"/>
    <w:basedOn w:val="CommentText"/>
    <w:next w:val="CommentText"/>
    <w:link w:val="CommentSubjectChar"/>
    <w:uiPriority w:val="99"/>
    <w:semiHidden/>
    <w:unhideWhenUsed/>
    <w:rsid w:val="007E5D4A"/>
    <w:pPr>
      <w:spacing w:after="20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7E5D4A"/>
    <w:rPr>
      <w:rFonts w:ascii="Source Sans Pro" w:eastAsiaTheme="minorEastAsia" w:hAnsi="Source Sans Pro"/>
      <w:b/>
      <w:bCs/>
      <w:sz w:val="20"/>
      <w:szCs w:val="20"/>
    </w:rPr>
  </w:style>
  <w:style w:type="character" w:styleId="Hyperlink">
    <w:name w:val="Hyperlink"/>
    <w:basedOn w:val="DefaultParagraphFont"/>
    <w:uiPriority w:val="99"/>
    <w:unhideWhenUsed/>
    <w:rsid w:val="0035751B"/>
    <w:rPr>
      <w:color w:val="0000FF" w:themeColor="hyperlink"/>
      <w:u w:val="single"/>
    </w:rPr>
  </w:style>
  <w:style w:type="paragraph" w:styleId="Header">
    <w:name w:val="header"/>
    <w:basedOn w:val="Normal"/>
    <w:link w:val="HeaderChar"/>
    <w:uiPriority w:val="99"/>
    <w:unhideWhenUsed/>
    <w:rsid w:val="00B4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BF"/>
  </w:style>
  <w:style w:type="paragraph" w:styleId="Footer">
    <w:name w:val="footer"/>
    <w:basedOn w:val="Normal"/>
    <w:link w:val="FooterChar"/>
    <w:uiPriority w:val="99"/>
    <w:unhideWhenUsed/>
    <w:rsid w:val="00B4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1ABC"/>
    <w:pPr>
      <w:keepNext/>
      <w:keepLines/>
      <w:spacing w:before="280" w:after="80" w:line="240" w:lineRule="auto"/>
      <w:ind w:right="2520"/>
      <w:outlineLvl w:val="1"/>
    </w:pPr>
    <w:rPr>
      <w:rFonts w:ascii="Source Sans Pro" w:eastAsia="MS Gothic" w:hAnsi="Source Sans Pro" w:cs="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ABC"/>
    <w:rPr>
      <w:rFonts w:ascii="Source Sans Pro" w:eastAsia="MS Gothic" w:hAnsi="Source Sans Pro" w:cs="Times New Roman"/>
      <w:b/>
      <w:bCs/>
      <w:sz w:val="36"/>
      <w:szCs w:val="26"/>
    </w:rPr>
  </w:style>
  <w:style w:type="character" w:styleId="CommentReference">
    <w:name w:val="annotation reference"/>
    <w:basedOn w:val="DefaultParagraphFont"/>
    <w:uiPriority w:val="99"/>
    <w:semiHidden/>
    <w:unhideWhenUsed/>
    <w:rsid w:val="003C5D2D"/>
    <w:rPr>
      <w:sz w:val="16"/>
      <w:szCs w:val="16"/>
    </w:rPr>
  </w:style>
  <w:style w:type="paragraph" w:styleId="CommentText">
    <w:name w:val="annotation text"/>
    <w:basedOn w:val="Normal"/>
    <w:link w:val="CommentTextChar"/>
    <w:uiPriority w:val="99"/>
    <w:unhideWhenUsed/>
    <w:rsid w:val="003C5D2D"/>
    <w:pPr>
      <w:spacing w:after="0" w:line="240" w:lineRule="auto"/>
    </w:pPr>
    <w:rPr>
      <w:rFonts w:ascii="Source Sans Pro" w:eastAsiaTheme="minorEastAsia" w:hAnsi="Source Sans Pro"/>
      <w:sz w:val="20"/>
      <w:szCs w:val="20"/>
    </w:rPr>
  </w:style>
  <w:style w:type="character" w:customStyle="1" w:styleId="CommentTextChar">
    <w:name w:val="Comment Text Char"/>
    <w:basedOn w:val="DefaultParagraphFont"/>
    <w:link w:val="CommentText"/>
    <w:uiPriority w:val="99"/>
    <w:rsid w:val="003C5D2D"/>
    <w:rPr>
      <w:rFonts w:ascii="Source Sans Pro" w:eastAsiaTheme="minorEastAsia" w:hAnsi="Source Sans Pro"/>
      <w:sz w:val="20"/>
      <w:szCs w:val="20"/>
    </w:rPr>
  </w:style>
  <w:style w:type="paragraph" w:styleId="BalloonText">
    <w:name w:val="Balloon Text"/>
    <w:basedOn w:val="Normal"/>
    <w:link w:val="BalloonTextChar"/>
    <w:uiPriority w:val="99"/>
    <w:semiHidden/>
    <w:unhideWhenUsed/>
    <w:rsid w:val="003C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2D"/>
    <w:rPr>
      <w:rFonts w:ascii="Tahoma" w:hAnsi="Tahoma" w:cs="Tahoma"/>
      <w:sz w:val="16"/>
      <w:szCs w:val="16"/>
    </w:rPr>
  </w:style>
  <w:style w:type="paragraph" w:styleId="ListParagraph">
    <w:name w:val="List Paragraph"/>
    <w:basedOn w:val="Normal"/>
    <w:uiPriority w:val="34"/>
    <w:qFormat/>
    <w:rsid w:val="008A0EE0"/>
    <w:pPr>
      <w:spacing w:after="0" w:line="240" w:lineRule="auto"/>
      <w:ind w:left="720"/>
      <w:contextualSpacing/>
    </w:pPr>
    <w:rPr>
      <w:rFonts w:ascii="Source Sans Pro" w:eastAsiaTheme="minorEastAsia" w:hAnsi="Source Sans Pro"/>
      <w:szCs w:val="24"/>
    </w:rPr>
  </w:style>
  <w:style w:type="paragraph" w:styleId="CommentSubject">
    <w:name w:val="annotation subject"/>
    <w:basedOn w:val="CommentText"/>
    <w:next w:val="CommentText"/>
    <w:link w:val="CommentSubjectChar"/>
    <w:uiPriority w:val="99"/>
    <w:semiHidden/>
    <w:unhideWhenUsed/>
    <w:rsid w:val="007E5D4A"/>
    <w:pPr>
      <w:spacing w:after="20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7E5D4A"/>
    <w:rPr>
      <w:rFonts w:ascii="Source Sans Pro" w:eastAsiaTheme="minorEastAsia" w:hAnsi="Source Sans Pro"/>
      <w:b/>
      <w:bCs/>
      <w:sz w:val="20"/>
      <w:szCs w:val="20"/>
    </w:rPr>
  </w:style>
  <w:style w:type="character" w:styleId="Hyperlink">
    <w:name w:val="Hyperlink"/>
    <w:basedOn w:val="DefaultParagraphFont"/>
    <w:uiPriority w:val="99"/>
    <w:unhideWhenUsed/>
    <w:rsid w:val="0035751B"/>
    <w:rPr>
      <w:color w:val="0000FF" w:themeColor="hyperlink"/>
      <w:u w:val="single"/>
    </w:rPr>
  </w:style>
  <w:style w:type="paragraph" w:styleId="Header">
    <w:name w:val="header"/>
    <w:basedOn w:val="Normal"/>
    <w:link w:val="HeaderChar"/>
    <w:uiPriority w:val="99"/>
    <w:unhideWhenUsed/>
    <w:rsid w:val="00B4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BF"/>
  </w:style>
  <w:style w:type="paragraph" w:styleId="Footer">
    <w:name w:val="footer"/>
    <w:basedOn w:val="Normal"/>
    <w:link w:val="FooterChar"/>
    <w:uiPriority w:val="99"/>
    <w:unhideWhenUsed/>
    <w:rsid w:val="00B4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op-budget-fy17-five-year-2016-03-05-en"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dcterms:created xsi:type="dcterms:W3CDTF">2016-04-28T22:19:00Z</dcterms:created>
  <dcterms:modified xsi:type="dcterms:W3CDTF">2016-04-28T22:20:00Z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-1654694956</vt:i4>
  </property>
  <property fmtid="{D5CDD505-2E9C-101B-9397-08002B2CF9AE}" pid="3" name="_NewReviewCycle">
    <vt:lpwstr/>
  </property>
  <property fmtid="{D5CDD505-2E9C-101B-9397-08002B2CF9AE}" pid="4" name="_EmailSubject">
    <vt:lpwstr>Personal Comments from Chuck Gomes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897888079</vt:i4>
  </property>
</Properties>
</file>