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86" w:rsidRPr="00495A86" w:rsidRDefault="00495A86" w:rsidP="00495A86">
      <w:pPr>
        <w:pStyle w:val="ListParagraph"/>
        <w:spacing w:after="240"/>
        <w:jc w:val="center"/>
        <w:rPr>
          <w:rFonts w:ascii="Garamond" w:eastAsia="Calibri" w:hAnsi="Garamond" w:cs="Times New Roman"/>
          <w:b/>
          <w:sz w:val="32"/>
          <w:szCs w:val="32"/>
          <w:u w:val="single"/>
        </w:rPr>
      </w:pPr>
      <w:r w:rsidRPr="00495A86">
        <w:rPr>
          <w:rFonts w:ascii="Garamond" w:eastAsia="Calibri" w:hAnsi="Garamond" w:cs="Times New Roman"/>
          <w:b/>
          <w:sz w:val="32"/>
          <w:szCs w:val="32"/>
          <w:u w:val="single"/>
        </w:rPr>
        <w:t>Global Intellectual Property Center Submission of Comments in R</w:t>
      </w:r>
      <w:r w:rsidR="00371BA9">
        <w:rPr>
          <w:rFonts w:ascii="Garamond" w:eastAsia="Calibri" w:hAnsi="Garamond" w:cs="Times New Roman"/>
          <w:b/>
          <w:sz w:val="32"/>
          <w:szCs w:val="32"/>
          <w:u w:val="single"/>
        </w:rPr>
        <w:t>esponse to the Initial Report on</w:t>
      </w:r>
      <w:bookmarkStart w:id="0" w:name="_GoBack"/>
      <w:bookmarkEnd w:id="0"/>
      <w:r w:rsidRPr="00495A86">
        <w:rPr>
          <w:rFonts w:ascii="Garamond" w:eastAsia="Calibri" w:hAnsi="Garamond" w:cs="Times New Roman"/>
          <w:b/>
          <w:sz w:val="32"/>
          <w:szCs w:val="32"/>
          <w:u w:val="single"/>
        </w:rPr>
        <w:t xml:space="preserve"> Privacy &amp; Proxy Service Accreditation Issues (PPSAI) Policy Development Process</w:t>
      </w:r>
    </w:p>
    <w:p w:rsidR="00495A86" w:rsidRDefault="00495A86" w:rsidP="00D83BD9">
      <w:pPr>
        <w:pStyle w:val="ListParagraph"/>
        <w:spacing w:after="240"/>
        <w:rPr>
          <w:rFonts w:ascii="Garamond" w:eastAsia="Calibri" w:hAnsi="Garamond" w:cs="Times New Roman"/>
          <w:sz w:val="32"/>
          <w:szCs w:val="32"/>
        </w:rPr>
      </w:pPr>
    </w:p>
    <w:p w:rsidR="00D83BD9" w:rsidRPr="00D83BD9" w:rsidRDefault="00D83BD9" w:rsidP="00D83BD9">
      <w:pPr>
        <w:pStyle w:val="ListParagraph"/>
        <w:spacing w:after="240"/>
        <w:rPr>
          <w:rFonts w:ascii="Garamond" w:eastAsia="Calibri" w:hAnsi="Garamond" w:cs="Times New Roman"/>
          <w:iCs/>
          <w:sz w:val="32"/>
          <w:szCs w:val="32"/>
        </w:rPr>
      </w:pPr>
      <w:r w:rsidRPr="00D83BD9">
        <w:rPr>
          <w:rFonts w:ascii="Garamond" w:eastAsia="Calibri" w:hAnsi="Garamond" w:cs="Times New Roman"/>
          <w:sz w:val="32"/>
          <w:szCs w:val="32"/>
        </w:rPr>
        <w:br/>
      </w:r>
      <w:r>
        <w:rPr>
          <w:rFonts w:ascii="Garamond" w:eastAsia="Calibri" w:hAnsi="Garamond" w:cs="Times New Roman"/>
          <w:iCs/>
          <w:sz w:val="32"/>
          <w:szCs w:val="32"/>
        </w:rPr>
        <w:t xml:space="preserve">The U.S. Chamber of Commerce Global Intellectual Property Center </w:t>
      </w:r>
      <w:r w:rsidRPr="00D83BD9">
        <w:rPr>
          <w:rFonts w:ascii="Garamond" w:eastAsia="Calibri" w:hAnsi="Garamond" w:cs="Times New Roman"/>
          <w:iCs/>
          <w:sz w:val="32"/>
          <w:szCs w:val="32"/>
        </w:rPr>
        <w:t xml:space="preserve">provides the following comments </w:t>
      </w:r>
      <w:r>
        <w:rPr>
          <w:rFonts w:ascii="Garamond" w:eastAsia="Calibri" w:hAnsi="Garamond" w:cs="Times New Roman"/>
          <w:iCs/>
          <w:sz w:val="32"/>
          <w:szCs w:val="32"/>
        </w:rPr>
        <w:t>i</w:t>
      </w:r>
      <w:r w:rsidRPr="00D83BD9">
        <w:rPr>
          <w:rFonts w:ascii="Garamond" w:eastAsia="Calibri" w:hAnsi="Garamond" w:cs="Times New Roman"/>
          <w:iCs/>
          <w:sz w:val="32"/>
          <w:szCs w:val="32"/>
        </w:rPr>
        <w:t>n response to the specific questions presented in Section 1.3.3 and in support for Statement F:</w:t>
      </w:r>
      <w:r w:rsidRPr="00D83BD9">
        <w:rPr>
          <w:rFonts w:ascii="Garamond" w:eastAsia="Calibri" w:hAnsi="Garamond" w:cs="Times New Roman"/>
          <w:iCs/>
          <w:sz w:val="32"/>
          <w:szCs w:val="32"/>
        </w:rPr>
        <w:br/>
        <w:t xml:space="preserve"> </w:t>
      </w:r>
    </w:p>
    <w:p w:rsidR="00D83BD9" w:rsidRPr="00D83BD9" w:rsidRDefault="00D83BD9" w:rsidP="00D83BD9">
      <w:pPr>
        <w:pStyle w:val="ListParagraph"/>
        <w:spacing w:after="240"/>
        <w:rPr>
          <w:rFonts w:ascii="Garamond" w:eastAsia="Calibri" w:hAnsi="Garamond" w:cs="Times New Roman"/>
          <w:iCs/>
          <w:sz w:val="32"/>
          <w:szCs w:val="32"/>
        </w:rPr>
      </w:pPr>
      <w:r w:rsidRPr="00D83BD9">
        <w:rPr>
          <w:rFonts w:ascii="Garamond" w:eastAsia="Calibri" w:hAnsi="Garamond" w:cs="Times New Roman"/>
          <w:b/>
          <w:i/>
          <w:iCs/>
          <w:sz w:val="32"/>
          <w:szCs w:val="32"/>
        </w:rPr>
        <w:t>Should registrants of domain names associated with commercial activities and which are used for online financial transactions be prohibited from using, or continuing to use, P/P services? If so, why, and if not, why not?</w:t>
      </w:r>
      <w:r w:rsidRPr="00D83BD9">
        <w:rPr>
          <w:rFonts w:ascii="Garamond" w:eastAsia="Calibri" w:hAnsi="Garamond" w:cs="Times New Roman"/>
          <w:i/>
          <w:iCs/>
          <w:sz w:val="32"/>
          <w:szCs w:val="32"/>
        </w:rPr>
        <w:t xml:space="preserve">  </w:t>
      </w:r>
      <w:r w:rsidRPr="00D83BD9">
        <w:rPr>
          <w:rFonts w:ascii="Garamond" w:eastAsia="Calibri" w:hAnsi="Garamond" w:cs="Times New Roman"/>
          <w:i/>
          <w:iCs/>
          <w:sz w:val="32"/>
          <w:szCs w:val="32"/>
        </w:rPr>
        <w:br/>
      </w:r>
      <w:r w:rsidRPr="00D83BD9">
        <w:rPr>
          <w:rFonts w:ascii="Garamond" w:eastAsia="Calibri" w:hAnsi="Garamond" w:cs="Times New Roman"/>
          <w:i/>
          <w:iCs/>
          <w:sz w:val="32"/>
          <w:szCs w:val="32"/>
        </w:rPr>
        <w:br/>
      </w:r>
      <w:r w:rsidRPr="00D83BD9">
        <w:rPr>
          <w:rFonts w:ascii="Garamond" w:eastAsia="Calibri" w:hAnsi="Garamond" w:cs="Times New Roman"/>
          <w:iCs/>
          <w:sz w:val="32"/>
          <w:szCs w:val="32"/>
        </w:rPr>
        <w:t>On behalf</w:t>
      </w:r>
      <w:r>
        <w:rPr>
          <w:rFonts w:ascii="Garamond" w:eastAsia="Calibri" w:hAnsi="Garamond" w:cs="Times New Roman"/>
          <w:iCs/>
          <w:sz w:val="32"/>
          <w:szCs w:val="32"/>
        </w:rPr>
        <w:t xml:space="preserve"> of the Global Intellectual Property Center,</w:t>
      </w:r>
      <w:r w:rsidRPr="00D83BD9">
        <w:rPr>
          <w:rFonts w:ascii="Garamond" w:eastAsia="Calibri" w:hAnsi="Garamond" w:cs="Times New Roman"/>
          <w:iCs/>
          <w:sz w:val="32"/>
          <w:szCs w:val="32"/>
        </w:rPr>
        <w:t xml:space="preserve"> I write in support of requiring transparent, non-anonymous WHOIS data for registrants who use the domain name to engage in active commerce by selling products or services and/or facilitating online financial transactions. Internet consumers should be able to determine with whom they are doing business via information in the domain name registration (WHOIS) record. </w:t>
      </w:r>
      <w:r w:rsidRPr="00D83BD9">
        <w:rPr>
          <w:rFonts w:ascii="Garamond" w:eastAsia="Calibri" w:hAnsi="Garamond" w:cs="Times New Roman"/>
          <w:iCs/>
          <w:sz w:val="32"/>
          <w:szCs w:val="32"/>
        </w:rPr>
        <w:br/>
      </w:r>
    </w:p>
    <w:p w:rsidR="00D83BD9" w:rsidRPr="00D83BD9" w:rsidRDefault="00D83BD9" w:rsidP="00D83BD9">
      <w:pPr>
        <w:pStyle w:val="ListParagraph"/>
        <w:spacing w:after="240"/>
        <w:rPr>
          <w:rFonts w:ascii="Garamond" w:eastAsia="Calibri" w:hAnsi="Garamond" w:cs="Times New Roman"/>
          <w:i/>
          <w:iCs/>
          <w:sz w:val="32"/>
          <w:szCs w:val="32"/>
        </w:rPr>
      </w:pPr>
      <w:r w:rsidRPr="00D83BD9">
        <w:rPr>
          <w:rFonts w:ascii="Garamond" w:eastAsia="Calibri" w:hAnsi="Garamond" w:cs="Times New Roman"/>
          <w:iCs/>
          <w:sz w:val="32"/>
          <w:szCs w:val="32"/>
        </w:rPr>
        <w:t>As explained in Statement F, requiring transparent WHOIS data for persons or entities engaged in commercial activity online is generally consistent with global law and policy, helps prevent malicious activity, and strikes the right balance of personal privacy and consumer rights. Indeed, under the proposed approach, consumers will have improved privacy protections and the ability to know with whom they are doing business. Requiring WHOIS transparency for registrants engaged in commercial activity online actually increases consumer privacy, as consumers will better be able to prevent their personal and financial data from being misappropriated by registrants masking their identity behind privacy and proxy services</w:t>
      </w:r>
      <w:r w:rsidRPr="00D83BD9">
        <w:rPr>
          <w:rFonts w:ascii="Garamond" w:eastAsia="Calibri" w:hAnsi="Garamond" w:cs="Times New Roman"/>
          <w:i/>
          <w:iCs/>
          <w:sz w:val="32"/>
          <w:szCs w:val="32"/>
        </w:rPr>
        <w:t xml:space="preserve">. </w:t>
      </w:r>
    </w:p>
    <w:p w:rsidR="00495A86" w:rsidRDefault="00D83BD9" w:rsidP="00D83BD9">
      <w:pPr>
        <w:spacing w:after="240"/>
        <w:ind w:left="720"/>
        <w:rPr>
          <w:rFonts w:ascii="Garamond" w:eastAsia="Calibri" w:hAnsi="Garamond" w:cs="Times New Roman"/>
          <w:iCs/>
          <w:sz w:val="32"/>
          <w:szCs w:val="32"/>
        </w:rPr>
      </w:pPr>
      <w:r w:rsidRPr="00D83BD9">
        <w:rPr>
          <w:rFonts w:ascii="Garamond" w:eastAsia="Calibri" w:hAnsi="Garamond" w:cs="Times New Roman"/>
          <w:iCs/>
          <w:sz w:val="32"/>
          <w:szCs w:val="32"/>
        </w:rPr>
        <w:t xml:space="preserve">Further, as noted in Statement F and supported by the white paper referenced therein, requiring transparency for registrants using the </w:t>
      </w:r>
    </w:p>
    <w:p w:rsidR="00495A86" w:rsidRPr="00495A86" w:rsidRDefault="00495A86" w:rsidP="00495A86">
      <w:pPr>
        <w:ind w:left="720"/>
        <w:rPr>
          <w:rFonts w:ascii="Garamond" w:eastAsia="Calibri" w:hAnsi="Garamond" w:cs="Times New Roman"/>
          <w:b/>
          <w:iCs/>
          <w:sz w:val="32"/>
          <w:szCs w:val="32"/>
          <w:u w:val="single"/>
        </w:rPr>
      </w:pPr>
      <w:r w:rsidRPr="00495A86">
        <w:rPr>
          <w:rFonts w:ascii="Garamond" w:eastAsia="Calibri" w:hAnsi="Garamond" w:cs="Times New Roman"/>
          <w:b/>
          <w:iCs/>
          <w:sz w:val="32"/>
          <w:szCs w:val="32"/>
          <w:u w:val="single"/>
        </w:rPr>
        <w:lastRenderedPageBreak/>
        <w:t>GIPC Comments</w:t>
      </w:r>
    </w:p>
    <w:p w:rsidR="00495A86" w:rsidRPr="00495A86" w:rsidRDefault="00495A86" w:rsidP="00495A86">
      <w:pPr>
        <w:ind w:left="720"/>
        <w:rPr>
          <w:rFonts w:ascii="Garamond" w:eastAsia="Calibri" w:hAnsi="Garamond" w:cs="Times New Roman"/>
          <w:b/>
          <w:iCs/>
          <w:sz w:val="32"/>
          <w:szCs w:val="32"/>
          <w:u w:val="single"/>
        </w:rPr>
      </w:pPr>
      <w:r w:rsidRPr="00495A86">
        <w:rPr>
          <w:rFonts w:ascii="Garamond" w:eastAsia="Calibri" w:hAnsi="Garamond" w:cs="Times New Roman"/>
          <w:b/>
          <w:iCs/>
          <w:sz w:val="32"/>
          <w:szCs w:val="32"/>
          <w:u w:val="single"/>
        </w:rPr>
        <w:t>Page 2</w:t>
      </w:r>
    </w:p>
    <w:p w:rsidR="00495A86" w:rsidRDefault="00495A86" w:rsidP="00D83BD9">
      <w:pPr>
        <w:spacing w:after="240"/>
        <w:ind w:left="720"/>
        <w:rPr>
          <w:rFonts w:ascii="Garamond" w:eastAsia="Calibri" w:hAnsi="Garamond" w:cs="Times New Roman"/>
          <w:iCs/>
          <w:sz w:val="32"/>
          <w:szCs w:val="32"/>
        </w:rPr>
      </w:pPr>
    </w:p>
    <w:p w:rsidR="00D83BD9" w:rsidRPr="00D83BD9" w:rsidRDefault="00D83BD9" w:rsidP="00D83BD9">
      <w:pPr>
        <w:spacing w:after="240"/>
        <w:ind w:left="720"/>
        <w:rPr>
          <w:rFonts w:ascii="Garamond" w:eastAsia="Calibri" w:hAnsi="Garamond" w:cs="Times New Roman"/>
          <w:sz w:val="32"/>
          <w:szCs w:val="32"/>
        </w:rPr>
      </w:pPr>
      <w:r w:rsidRPr="00D83BD9">
        <w:rPr>
          <w:rFonts w:ascii="Garamond" w:eastAsia="Calibri" w:hAnsi="Garamond" w:cs="Times New Roman"/>
          <w:iCs/>
          <w:sz w:val="32"/>
          <w:szCs w:val="32"/>
        </w:rPr>
        <w:t>domain name to engage in commerce is consistent with global law and polic</w:t>
      </w:r>
      <w:r>
        <w:rPr>
          <w:rFonts w:ascii="Garamond" w:eastAsia="Calibri" w:hAnsi="Garamond" w:cs="Times New Roman"/>
          <w:iCs/>
          <w:sz w:val="32"/>
          <w:szCs w:val="32"/>
        </w:rPr>
        <w:t>y. As such, the Global Intellectual Property Center</w:t>
      </w:r>
      <w:r w:rsidRPr="00D83BD9">
        <w:rPr>
          <w:rFonts w:ascii="Garamond" w:eastAsia="Calibri" w:hAnsi="Garamond" w:cs="Times New Roman"/>
          <w:iCs/>
          <w:sz w:val="32"/>
          <w:szCs w:val="32"/>
        </w:rPr>
        <w:t xml:space="preserve"> urge</w:t>
      </w:r>
      <w:r>
        <w:rPr>
          <w:rFonts w:ascii="Garamond" w:eastAsia="Calibri" w:hAnsi="Garamond" w:cs="Times New Roman"/>
          <w:iCs/>
          <w:sz w:val="32"/>
          <w:szCs w:val="32"/>
        </w:rPr>
        <w:t>s</w:t>
      </w:r>
      <w:r w:rsidRPr="00D83BD9">
        <w:rPr>
          <w:rFonts w:ascii="Garamond" w:eastAsia="Calibri" w:hAnsi="Garamond" w:cs="Times New Roman"/>
          <w:iCs/>
          <w:sz w:val="32"/>
          <w:szCs w:val="32"/>
        </w:rPr>
        <w:t xml:space="preserve"> the PPSAI WG, ICANN Staff and the GNSO Council to adopt a position on use of privacy and proxy services consistent with these norms and consumer protection and privacy rights.  </w:t>
      </w:r>
      <w:r w:rsidRPr="00D83BD9">
        <w:rPr>
          <w:rFonts w:ascii="Garamond" w:eastAsia="Calibri" w:hAnsi="Garamond" w:cs="Times New Roman"/>
          <w:iCs/>
          <w:sz w:val="32"/>
          <w:szCs w:val="32"/>
        </w:rPr>
        <w:br/>
      </w:r>
      <w:r w:rsidRPr="00D83BD9">
        <w:rPr>
          <w:rFonts w:ascii="Garamond" w:eastAsia="Calibri" w:hAnsi="Garamond" w:cs="Times New Roman"/>
          <w:i/>
          <w:iCs/>
          <w:sz w:val="32"/>
          <w:szCs w:val="32"/>
        </w:rPr>
        <w:br/>
      </w:r>
      <w:r w:rsidRPr="00D83BD9">
        <w:rPr>
          <w:rFonts w:ascii="Garamond" w:eastAsia="Calibri" w:hAnsi="Garamond" w:cs="Times New Roman"/>
          <w:b/>
          <w:sz w:val="32"/>
          <w:szCs w:val="32"/>
        </w:rPr>
        <w:t xml:space="preserve">If you agree with this position, do you think it would be useful to adopt a definition of “commercial” or “transactional” to define those domains for which P/P service registrations </w:t>
      </w:r>
      <w:r w:rsidRPr="00D83BD9">
        <w:rPr>
          <w:rFonts w:ascii="Garamond" w:eastAsia="Calibri" w:hAnsi="Garamond" w:cs="Times New Roman"/>
          <w:b/>
          <w:sz w:val="32"/>
          <w:szCs w:val="32"/>
        </w:rPr>
        <w:br/>
        <w:t xml:space="preserve">should be disallowed? If so, what should the definition(s) be? </w:t>
      </w:r>
      <w:r w:rsidRPr="00D83BD9">
        <w:rPr>
          <w:rFonts w:ascii="Garamond" w:eastAsia="Calibri" w:hAnsi="Garamond" w:cs="Times New Roman"/>
          <w:b/>
          <w:sz w:val="32"/>
          <w:szCs w:val="32"/>
        </w:rPr>
        <w:br/>
      </w:r>
      <w:r w:rsidRPr="00D83BD9">
        <w:rPr>
          <w:rFonts w:ascii="Garamond" w:eastAsia="Calibri" w:hAnsi="Garamond" w:cs="Times New Roman"/>
          <w:sz w:val="32"/>
          <w:szCs w:val="32"/>
        </w:rPr>
        <w:br/>
        <w:t>Yes, “commercial” and “transactional” should be defined, though more discussion is needed to define the scope of each.</w:t>
      </w:r>
      <w:r w:rsidRPr="00D83BD9">
        <w:rPr>
          <w:rFonts w:ascii="Garamond" w:eastAsia="Calibri" w:hAnsi="Garamond" w:cs="Times New Roman"/>
          <w:i/>
          <w:sz w:val="32"/>
          <w:szCs w:val="32"/>
        </w:rPr>
        <w:t xml:space="preserve">  </w:t>
      </w:r>
      <w:r w:rsidRPr="00D83BD9">
        <w:rPr>
          <w:rFonts w:ascii="Garamond" w:eastAsia="Calibri" w:hAnsi="Garamond" w:cs="Times New Roman"/>
          <w:sz w:val="32"/>
          <w:szCs w:val="32"/>
        </w:rPr>
        <w:br/>
      </w:r>
    </w:p>
    <w:p w:rsidR="00D83BD9" w:rsidRPr="00D83BD9" w:rsidRDefault="00D83BD9" w:rsidP="00D83BD9">
      <w:pPr>
        <w:spacing w:after="240"/>
        <w:ind w:left="720"/>
        <w:rPr>
          <w:rFonts w:ascii="Garamond" w:eastAsia="Calibri" w:hAnsi="Garamond" w:cs="Times New Roman"/>
          <w:sz w:val="32"/>
          <w:szCs w:val="32"/>
        </w:rPr>
      </w:pPr>
      <w:r w:rsidRPr="00D83BD9">
        <w:rPr>
          <w:rFonts w:ascii="Garamond" w:eastAsia="Calibri" w:hAnsi="Garamond" w:cs="Times New Roman"/>
          <w:b/>
          <w:sz w:val="32"/>
          <w:szCs w:val="32"/>
        </w:rPr>
        <w:t>Would it be necessary to make a distinction in the WHOIS data fields to be displayed as a result of distinguishing between domain names used for online financial transactions and domain names that are not?</w:t>
      </w:r>
      <w:r w:rsidRPr="00D83BD9">
        <w:rPr>
          <w:rFonts w:ascii="Garamond" w:hAnsi="Garamond"/>
          <w:sz w:val="32"/>
          <w:szCs w:val="32"/>
        </w:rPr>
        <w:t xml:space="preserve"> </w:t>
      </w:r>
      <w:r w:rsidRPr="00D83BD9">
        <w:rPr>
          <w:rFonts w:ascii="Garamond" w:eastAsia="Calibri" w:hAnsi="Garamond" w:cs="Times New Roman"/>
          <w:i/>
          <w:sz w:val="32"/>
          <w:szCs w:val="32"/>
        </w:rPr>
        <w:br/>
      </w:r>
      <w:r w:rsidRPr="00D83BD9">
        <w:rPr>
          <w:rFonts w:ascii="Garamond" w:eastAsia="Calibri" w:hAnsi="Garamond" w:cs="Times New Roman"/>
          <w:sz w:val="32"/>
          <w:szCs w:val="32"/>
        </w:rPr>
        <w:br/>
        <w:t>Yes, it would be helpful to make a distinction in WHOIS data fields to identify commercial and transactional domain names.  Entities using a domain name for commercial purpose should not be allowed to use privacy or proxy registration services. For such entities/registrants, all standard WHOIS data fields should be displayed.</w:t>
      </w:r>
      <w:r w:rsidRPr="00D83BD9">
        <w:rPr>
          <w:rFonts w:ascii="Garamond" w:eastAsia="Calibri" w:hAnsi="Garamond" w:cs="Times New Roman"/>
          <w:i/>
          <w:sz w:val="32"/>
          <w:szCs w:val="32"/>
        </w:rPr>
        <w:t xml:space="preserve"> </w:t>
      </w:r>
    </w:p>
    <w:p w:rsidR="00583EF5" w:rsidRDefault="00583EF5"/>
    <w:sectPr w:rsidR="0058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D9"/>
    <w:rsid w:val="00371BA9"/>
    <w:rsid w:val="00495A86"/>
    <w:rsid w:val="00583EF5"/>
    <w:rsid w:val="009E021D"/>
    <w:rsid w:val="00D8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D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D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FCullen</dc:creator>
  <cp:lastModifiedBy>FCullen</cp:lastModifiedBy>
  <cp:revision>2</cp:revision>
  <dcterms:created xsi:type="dcterms:W3CDTF">2015-07-07T20:32:00Z</dcterms:created>
  <dcterms:modified xsi:type="dcterms:W3CDTF">2015-07-07T20:32:00Z</dcterms:modified>
</cp:coreProperties>
</file>