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B4" w:rsidRDefault="006E436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866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PC.png"/>
                    <pic:cNvPicPr/>
                  </pic:nvPicPr>
                  <pic:blipFill>
                    <a:blip r:embed="rId9">
                      <a:extLst/>
                    </a:blip>
                    <a:stretch>
                      <a:fillRect/>
                    </a:stretch>
                  </pic:blipFill>
                  <pic:spPr>
                    <a:xfrm>
                      <a:off x="0" y="0"/>
                      <a:ext cx="1238250" cy="866775"/>
                    </a:xfrm>
                    <a:prstGeom prst="rect">
                      <a:avLst/>
                    </a:prstGeom>
                    <a:ln w="12700" cap="flat">
                      <a:noFill/>
                      <a:miter lim="400000"/>
                    </a:ln>
                    <a:effectLst/>
                  </pic:spPr>
                </pic:pic>
              </a:graphicData>
            </a:graphic>
          </wp:inline>
        </w:drawing>
      </w:r>
    </w:p>
    <w:p w:rsidR="00992DB4" w:rsidRDefault="00992DB4">
      <w:pPr>
        <w:jc w:val="center"/>
        <w:rPr>
          <w:rFonts w:ascii="Times New Roman" w:eastAsia="Times New Roman" w:hAnsi="Times New Roman" w:cs="Times New Roman"/>
          <w:sz w:val="24"/>
          <w:szCs w:val="24"/>
        </w:rPr>
      </w:pPr>
    </w:p>
    <w:p w:rsidR="00992DB4" w:rsidRPr="00B848F4" w:rsidRDefault="006E4364">
      <w:pPr>
        <w:jc w:val="center"/>
        <w:rPr>
          <w:rFonts w:ascii="Times New Roman" w:eastAsia="Times New Roman" w:hAnsi="Times New Roman" w:cs="Times New Roman"/>
          <w:b/>
          <w:sz w:val="24"/>
          <w:szCs w:val="24"/>
        </w:rPr>
      </w:pPr>
      <w:r w:rsidRPr="00B848F4">
        <w:rPr>
          <w:rFonts w:ascii="Times New Roman"/>
          <w:b/>
          <w:sz w:val="24"/>
          <w:szCs w:val="24"/>
        </w:rPr>
        <w:t>Intellectual Property Constituency Comment on the</w:t>
      </w:r>
    </w:p>
    <w:p w:rsidR="00992DB4" w:rsidRPr="00B848F4" w:rsidRDefault="006E4364">
      <w:pPr>
        <w:jc w:val="center"/>
        <w:rPr>
          <w:rFonts w:ascii="Times New Roman" w:eastAsia="Times New Roman" w:hAnsi="Times New Roman" w:cs="Times New Roman"/>
          <w:b/>
          <w:sz w:val="24"/>
          <w:szCs w:val="24"/>
        </w:rPr>
      </w:pPr>
      <w:r w:rsidRPr="00B848F4">
        <w:rPr>
          <w:rFonts w:ascii="Times New Roman"/>
          <w:b/>
          <w:sz w:val="24"/>
          <w:szCs w:val="24"/>
        </w:rPr>
        <w:t>New gTLD Program: Rights Protection Mechanisms Review Draft Report</w:t>
      </w:r>
    </w:p>
    <w:p w:rsidR="00992DB4" w:rsidRDefault="00992DB4">
      <w:pPr>
        <w:jc w:val="center"/>
        <w:rPr>
          <w:rFonts w:ascii="Times New Roman" w:eastAsia="Times New Roman" w:hAnsi="Times New Roman" w:cs="Times New Roman"/>
          <w:sz w:val="24"/>
          <w:szCs w:val="24"/>
        </w:rPr>
      </w:pPr>
    </w:p>
    <w:p w:rsidR="00992DB4" w:rsidRDefault="006E4364">
      <w:pPr>
        <w:jc w:val="center"/>
        <w:rPr>
          <w:rFonts w:ascii="Times New Roman" w:eastAsia="Times New Roman" w:hAnsi="Times New Roman" w:cs="Times New Roman"/>
          <w:sz w:val="24"/>
          <w:szCs w:val="24"/>
        </w:rPr>
      </w:pPr>
      <w:r>
        <w:rPr>
          <w:rFonts w:ascii="Times New Roman"/>
          <w:sz w:val="24"/>
          <w:szCs w:val="24"/>
        </w:rPr>
        <w:t>May 1, 2015</w:t>
      </w:r>
    </w:p>
    <w:p w:rsidR="00992DB4" w:rsidRDefault="00992DB4">
      <w:pPr>
        <w:rPr>
          <w:rFonts w:ascii="Times New Roman" w:eastAsia="Times New Roman" w:hAnsi="Times New Roman" w:cs="Times New Roman"/>
          <w:sz w:val="24"/>
          <w:szCs w:val="24"/>
        </w:rPr>
      </w:pPr>
    </w:p>
    <w:p w:rsidR="00992DB4" w:rsidRPr="0082535A" w:rsidRDefault="006E4364" w:rsidP="0082535A">
      <w:pPr>
        <w:pStyle w:val="Heading1"/>
      </w:pPr>
      <w:r w:rsidRPr="0082535A">
        <w:t>BACKGROUND</w:t>
      </w:r>
    </w:p>
    <w:p w:rsidR="00992DB4" w:rsidRDefault="00992DB4">
      <w:pPr>
        <w:rPr>
          <w:rFonts w:ascii="Times New Roman" w:eastAsia="Times New Roman" w:hAnsi="Times New Roman" w:cs="Times New Roman"/>
          <w:b/>
          <w:bCs/>
          <w:sz w:val="24"/>
          <w:szCs w:val="24"/>
        </w:rPr>
      </w:pPr>
    </w:p>
    <w:p w:rsidR="00992DB4" w:rsidRPr="00B848F4" w:rsidRDefault="006E4364">
      <w:pPr>
        <w:rPr>
          <w:rFonts w:ascii="Times New Roman" w:eastAsia="Times New Roman" w:hAnsi="Times New Roman" w:cs="Times New Roman"/>
          <w:sz w:val="24"/>
          <w:szCs w:val="24"/>
        </w:rPr>
      </w:pPr>
      <w:r w:rsidRPr="00B848F4">
        <w:rPr>
          <w:rFonts w:ascii="Times New Roman" w:hAnsi="Times New Roman" w:cs="Times New Roman"/>
          <w:sz w:val="24"/>
          <w:szCs w:val="24"/>
        </w:rPr>
        <w:t>On February 2, 2015, ICANN published the “New gTLD Program: Rights Protection Mechanisms Review Draft Report”</w:t>
      </w:r>
      <w:r w:rsidRPr="00B848F4">
        <w:rPr>
          <w:rFonts w:ascii="Times New Roman" w:eastAsia="Times New Roman" w:hAnsi="Times New Roman" w:cs="Times New Roman"/>
          <w:sz w:val="24"/>
          <w:szCs w:val="24"/>
          <w:vertAlign w:val="superscript"/>
        </w:rPr>
        <w:footnoteReference w:id="1"/>
      </w:r>
      <w:r w:rsidRPr="00B848F4">
        <w:rPr>
          <w:rFonts w:ascii="Times New Roman" w:hAnsi="Times New Roman" w:cs="Times New Roman"/>
          <w:sz w:val="24"/>
          <w:szCs w:val="24"/>
        </w:rPr>
        <w:t xml:space="preserve"> for public comment.  The report states:  </w:t>
      </w:r>
    </w:p>
    <w:p w:rsidR="00992DB4" w:rsidRPr="00B848F4" w:rsidRDefault="00992DB4">
      <w:pPr>
        <w:rPr>
          <w:rFonts w:ascii="Times New Roman" w:eastAsia="Times New Roman" w:hAnsi="Times New Roman" w:cs="Times New Roman"/>
          <w:sz w:val="24"/>
          <w:szCs w:val="24"/>
        </w:rPr>
      </w:pPr>
    </w:p>
    <w:p w:rsidR="00992DB4" w:rsidRPr="00B848F4" w:rsidRDefault="006E4364">
      <w:pPr>
        <w:ind w:left="720"/>
        <w:rPr>
          <w:rFonts w:ascii="Times New Roman" w:eastAsia="Times New Roman" w:hAnsi="Times New Roman" w:cs="Times New Roman"/>
          <w:sz w:val="24"/>
          <w:szCs w:val="24"/>
        </w:rPr>
      </w:pPr>
      <w:r w:rsidRPr="00B848F4">
        <w:rPr>
          <w:rFonts w:ascii="Times New Roman" w:hAnsi="Times New Roman" w:cs="Times New Roman"/>
          <w:sz w:val="24"/>
          <w:szCs w:val="24"/>
        </w:rPr>
        <w:t>Publication of this draft for public comment is important to capturing the experience of users of the RPMs and to consideration of how they affect the variety of stakeholders in the context of the DNS. Feedback is especially important to ensure that all issues that need to be considered are identified, and to help determine those issues that have most impact, and accordingly, the areas where community resources will be best focused. To help execute an effective review process, ICANN encourages thoughtful input from a diverse set of stakeholders.</w:t>
      </w:r>
      <w:r w:rsidRPr="00B848F4">
        <w:rPr>
          <w:rFonts w:ascii="Times New Roman" w:eastAsia="Times New Roman" w:hAnsi="Times New Roman" w:cs="Times New Roman"/>
          <w:sz w:val="24"/>
          <w:szCs w:val="24"/>
          <w:vertAlign w:val="superscript"/>
        </w:rPr>
        <w:footnoteReference w:id="2"/>
      </w:r>
    </w:p>
    <w:p w:rsidR="00992DB4" w:rsidRPr="00B848F4" w:rsidRDefault="00992DB4">
      <w:pPr>
        <w:rPr>
          <w:rFonts w:ascii="Times New Roman" w:eastAsia="Times New Roman" w:hAnsi="Times New Roman" w:cs="Times New Roman"/>
          <w:sz w:val="24"/>
          <w:szCs w:val="24"/>
        </w:rPr>
      </w:pPr>
    </w:p>
    <w:p w:rsidR="00992DB4" w:rsidRPr="00B848F4" w:rsidRDefault="006E4364">
      <w:pPr>
        <w:rPr>
          <w:rFonts w:ascii="Times New Roman" w:eastAsia="Times New Roman" w:hAnsi="Times New Roman" w:cs="Times New Roman"/>
          <w:sz w:val="24"/>
          <w:szCs w:val="24"/>
        </w:rPr>
      </w:pPr>
      <w:r w:rsidRPr="00B848F4">
        <w:rPr>
          <w:rFonts w:ascii="Times New Roman" w:hAnsi="Times New Roman" w:cs="Times New Roman"/>
          <w:sz w:val="24"/>
          <w:szCs w:val="24"/>
        </w:rPr>
        <w:t xml:space="preserve">The Intellectual Property Constituency (IPC) offers the following comments to help guide the ICANN community to identify the most important issues to intellectual property owners with regard to the Rights Protection Mechanisms (RPMs) of the New gTLD Program.  We hope that by identifying these issues, the community can prioritize them (among the issues identified by other key stakeholders in the RPMs) and focus time and energy on these issues in the impending Policy Development Process (PDP).  </w:t>
      </w:r>
    </w:p>
    <w:p w:rsidR="00992DB4" w:rsidRPr="00B848F4" w:rsidRDefault="00992DB4">
      <w:pPr>
        <w:rPr>
          <w:rFonts w:ascii="Times New Roman" w:eastAsia="Times New Roman" w:hAnsi="Times New Roman" w:cs="Times New Roman"/>
          <w:sz w:val="24"/>
          <w:szCs w:val="24"/>
        </w:rPr>
      </w:pPr>
    </w:p>
    <w:p w:rsidR="00992DB4" w:rsidRPr="00B848F4" w:rsidRDefault="006E4364">
      <w:pPr>
        <w:rPr>
          <w:rFonts w:ascii="Times New Roman" w:eastAsia="Times New Roman" w:hAnsi="Times New Roman" w:cs="Times New Roman"/>
          <w:sz w:val="24"/>
          <w:szCs w:val="24"/>
        </w:rPr>
      </w:pPr>
      <w:r w:rsidRPr="00B848F4">
        <w:rPr>
          <w:rFonts w:ascii="Times New Roman" w:hAnsi="Times New Roman" w:cs="Times New Roman"/>
          <w:sz w:val="24"/>
          <w:szCs w:val="24"/>
        </w:rPr>
        <w:t xml:space="preserve">In order to prepare these comments, the IPC conducted an informal preliminary </w:t>
      </w:r>
      <w:r w:rsidR="00CA1AEA">
        <w:rPr>
          <w:rFonts w:ascii="Times New Roman" w:hAnsi="Times New Roman" w:cs="Times New Roman"/>
          <w:sz w:val="24"/>
          <w:szCs w:val="24"/>
        </w:rPr>
        <w:t xml:space="preserve">poll </w:t>
      </w:r>
      <w:r w:rsidRPr="00B848F4">
        <w:rPr>
          <w:rFonts w:ascii="Times New Roman" w:hAnsi="Times New Roman" w:cs="Times New Roman"/>
          <w:sz w:val="24"/>
          <w:szCs w:val="24"/>
        </w:rPr>
        <w:t>of its members</w:t>
      </w:r>
      <w:r w:rsidR="00B848F4" w:rsidRPr="00B848F4">
        <w:rPr>
          <w:rFonts w:ascii="Times New Roman" w:hAnsi="Times New Roman" w:cs="Times New Roman"/>
          <w:sz w:val="24"/>
          <w:szCs w:val="24"/>
        </w:rPr>
        <w:t>’</w:t>
      </w:r>
      <w:r w:rsidRPr="00B848F4">
        <w:rPr>
          <w:rFonts w:ascii="Times New Roman" w:hAnsi="Times New Roman" w:cs="Times New Roman"/>
          <w:sz w:val="24"/>
          <w:szCs w:val="24"/>
        </w:rPr>
        <w:t xml:space="preserve"> opinions and experiences with the RPMs identified in the Draft Report, as well as some other RPMs that have been identified by the IPC as important for the ICANN community to examine.  Most of our comments below are based on the results of this </w:t>
      </w:r>
      <w:r w:rsidR="00CA1AEA">
        <w:rPr>
          <w:rFonts w:ascii="Times New Roman" w:hAnsi="Times New Roman" w:cs="Times New Roman"/>
          <w:sz w:val="24"/>
          <w:szCs w:val="24"/>
        </w:rPr>
        <w:t>poll</w:t>
      </w:r>
      <w:r w:rsidRPr="00B848F4">
        <w:rPr>
          <w:rFonts w:ascii="Times New Roman" w:hAnsi="Times New Roman" w:cs="Times New Roman"/>
          <w:sz w:val="24"/>
          <w:szCs w:val="24"/>
        </w:rPr>
        <w:t xml:space="preserve">, </w:t>
      </w:r>
      <w:r w:rsidR="00CA1AEA">
        <w:rPr>
          <w:rFonts w:ascii="Times New Roman" w:hAnsi="Times New Roman" w:cs="Times New Roman"/>
          <w:sz w:val="24"/>
          <w:szCs w:val="24"/>
        </w:rPr>
        <w:t>responded to</w:t>
      </w:r>
      <w:r w:rsidRPr="00B848F4">
        <w:rPr>
          <w:rFonts w:ascii="Times New Roman" w:hAnsi="Times New Roman" w:cs="Times New Roman"/>
          <w:sz w:val="24"/>
          <w:szCs w:val="24"/>
        </w:rPr>
        <w:t xml:space="preserve"> by a third of IPC members as well as by six trademark counsel</w:t>
      </w:r>
      <w:bookmarkStart w:id="0" w:name="_GoBack"/>
      <w:bookmarkEnd w:id="0"/>
      <w:r w:rsidRPr="00B848F4">
        <w:rPr>
          <w:rFonts w:ascii="Times New Roman" w:hAnsi="Times New Roman" w:cs="Times New Roman"/>
          <w:sz w:val="24"/>
          <w:szCs w:val="24"/>
        </w:rPr>
        <w:t xml:space="preserve"> who did not identify themselves as IPC members (the “IPC Respondents”).  Although this </w:t>
      </w:r>
      <w:r w:rsidR="00CA1AEA">
        <w:rPr>
          <w:rFonts w:ascii="Times New Roman" w:hAnsi="Times New Roman" w:cs="Times New Roman"/>
          <w:sz w:val="24"/>
          <w:szCs w:val="24"/>
        </w:rPr>
        <w:t>poll</w:t>
      </w:r>
      <w:r w:rsidRPr="00B848F4">
        <w:rPr>
          <w:rFonts w:ascii="Times New Roman" w:hAnsi="Times New Roman" w:cs="Times New Roman"/>
          <w:sz w:val="24"/>
          <w:szCs w:val="24"/>
        </w:rPr>
        <w:t xml:space="preserve"> was limited in both time and scope, and while we consider the views below to be preliminary, we hope the results are helpful to ICANN in identifying and clarifying important issues related to the RPMs.  </w:t>
      </w:r>
    </w:p>
    <w:p w:rsidR="00992DB4" w:rsidRDefault="00992DB4">
      <w:pPr>
        <w:rPr>
          <w:rFonts w:ascii="Times New Roman" w:eastAsia="Times New Roman" w:hAnsi="Times New Roman" w:cs="Times New Roman"/>
          <w:b/>
          <w:bCs/>
          <w:sz w:val="24"/>
          <w:szCs w:val="24"/>
        </w:rPr>
      </w:pPr>
    </w:p>
    <w:p w:rsidR="00B848F4" w:rsidRDefault="00B848F4" w:rsidP="00B848F4">
      <w:pPr>
        <w:keepNext/>
        <w:keepLines/>
        <w:rPr>
          <w:rFonts w:ascii="Times New Roman"/>
          <w:b/>
          <w:bCs/>
          <w:sz w:val="24"/>
          <w:szCs w:val="24"/>
        </w:rPr>
        <w:sectPr w:rsidR="00B848F4">
          <w:headerReference w:type="default" r:id="rId10"/>
          <w:footerReference w:type="default" r:id="rId11"/>
          <w:pgSz w:w="12240" w:h="15840"/>
          <w:pgMar w:top="1440" w:right="1440" w:bottom="1440" w:left="1440" w:header="720" w:footer="720" w:gutter="0"/>
          <w:cols w:space="720"/>
        </w:sectPr>
      </w:pPr>
    </w:p>
    <w:p w:rsidR="00992DB4" w:rsidRPr="001B15B3" w:rsidRDefault="006E4364" w:rsidP="0082535A">
      <w:pPr>
        <w:pStyle w:val="Heading1"/>
        <w:rPr>
          <w:rFonts w:eastAsia="Times New Roman"/>
        </w:rPr>
      </w:pPr>
      <w:r w:rsidRPr="001B15B3">
        <w:lastRenderedPageBreak/>
        <w:t>INTRODUCTION</w:t>
      </w:r>
    </w:p>
    <w:p w:rsidR="00992DB4" w:rsidRPr="001B15B3" w:rsidRDefault="00992DB4">
      <w:pPr>
        <w:rPr>
          <w:rFonts w:ascii="Times New Roman" w:eastAsia="Times New Roman" w:hAnsi="Times New Roman" w:cs="Times New Roman"/>
          <w:b/>
          <w:bCs/>
          <w:sz w:val="24"/>
          <w:szCs w:val="24"/>
        </w:rPr>
      </w:pP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Any review of the RPMs requires a perspective overview of the environment the new gTLD program creates for brand owners. At its core, the new framework of RPMs tacitly acknowledges that the existing tools for rights protection</w:t>
      </w:r>
      <w:r w:rsidR="00D31F66" w:rsidRPr="001B15B3">
        <w:rPr>
          <w:rFonts w:ascii="Times New Roman" w:hAnsi="Times New Roman" w:cs="Times New Roman"/>
          <w:sz w:val="24"/>
          <w:szCs w:val="24"/>
        </w:rPr>
        <w:t xml:space="preserve"> </w:t>
      </w:r>
      <w:r w:rsidRPr="001B15B3">
        <w:rPr>
          <w:rFonts w:ascii="Times New Roman" w:hAnsi="Times New Roman" w:cs="Times New Roman"/>
          <w:sz w:val="24"/>
          <w:szCs w:val="24"/>
        </w:rPr>
        <w:t>—</w:t>
      </w:r>
      <w:r w:rsidR="00D31F66" w:rsidRPr="001B15B3">
        <w:rPr>
          <w:rFonts w:ascii="Times New Roman" w:hAnsi="Times New Roman" w:cs="Times New Roman"/>
          <w:sz w:val="24"/>
          <w:szCs w:val="24"/>
        </w:rPr>
        <w:t xml:space="preserve"> </w:t>
      </w:r>
      <w:r w:rsidRPr="001B15B3">
        <w:rPr>
          <w:rFonts w:ascii="Times New Roman" w:hAnsi="Times New Roman" w:cs="Times New Roman"/>
          <w:sz w:val="24"/>
          <w:szCs w:val="24"/>
        </w:rPr>
        <w:t>whether or not sufficient for 22 gTLDs</w:t>
      </w:r>
      <w:r w:rsidR="00D31F66" w:rsidRPr="001B15B3">
        <w:rPr>
          <w:rFonts w:ascii="Times New Roman" w:hAnsi="Times New Roman" w:cs="Times New Roman"/>
          <w:sz w:val="24"/>
          <w:szCs w:val="24"/>
        </w:rPr>
        <w:t xml:space="preserve"> </w:t>
      </w:r>
      <w:r w:rsidRPr="001B15B3">
        <w:rPr>
          <w:rFonts w:ascii="Times New Roman" w:hAnsi="Times New Roman" w:cs="Times New Roman"/>
          <w:sz w:val="24"/>
          <w:szCs w:val="24"/>
        </w:rPr>
        <w:t>—</w:t>
      </w:r>
      <w:r w:rsidR="00D31F66" w:rsidRPr="001B15B3">
        <w:rPr>
          <w:rFonts w:ascii="Times New Roman" w:hAnsi="Times New Roman" w:cs="Times New Roman"/>
          <w:sz w:val="24"/>
          <w:szCs w:val="24"/>
        </w:rPr>
        <w:t xml:space="preserve"> </w:t>
      </w:r>
      <w:r w:rsidRPr="001B15B3">
        <w:rPr>
          <w:rFonts w:ascii="Times New Roman" w:hAnsi="Times New Roman" w:cs="Times New Roman"/>
          <w:sz w:val="24"/>
          <w:szCs w:val="24"/>
        </w:rPr>
        <w:t xml:space="preserve">would have been inadequate in a world with hundreds of new gTLDs.  Brand owners could easily foresee that the expanded universe of gTLDs would increase the cost of brand protection and likely require that they change their protection strategies, so the RPMs were developed with </w:t>
      </w:r>
      <w:r w:rsidR="00333202" w:rsidRPr="001B15B3">
        <w:rPr>
          <w:rFonts w:ascii="Times New Roman" w:hAnsi="Times New Roman" w:cs="Times New Roman"/>
          <w:sz w:val="24"/>
          <w:szCs w:val="24"/>
        </w:rPr>
        <w:t>the intention of</w:t>
      </w:r>
      <w:r w:rsidRPr="001B15B3">
        <w:rPr>
          <w:rFonts w:ascii="Times New Roman" w:hAnsi="Times New Roman" w:cs="Times New Roman"/>
          <w:sz w:val="24"/>
          <w:szCs w:val="24"/>
        </w:rPr>
        <w:t xml:space="preserve"> minimiz</w:t>
      </w:r>
      <w:r w:rsidR="00333202" w:rsidRPr="001B15B3">
        <w:rPr>
          <w:rFonts w:ascii="Times New Roman" w:hAnsi="Times New Roman" w:cs="Times New Roman"/>
          <w:sz w:val="24"/>
          <w:szCs w:val="24"/>
        </w:rPr>
        <w:t>ing</w:t>
      </w:r>
      <w:r w:rsidRPr="001B15B3">
        <w:rPr>
          <w:rFonts w:ascii="Times New Roman" w:hAnsi="Times New Roman" w:cs="Times New Roman"/>
          <w:sz w:val="24"/>
          <w:szCs w:val="24"/>
        </w:rPr>
        <w:t xml:space="preserve"> costs and complexities and </w:t>
      </w:r>
      <w:r w:rsidR="00333202" w:rsidRPr="001B15B3">
        <w:rPr>
          <w:rFonts w:ascii="Times New Roman" w:hAnsi="Times New Roman" w:cs="Times New Roman"/>
          <w:sz w:val="24"/>
          <w:szCs w:val="24"/>
        </w:rPr>
        <w:t xml:space="preserve">reducing </w:t>
      </w:r>
      <w:r w:rsidRPr="001B15B3">
        <w:rPr>
          <w:rFonts w:ascii="Times New Roman" w:hAnsi="Times New Roman" w:cs="Times New Roman"/>
          <w:sz w:val="24"/>
          <w:szCs w:val="24"/>
        </w:rPr>
        <w:t>trademark infringement in new gTLDs. Accordingly, the RPMs should not be evaluated as an end unto themselves, but rather for their contribution to those overarching goals.</w:t>
      </w: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 </w:t>
      </w: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A formal review can readily be divided into two categories: prevention and cure. Nowhere is the adage more apt that </w:t>
      </w:r>
      <w:r w:rsidR="00333202" w:rsidRPr="001B15B3">
        <w:rPr>
          <w:rFonts w:ascii="Times New Roman" w:hAnsi="Times New Roman" w:cs="Times New Roman"/>
          <w:sz w:val="24"/>
          <w:szCs w:val="24"/>
        </w:rPr>
        <w:t>“</w:t>
      </w:r>
      <w:r w:rsidRPr="001B15B3">
        <w:rPr>
          <w:rFonts w:ascii="Times New Roman" w:hAnsi="Times New Roman" w:cs="Times New Roman"/>
          <w:sz w:val="24"/>
          <w:szCs w:val="24"/>
        </w:rPr>
        <w:t>an ounce of prevention is worth a pound of cure.</w:t>
      </w:r>
      <w:r w:rsidR="00333202" w:rsidRPr="001B15B3">
        <w:rPr>
          <w:rFonts w:ascii="Times New Roman" w:hAnsi="Times New Roman" w:cs="Times New Roman"/>
          <w:sz w:val="24"/>
          <w:szCs w:val="24"/>
        </w:rPr>
        <w:t>”</w:t>
      </w:r>
      <w:r w:rsidRPr="001B15B3">
        <w:rPr>
          <w:rFonts w:ascii="Times New Roman" w:hAnsi="Times New Roman" w:cs="Times New Roman"/>
          <w:sz w:val="24"/>
          <w:szCs w:val="24"/>
        </w:rPr>
        <w:t xml:space="preserve"> Given the exponential growth in new gTLDs, it is the IPC’s view that the initial goal of RPMs should be to prevent infringement by deterring potential infringers, and when that fails, to decrease the cost and complexity of curing the infringement.</w:t>
      </w:r>
    </w:p>
    <w:p w:rsidR="00992DB4" w:rsidRPr="001B15B3" w:rsidRDefault="00992DB4">
      <w:pPr>
        <w:pStyle w:val="PlainText"/>
        <w:rPr>
          <w:rFonts w:ascii="Times New Roman" w:eastAsia="Times New Roman" w:hAnsi="Times New Roman" w:cs="Times New Roman"/>
          <w:sz w:val="24"/>
          <w:szCs w:val="24"/>
        </w:rPr>
      </w:pP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To that end, a formal review must begin with a behavioral analysis to judge the success of the prevention framework as a whole. Once there is an understanding of the points of failure, surveys of both brand owners and registrants would be useful to understand the reasons for failure and the potential for remedy. That said, it is imperative to focus on the success of the framework overall and not its individual components</w:t>
      </w:r>
      <w:r w:rsidR="00333202" w:rsidRPr="001B15B3">
        <w:rPr>
          <w:rFonts w:ascii="Times New Roman" w:hAnsi="Times New Roman" w:cs="Times New Roman"/>
          <w:sz w:val="24"/>
          <w:szCs w:val="24"/>
        </w:rPr>
        <w:t>,</w:t>
      </w:r>
      <w:r w:rsidRPr="001B15B3">
        <w:rPr>
          <w:rFonts w:ascii="Times New Roman" w:hAnsi="Times New Roman" w:cs="Times New Roman"/>
          <w:sz w:val="24"/>
          <w:szCs w:val="24"/>
        </w:rPr>
        <w:t xml:space="preserve"> as the answers may lie outside of the existing framework of mechanisms.</w:t>
      </w: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 </w:t>
      </w: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Similarly, the new “cure” mechanisms must be evaluated by some objective measure</w:t>
      </w:r>
      <w:r w:rsidR="00D654EB">
        <w:rPr>
          <w:rFonts w:ascii="Times New Roman" w:hAnsi="Times New Roman" w:cs="Times New Roman"/>
          <w:sz w:val="24"/>
          <w:szCs w:val="24"/>
        </w:rPr>
        <w:t xml:space="preserve"> of their cost and complexity. </w:t>
      </w:r>
      <w:r w:rsidRPr="001B15B3">
        <w:rPr>
          <w:rFonts w:ascii="Times New Roman" w:hAnsi="Times New Roman" w:cs="Times New Roman"/>
          <w:sz w:val="24"/>
          <w:szCs w:val="24"/>
        </w:rPr>
        <w:t xml:space="preserve">Examining the new RPM framework holistically requires a comparison of the cost and ease of </w:t>
      </w:r>
      <w:r w:rsidR="00333202" w:rsidRPr="001B15B3">
        <w:rPr>
          <w:rFonts w:ascii="Times New Roman" w:hAnsi="Times New Roman" w:cs="Times New Roman"/>
          <w:sz w:val="24"/>
          <w:szCs w:val="24"/>
        </w:rPr>
        <w:t>“</w:t>
      </w:r>
      <w:r w:rsidRPr="001B15B3">
        <w:rPr>
          <w:rFonts w:ascii="Times New Roman" w:hAnsi="Times New Roman" w:cs="Times New Roman"/>
          <w:sz w:val="24"/>
          <w:szCs w:val="24"/>
        </w:rPr>
        <w:t>satisfactory resolution</w:t>
      </w:r>
      <w:r w:rsidR="00333202" w:rsidRPr="001B15B3">
        <w:rPr>
          <w:rFonts w:ascii="Times New Roman" w:hAnsi="Times New Roman" w:cs="Times New Roman"/>
          <w:sz w:val="24"/>
          <w:szCs w:val="24"/>
        </w:rPr>
        <w:t>”</w:t>
      </w:r>
      <w:r w:rsidRPr="001B15B3">
        <w:rPr>
          <w:rFonts w:ascii="Times New Roman" w:hAnsi="Times New Roman" w:cs="Times New Roman"/>
          <w:sz w:val="24"/>
          <w:szCs w:val="24"/>
        </w:rPr>
        <w:t xml:space="preserve"> of an infringement in the legacy gTLD environment to the same in the new gTLD environment. Once we understand the success of the overall RPM framework, we can begin to evaluate the new framework for strengths and weaknesses. For example, if there is no substantial decrease in cost to satisfactor</w:t>
      </w:r>
      <w:r w:rsidR="00333202" w:rsidRPr="001B15B3">
        <w:rPr>
          <w:rFonts w:ascii="Times New Roman" w:hAnsi="Times New Roman" w:cs="Times New Roman"/>
          <w:sz w:val="24"/>
          <w:szCs w:val="24"/>
        </w:rPr>
        <w:t>il</w:t>
      </w:r>
      <w:r w:rsidRPr="001B15B3">
        <w:rPr>
          <w:rFonts w:ascii="Times New Roman" w:hAnsi="Times New Roman" w:cs="Times New Roman"/>
          <w:sz w:val="24"/>
          <w:szCs w:val="24"/>
        </w:rPr>
        <w:t>y resolve infringement using a new mechanism (</w:t>
      </w:r>
      <w:r w:rsidRPr="001B15B3">
        <w:rPr>
          <w:rFonts w:ascii="Times New Roman" w:hAnsi="Times New Roman" w:cs="Times New Roman"/>
          <w:i/>
          <w:sz w:val="24"/>
          <w:szCs w:val="24"/>
        </w:rPr>
        <w:t>e.g.</w:t>
      </w:r>
      <w:r w:rsidRPr="001B15B3">
        <w:rPr>
          <w:rFonts w:ascii="Times New Roman" w:hAnsi="Times New Roman" w:cs="Times New Roman"/>
          <w:sz w:val="24"/>
          <w:szCs w:val="24"/>
        </w:rPr>
        <w:t>, URS), it could be that the cost of the new mechanism is too high or that it is too complex to use. Early indications are that both issues may be present, and that many may view the delivered remedies as unsatisfactory.</w:t>
      </w:r>
    </w:p>
    <w:p w:rsidR="00992DB4" w:rsidRPr="001B15B3" w:rsidRDefault="006E4364">
      <w:pPr>
        <w:pStyle w:val="PlainText"/>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 </w:t>
      </w:r>
    </w:p>
    <w:p w:rsidR="00992DB4" w:rsidRPr="001B15B3" w:rsidRDefault="00333202">
      <w:pPr>
        <w:pStyle w:val="PlainText"/>
        <w:rPr>
          <w:rFonts w:ascii="Times New Roman" w:hAnsi="Times New Roman" w:cs="Times New Roman"/>
          <w:sz w:val="24"/>
          <w:szCs w:val="24"/>
        </w:rPr>
      </w:pPr>
      <w:r w:rsidRPr="001B15B3">
        <w:rPr>
          <w:rFonts w:ascii="Times New Roman" w:hAnsi="Times New Roman" w:cs="Times New Roman"/>
          <w:sz w:val="24"/>
          <w:szCs w:val="24"/>
        </w:rPr>
        <w:t>In sum</w:t>
      </w:r>
      <w:r w:rsidR="006E4364" w:rsidRPr="001B15B3">
        <w:rPr>
          <w:rFonts w:ascii="Times New Roman" w:hAnsi="Times New Roman" w:cs="Times New Roman"/>
          <w:sz w:val="24"/>
          <w:szCs w:val="24"/>
        </w:rPr>
        <w:t>, a successful review will take a step back from the particular mechanisms and ask larger questions about the success of the framework as a whole and only then delve into the particular shortcomings of individual mechanisms and the potential for improvement. The shortcomings may very well lie with the mechanisms themselves as much if not more than in the details of their implementation.</w:t>
      </w:r>
    </w:p>
    <w:p w:rsidR="00D31F66" w:rsidRDefault="00D31F66">
      <w:pPr>
        <w:pStyle w:val="PlainText"/>
        <w:rPr>
          <w:rFonts w:ascii="Times New Roman" w:eastAsia="Times New Roman" w:hAnsi="Times New Roman" w:cs="Times New Roman"/>
          <w:sz w:val="24"/>
          <w:szCs w:val="24"/>
        </w:rPr>
      </w:pPr>
    </w:p>
    <w:p w:rsidR="001B15B3" w:rsidRDefault="001B15B3">
      <w:pPr>
        <w:rPr>
          <w:rFonts w:ascii="Times New Roman"/>
          <w:b/>
          <w:bCs/>
          <w:sz w:val="24"/>
          <w:szCs w:val="24"/>
        </w:rPr>
        <w:sectPr w:rsidR="001B15B3">
          <w:pgSz w:w="12240" w:h="15840"/>
          <w:pgMar w:top="1440" w:right="1440" w:bottom="1440" w:left="1440" w:header="720" w:footer="720" w:gutter="0"/>
          <w:cols w:space="720"/>
        </w:sectPr>
      </w:pPr>
    </w:p>
    <w:p w:rsidR="00992DB4" w:rsidRDefault="006E4364" w:rsidP="0082535A">
      <w:pPr>
        <w:pStyle w:val="Heading1"/>
        <w:rPr>
          <w:rFonts w:eastAsia="Times New Roman" w:hAnsi="Times New Roman" w:cs="Times New Roman"/>
        </w:rPr>
      </w:pPr>
      <w:r>
        <w:lastRenderedPageBreak/>
        <w:t>COMMENTS</w:t>
      </w:r>
    </w:p>
    <w:p w:rsidR="00992DB4" w:rsidRDefault="00992DB4">
      <w:pPr>
        <w:rPr>
          <w:rFonts w:ascii="Times New Roman" w:eastAsia="Times New Roman" w:hAnsi="Times New Roman" w:cs="Times New Roman"/>
          <w:sz w:val="24"/>
          <w:szCs w:val="24"/>
        </w:rPr>
      </w:pPr>
    </w:p>
    <w:p w:rsidR="00992DB4" w:rsidRPr="0082535A" w:rsidRDefault="006E4364" w:rsidP="0082535A">
      <w:pPr>
        <w:pStyle w:val="Heading2"/>
        <w:ind w:left="0"/>
      </w:pPr>
      <w:r w:rsidRPr="0082535A">
        <w:t>TRADEMARK CLEARINGHOUSE (TMCH)</w:t>
      </w:r>
    </w:p>
    <w:p w:rsidR="00992DB4" w:rsidRPr="001B15B3" w:rsidRDefault="00992DB4" w:rsidP="0082535A">
      <w:pPr>
        <w:rPr>
          <w:rFonts w:ascii="Times New Roman" w:eastAsia="Times New Roman" w:hAnsi="Times New Roman" w:cs="Times New Roman"/>
          <w:sz w:val="24"/>
          <w:szCs w:val="24"/>
          <w:u w:val="single"/>
        </w:rPr>
      </w:pPr>
    </w:p>
    <w:p w:rsidR="00992DB4" w:rsidRPr="0082535A" w:rsidRDefault="006E4364" w:rsidP="0082535A">
      <w:pPr>
        <w:pStyle w:val="Heading3"/>
        <w:ind w:left="0"/>
      </w:pPr>
      <w:r w:rsidRPr="0082535A">
        <w:t>Recordation in the TMCH</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As one would expect, knowledge and use of the TMCH amongst the members of the IPC is high.  The overwhelming majority of IPC members who provided input have used the TMCH to record trademarks either for themselves or their clients.  </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The numbers of marks registered per brand owner (and its affiliates) range from a</w:t>
      </w:r>
      <w:r w:rsidR="00D654EB">
        <w:rPr>
          <w:rFonts w:ascii="Times New Roman" w:hAnsi="Times New Roman" w:cs="Times New Roman"/>
          <w:sz w:val="24"/>
          <w:szCs w:val="24"/>
        </w:rPr>
        <w:t>s</w:t>
      </w:r>
      <w:r w:rsidRPr="001B15B3">
        <w:rPr>
          <w:rFonts w:ascii="Times New Roman" w:hAnsi="Times New Roman" w:cs="Times New Roman"/>
          <w:sz w:val="24"/>
          <w:szCs w:val="24"/>
        </w:rPr>
        <w:t xml:space="preserve"> few </w:t>
      </w:r>
      <w:r w:rsidR="00D654EB">
        <w:rPr>
          <w:rFonts w:ascii="Times New Roman" w:hAnsi="Times New Roman" w:cs="Times New Roman"/>
          <w:sz w:val="24"/>
          <w:szCs w:val="24"/>
        </w:rPr>
        <w:t xml:space="preserve">as 2 </w:t>
      </w:r>
      <w:r w:rsidRPr="001B15B3">
        <w:rPr>
          <w:rFonts w:ascii="Times New Roman" w:hAnsi="Times New Roman" w:cs="Times New Roman"/>
          <w:sz w:val="24"/>
          <w:szCs w:val="24"/>
        </w:rPr>
        <w:t xml:space="preserve">to more than 100, with the average being in the region of 10-15 marks per brand owner.  </w:t>
      </w:r>
    </w:p>
    <w:p w:rsidR="00992DB4" w:rsidRPr="001B15B3" w:rsidRDefault="00992DB4">
      <w:pPr>
        <w:rPr>
          <w:rFonts w:ascii="Times New Roman" w:eastAsia="Times New Roman" w:hAnsi="Times New Roman" w:cs="Times New Roman"/>
          <w:bCs/>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For a substantial minority of IPC Respondents</w:t>
      </w:r>
      <w:r w:rsidR="00D04EB8" w:rsidRPr="001B15B3">
        <w:rPr>
          <w:rFonts w:ascii="Times New Roman" w:hAnsi="Times New Roman" w:cs="Times New Roman"/>
          <w:sz w:val="24"/>
          <w:szCs w:val="24"/>
        </w:rPr>
        <w:t>,</w:t>
      </w:r>
      <w:r w:rsidRPr="001B15B3">
        <w:rPr>
          <w:rFonts w:ascii="Times New Roman" w:hAnsi="Times New Roman" w:cs="Times New Roman"/>
          <w:sz w:val="24"/>
          <w:szCs w:val="24"/>
        </w:rPr>
        <w:t xml:space="preserve"> the primary reason for recording their trademarks in the TMCH was to take part in one or </w:t>
      </w:r>
      <w:r w:rsidR="00D654EB">
        <w:rPr>
          <w:rFonts w:ascii="Times New Roman" w:hAnsi="Times New Roman" w:cs="Times New Roman"/>
          <w:sz w:val="24"/>
          <w:szCs w:val="24"/>
        </w:rPr>
        <w:t xml:space="preserve">more Registry Sunrise periods. </w:t>
      </w:r>
      <w:r w:rsidRPr="001B15B3">
        <w:rPr>
          <w:rFonts w:ascii="Times New Roman" w:hAnsi="Times New Roman" w:cs="Times New Roman"/>
          <w:sz w:val="24"/>
          <w:szCs w:val="24"/>
        </w:rPr>
        <w:t>For the majority, the Sunrise and Trademark Claims Notice (TM Claims) procedures were equally important reasons for registering, with some also taking into account the requirements as a dotBrand applicant for qualification for Specification 13, and the requirement to have a mark in the TMCH in order to utilize one or more of the Registry-specific RPMs, such as Donuts’ Domains Protected M</w:t>
      </w:r>
      <w:r w:rsidR="00D654EB">
        <w:rPr>
          <w:rFonts w:ascii="Times New Roman" w:hAnsi="Times New Roman" w:cs="Times New Roman"/>
          <w:sz w:val="24"/>
          <w:szCs w:val="24"/>
        </w:rPr>
        <w:t>arks List (DPML).</w:t>
      </w:r>
      <w:r w:rsidRPr="001B15B3">
        <w:rPr>
          <w:rFonts w:ascii="Times New Roman" w:hAnsi="Times New Roman" w:cs="Times New Roman"/>
          <w:sz w:val="24"/>
          <w:szCs w:val="24"/>
        </w:rPr>
        <w:t xml:space="preserve"> In fact, a small minority of </w:t>
      </w:r>
      <w:r w:rsidR="00800F25">
        <w:rPr>
          <w:rFonts w:ascii="Times New Roman" w:hAnsi="Times New Roman" w:cs="Times New Roman"/>
          <w:sz w:val="24"/>
          <w:szCs w:val="24"/>
        </w:rPr>
        <w:t>R</w:t>
      </w:r>
      <w:r w:rsidRPr="001B15B3">
        <w:rPr>
          <w:rFonts w:ascii="Times New Roman" w:hAnsi="Times New Roman" w:cs="Times New Roman"/>
          <w:sz w:val="24"/>
          <w:szCs w:val="24"/>
        </w:rPr>
        <w:t xml:space="preserve">espondents cited the DPML as being the primary driver for recording their marks in the TMCH. This demonstrates the need for the Review to take a holistic approach to the RPM ecosystem and </w:t>
      </w:r>
      <w:r w:rsidR="00D04EB8" w:rsidRPr="001B15B3">
        <w:rPr>
          <w:rFonts w:ascii="Times New Roman" w:hAnsi="Times New Roman" w:cs="Times New Roman"/>
          <w:sz w:val="24"/>
          <w:szCs w:val="24"/>
        </w:rPr>
        <w:t xml:space="preserve">shows that </w:t>
      </w:r>
      <w:r w:rsidRPr="001B15B3">
        <w:rPr>
          <w:rFonts w:ascii="Times New Roman" w:hAnsi="Times New Roman" w:cs="Times New Roman"/>
          <w:sz w:val="24"/>
          <w:szCs w:val="24"/>
        </w:rPr>
        <w:t xml:space="preserve">excluding Registry-specific RPMs from the Review would result in an inaccurate picture of the current </w:t>
      </w:r>
      <w:r w:rsidR="00D04EB8" w:rsidRPr="001B15B3">
        <w:rPr>
          <w:rFonts w:ascii="Times New Roman" w:hAnsi="Times New Roman" w:cs="Times New Roman"/>
          <w:sz w:val="24"/>
          <w:szCs w:val="24"/>
        </w:rPr>
        <w:t xml:space="preserve">RPM </w:t>
      </w:r>
      <w:r w:rsidRPr="001B15B3">
        <w:rPr>
          <w:rFonts w:ascii="Times New Roman" w:hAnsi="Times New Roman" w:cs="Times New Roman"/>
          <w:sz w:val="24"/>
          <w:szCs w:val="24"/>
        </w:rPr>
        <w:t xml:space="preserve">environment.  </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However, the use of the TMCH unquestio</w:t>
      </w:r>
      <w:r w:rsidR="00D654EB">
        <w:rPr>
          <w:rFonts w:ascii="Times New Roman" w:hAnsi="Times New Roman" w:cs="Times New Roman"/>
          <w:sz w:val="24"/>
          <w:szCs w:val="24"/>
        </w:rPr>
        <w:t xml:space="preserve">nably fell below expectations. </w:t>
      </w:r>
      <w:r w:rsidR="00D04EB8" w:rsidRPr="001B15B3">
        <w:rPr>
          <w:rFonts w:ascii="Times New Roman" w:hAnsi="Times New Roman" w:cs="Times New Roman"/>
          <w:sz w:val="24"/>
          <w:szCs w:val="24"/>
        </w:rPr>
        <w:t>The</w:t>
      </w:r>
      <w:r w:rsidRPr="001B15B3">
        <w:rPr>
          <w:rFonts w:ascii="Times New Roman" w:hAnsi="Times New Roman" w:cs="Times New Roman"/>
          <w:sz w:val="24"/>
          <w:szCs w:val="24"/>
        </w:rPr>
        <w:t xml:space="preserve"> IPC encourages ICANN to seek qualitative and quantitative information and data from brand owners to help determine why brand owners did not utilize the TMCH more, and to determine what improvements can be made to the TMCH and the RPMs </w:t>
      </w:r>
      <w:r w:rsidR="00D04EB8" w:rsidRPr="001B15B3">
        <w:rPr>
          <w:rFonts w:ascii="Times New Roman" w:hAnsi="Times New Roman" w:cs="Times New Roman"/>
          <w:sz w:val="24"/>
          <w:szCs w:val="24"/>
        </w:rPr>
        <w:t xml:space="preserve">to which </w:t>
      </w:r>
      <w:r w:rsidR="00D654EB">
        <w:rPr>
          <w:rFonts w:ascii="Times New Roman" w:hAnsi="Times New Roman" w:cs="Times New Roman"/>
          <w:sz w:val="24"/>
          <w:szCs w:val="24"/>
        </w:rPr>
        <w:t xml:space="preserve">it offers access. </w:t>
      </w:r>
      <w:r w:rsidRPr="001B15B3">
        <w:rPr>
          <w:rFonts w:ascii="Times New Roman" w:hAnsi="Times New Roman" w:cs="Times New Roman"/>
          <w:sz w:val="24"/>
          <w:szCs w:val="24"/>
        </w:rPr>
        <w:t>For instance, IPC Respondents identified a number of factors brand owners take into account when making decisions about whether to record in the TMCH and, if so, which of their trademarks to record.  The two most relevant factors cited were the available rem</w:t>
      </w:r>
      <w:r w:rsidR="00D654EB">
        <w:rPr>
          <w:rFonts w:ascii="Times New Roman" w:hAnsi="Times New Roman" w:cs="Times New Roman"/>
          <w:sz w:val="24"/>
          <w:szCs w:val="24"/>
        </w:rPr>
        <w:t>edies and the available budget.</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u w:val="single"/>
        </w:rPr>
        <w:t>Available remedies</w:t>
      </w:r>
      <w:r w:rsidRPr="001B15B3">
        <w:rPr>
          <w:rFonts w:ascii="Times New Roman" w:hAnsi="Times New Roman" w:cs="Times New Roman"/>
          <w:sz w:val="24"/>
          <w:szCs w:val="24"/>
        </w:rPr>
        <w:t>: the TMCH recordal itself offers no rights protection, merely the means to streamline access to and use of the other RPMs, i.e., the Sunrise and TM Claims noti</w:t>
      </w:r>
      <w:r w:rsidR="00D654EB">
        <w:rPr>
          <w:rFonts w:ascii="Times New Roman" w:hAnsi="Times New Roman" w:cs="Times New Roman"/>
          <w:sz w:val="24"/>
          <w:szCs w:val="24"/>
        </w:rPr>
        <w:t xml:space="preserve">ces (in addition to the DPML). </w:t>
      </w:r>
      <w:r w:rsidRPr="001B15B3">
        <w:rPr>
          <w:rFonts w:ascii="Times New Roman" w:hAnsi="Times New Roman" w:cs="Times New Roman"/>
          <w:sz w:val="24"/>
          <w:szCs w:val="24"/>
        </w:rPr>
        <w:t>IPC Respondents report that the appeal to brand owners of these ICANN-mandated RPMs is reduced by factors such as:</w:t>
      </w:r>
    </w:p>
    <w:p w:rsidR="00992DB4" w:rsidRPr="001B15B3" w:rsidRDefault="00992DB4">
      <w:pPr>
        <w:rPr>
          <w:rFonts w:ascii="Times New Roman" w:eastAsia="Times New Roman" w:hAnsi="Times New Roman" w:cs="Times New Roman"/>
          <w:sz w:val="24"/>
          <w:szCs w:val="24"/>
        </w:rPr>
      </w:pPr>
    </w:p>
    <w:p w:rsidR="00992DB4" w:rsidRPr="001B15B3" w:rsidRDefault="006E4364" w:rsidP="001B15B3">
      <w:pPr>
        <w:pStyle w:val="ListParagraph"/>
        <w:numPr>
          <w:ilvl w:val="0"/>
          <w:numId w:val="3"/>
        </w:numPr>
        <w:tabs>
          <w:tab w:val="num" w:pos="300"/>
        </w:tabs>
        <w:spacing w:after="240"/>
        <w:ind w:left="302" w:hanging="302"/>
        <w:rPr>
          <w:rFonts w:ascii="Times New Roman" w:eastAsia="Times New Roman" w:hAnsi="Times New Roman" w:cs="Times New Roman"/>
          <w:sz w:val="24"/>
          <w:szCs w:val="24"/>
        </w:rPr>
      </w:pPr>
      <w:r w:rsidRPr="001B15B3">
        <w:rPr>
          <w:rFonts w:ascii="Times New Roman" w:hAnsi="Times New Roman" w:cs="Times New Roman"/>
          <w:sz w:val="24"/>
          <w:szCs w:val="24"/>
        </w:rPr>
        <w:t>Their limitation to exact matches to the trade mark and the exclusion of “mark plus” both for Sunrise and for the TM Claims:</w:t>
      </w:r>
    </w:p>
    <w:p w:rsidR="00992DB4" w:rsidRPr="001B15B3" w:rsidRDefault="006E4364">
      <w:pPr>
        <w:pStyle w:val="ListParagraph"/>
        <w:numPr>
          <w:ilvl w:val="1"/>
          <w:numId w:val="3"/>
        </w:numPr>
        <w:tabs>
          <w:tab w:val="num" w:pos="1020"/>
        </w:tabs>
        <w:ind w:left="1020" w:hanging="300"/>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In order to make the most of finite trademark registration budgets, it is fairly common practice that where a brand owner has a strong house brand </w:t>
      </w:r>
      <w:r w:rsidR="00D04EB8" w:rsidRPr="001B15B3">
        <w:rPr>
          <w:rFonts w:ascii="Times New Roman" w:hAnsi="Times New Roman" w:cs="Times New Roman"/>
          <w:sz w:val="24"/>
          <w:szCs w:val="24"/>
        </w:rPr>
        <w:t xml:space="preserve">that </w:t>
      </w:r>
      <w:r w:rsidRPr="001B15B3">
        <w:rPr>
          <w:rFonts w:ascii="Times New Roman" w:hAnsi="Times New Roman" w:cs="Times New Roman"/>
          <w:sz w:val="24"/>
          <w:szCs w:val="24"/>
        </w:rPr>
        <w:t>is used with a variety of added terms, they may seek to rely on trademark registrations of the house mark alone, because the additional terms add little to the strength of the trademark.  Limiting RPMs to exact matches prevents the brand owner from registering its legitimate suite of brands during the Sunrise;</w:t>
      </w:r>
    </w:p>
    <w:p w:rsidR="009F50BF" w:rsidRPr="00D6002F" w:rsidRDefault="006E4364" w:rsidP="001B15B3">
      <w:pPr>
        <w:pStyle w:val="ListParagraph"/>
        <w:numPr>
          <w:ilvl w:val="1"/>
          <w:numId w:val="3"/>
        </w:numPr>
        <w:tabs>
          <w:tab w:val="num" w:pos="1020"/>
        </w:tabs>
        <w:spacing w:after="240"/>
        <w:ind w:left="1022" w:hanging="302"/>
        <w:rPr>
          <w:rFonts w:ascii="Times New Roman" w:eastAsia="Times New Roman" w:hAnsi="Times New Roman" w:cs="Times New Roman"/>
          <w:sz w:val="24"/>
          <w:szCs w:val="24"/>
        </w:rPr>
      </w:pPr>
      <w:r w:rsidRPr="001B15B3">
        <w:rPr>
          <w:rFonts w:ascii="Times New Roman" w:hAnsi="Times New Roman" w:cs="Times New Roman"/>
          <w:sz w:val="24"/>
          <w:szCs w:val="24"/>
        </w:rPr>
        <w:lastRenderedPageBreak/>
        <w:t xml:space="preserve">Not coincidentally, it is </w:t>
      </w:r>
      <w:r w:rsidR="009F50BF" w:rsidRPr="001B15B3">
        <w:rPr>
          <w:rFonts w:ascii="Times New Roman" w:hAnsi="Times New Roman" w:cs="Times New Roman"/>
          <w:sz w:val="24"/>
          <w:szCs w:val="24"/>
        </w:rPr>
        <w:t xml:space="preserve">a </w:t>
      </w:r>
      <w:r w:rsidRPr="001B15B3">
        <w:rPr>
          <w:rFonts w:ascii="Times New Roman" w:hAnsi="Times New Roman" w:cs="Times New Roman"/>
          <w:sz w:val="24"/>
          <w:szCs w:val="24"/>
        </w:rPr>
        <w:t>very common practice among cybersquatters to register a domain consisting of a brand together with additional descriptive or generic words.</w:t>
      </w:r>
    </w:p>
    <w:p w:rsidR="00D6002F" w:rsidRPr="001B15B3" w:rsidRDefault="00D6002F" w:rsidP="001B15B3">
      <w:pPr>
        <w:pStyle w:val="ListParagraph"/>
        <w:numPr>
          <w:ilvl w:val="1"/>
          <w:numId w:val="3"/>
        </w:numPr>
        <w:tabs>
          <w:tab w:val="num" w:pos="1020"/>
        </w:tabs>
        <w:spacing w:after="240"/>
        <w:ind w:left="1022" w:hanging="302"/>
        <w:rPr>
          <w:rFonts w:ascii="Times New Roman" w:eastAsia="Times New Roman" w:hAnsi="Times New Roman" w:cs="Times New Roman"/>
          <w:sz w:val="24"/>
          <w:szCs w:val="24"/>
        </w:rPr>
      </w:pPr>
      <w:r>
        <w:rPr>
          <w:rFonts w:ascii="Times New Roman" w:hAnsi="Times New Roman" w:cs="Times New Roman"/>
          <w:sz w:val="24"/>
          <w:szCs w:val="24"/>
        </w:rPr>
        <w:t>I</w:t>
      </w:r>
      <w:r w:rsidRPr="001B15B3">
        <w:rPr>
          <w:rFonts w:ascii="Times New Roman" w:hAnsi="Times New Roman" w:cs="Times New Roman"/>
          <w:sz w:val="24"/>
          <w:szCs w:val="24"/>
        </w:rPr>
        <w:t xml:space="preserve">t is also a very common practice among cybersquatters to register a domain consisting of a </w:t>
      </w:r>
      <w:r>
        <w:rPr>
          <w:rFonts w:ascii="Times New Roman" w:hAnsi="Times New Roman" w:cs="Times New Roman"/>
          <w:sz w:val="24"/>
          <w:szCs w:val="24"/>
        </w:rPr>
        <w:t xml:space="preserve">misspelling of a </w:t>
      </w:r>
      <w:r w:rsidRPr="001B15B3">
        <w:rPr>
          <w:rFonts w:ascii="Times New Roman" w:hAnsi="Times New Roman" w:cs="Times New Roman"/>
          <w:sz w:val="24"/>
          <w:szCs w:val="24"/>
        </w:rPr>
        <w:t>brand</w:t>
      </w:r>
      <w:r w:rsidR="00B128B7">
        <w:rPr>
          <w:rFonts w:ascii="Times New Roman" w:hAnsi="Times New Roman" w:cs="Times New Roman"/>
          <w:sz w:val="24"/>
          <w:szCs w:val="24"/>
        </w:rPr>
        <w:t xml:space="preserve"> (</w:t>
      </w:r>
      <w:r w:rsidR="00B128B7">
        <w:rPr>
          <w:rFonts w:ascii="Times New Roman" w:hAnsi="Times New Roman" w:cs="Times New Roman"/>
          <w:i/>
          <w:sz w:val="24"/>
          <w:szCs w:val="24"/>
        </w:rPr>
        <w:t>i.e.</w:t>
      </w:r>
      <w:r w:rsidR="00B128B7">
        <w:rPr>
          <w:rFonts w:ascii="Times New Roman" w:hAnsi="Times New Roman" w:cs="Times New Roman"/>
          <w:sz w:val="24"/>
          <w:szCs w:val="24"/>
        </w:rPr>
        <w:t>, “typosquatting”)</w:t>
      </w:r>
      <w:r w:rsidRPr="001B15B3">
        <w:rPr>
          <w:rFonts w:ascii="Times New Roman" w:hAnsi="Times New Roman" w:cs="Times New Roman"/>
          <w:sz w:val="24"/>
          <w:szCs w:val="24"/>
        </w:rPr>
        <w:t>.</w:t>
      </w:r>
    </w:p>
    <w:p w:rsidR="00992DB4" w:rsidRPr="001B15B3" w:rsidRDefault="006E4364" w:rsidP="001B15B3">
      <w:pPr>
        <w:tabs>
          <w:tab w:val="num" w:pos="1170"/>
        </w:tabs>
        <w:ind w:left="360"/>
        <w:rPr>
          <w:rFonts w:ascii="Times New Roman" w:eastAsia="Times New Roman" w:hAnsi="Times New Roman" w:cs="Times New Roman"/>
          <w:sz w:val="24"/>
          <w:szCs w:val="24"/>
        </w:rPr>
      </w:pPr>
      <w:r w:rsidRPr="001B15B3">
        <w:rPr>
          <w:rFonts w:ascii="Times New Roman" w:hAnsi="Times New Roman" w:cs="Times New Roman"/>
          <w:sz w:val="24"/>
          <w:szCs w:val="24"/>
        </w:rPr>
        <w:t>Limiting the TM Claims to exact matches significantly devalues this RPM for the brand owner.</w:t>
      </w:r>
    </w:p>
    <w:p w:rsidR="00992DB4" w:rsidRPr="001B15B3" w:rsidRDefault="00992DB4">
      <w:pPr>
        <w:pStyle w:val="ListParagraph"/>
        <w:ind w:left="1080"/>
        <w:rPr>
          <w:rFonts w:ascii="Times New Roman" w:eastAsia="Times New Roman" w:hAnsi="Times New Roman" w:cs="Times New Roman"/>
          <w:sz w:val="24"/>
          <w:szCs w:val="24"/>
        </w:rPr>
      </w:pPr>
    </w:p>
    <w:p w:rsidR="00992DB4" w:rsidRPr="001B15B3" w:rsidRDefault="009F50BF">
      <w:pPr>
        <w:pStyle w:val="ListParagraph"/>
        <w:numPr>
          <w:ilvl w:val="0"/>
          <w:numId w:val="3"/>
        </w:numPr>
        <w:tabs>
          <w:tab w:val="num" w:pos="300"/>
        </w:tabs>
        <w:ind w:left="300" w:hanging="300"/>
        <w:rPr>
          <w:rFonts w:ascii="Times New Roman" w:eastAsia="Times New Roman" w:hAnsi="Times New Roman" w:cs="Times New Roman"/>
          <w:sz w:val="24"/>
          <w:szCs w:val="24"/>
        </w:rPr>
      </w:pPr>
      <w:r w:rsidRPr="001B15B3">
        <w:rPr>
          <w:rFonts w:ascii="Times New Roman" w:hAnsi="Times New Roman" w:cs="Times New Roman"/>
          <w:sz w:val="24"/>
          <w:szCs w:val="24"/>
        </w:rPr>
        <w:t>T</w:t>
      </w:r>
      <w:r w:rsidR="006E4364" w:rsidRPr="001B15B3">
        <w:rPr>
          <w:rFonts w:ascii="Times New Roman" w:hAnsi="Times New Roman" w:cs="Times New Roman"/>
          <w:sz w:val="24"/>
          <w:szCs w:val="24"/>
        </w:rPr>
        <w:t xml:space="preserve">he TM Claims service does not afford the brand owner prior notice of a registration, but only notification after the event, at which point the only remedy would be some form of enforcement action.  </w:t>
      </w:r>
    </w:p>
    <w:p w:rsidR="00992DB4" w:rsidRPr="001B15B3" w:rsidRDefault="00992DB4">
      <w:pPr>
        <w:pStyle w:val="ListParagraph"/>
        <w:ind w:left="360"/>
        <w:rPr>
          <w:rFonts w:ascii="Times New Roman" w:eastAsia="Times New Roman" w:hAnsi="Times New Roman" w:cs="Times New Roman"/>
          <w:sz w:val="24"/>
          <w:szCs w:val="24"/>
        </w:rPr>
      </w:pPr>
    </w:p>
    <w:p w:rsidR="00992DB4" w:rsidRPr="001B15B3" w:rsidRDefault="009F50BF">
      <w:pPr>
        <w:pStyle w:val="ListParagraph"/>
        <w:numPr>
          <w:ilvl w:val="0"/>
          <w:numId w:val="3"/>
        </w:numPr>
        <w:tabs>
          <w:tab w:val="num" w:pos="300"/>
        </w:tabs>
        <w:ind w:left="300" w:hanging="300"/>
        <w:rPr>
          <w:rFonts w:ascii="Times New Roman" w:eastAsia="Times New Roman" w:hAnsi="Times New Roman" w:cs="Times New Roman"/>
          <w:sz w:val="24"/>
          <w:szCs w:val="24"/>
        </w:rPr>
      </w:pPr>
      <w:r w:rsidRPr="001B15B3">
        <w:rPr>
          <w:rFonts w:ascii="Times New Roman" w:hAnsi="Times New Roman" w:cs="Times New Roman"/>
          <w:sz w:val="24"/>
          <w:szCs w:val="24"/>
        </w:rPr>
        <w:t>T</w:t>
      </w:r>
      <w:r w:rsidR="006E4364" w:rsidRPr="001B15B3">
        <w:rPr>
          <w:rFonts w:ascii="Times New Roman" w:hAnsi="Times New Roman" w:cs="Times New Roman"/>
          <w:sz w:val="24"/>
          <w:szCs w:val="24"/>
        </w:rPr>
        <w:t xml:space="preserve">here is no ICANN-mandated block facility for brands across all registries, </w:t>
      </w:r>
      <w:r w:rsidR="00B128B7">
        <w:rPr>
          <w:rFonts w:ascii="Times New Roman" w:hAnsi="Times New Roman" w:cs="Times New Roman"/>
          <w:sz w:val="24"/>
          <w:szCs w:val="24"/>
        </w:rPr>
        <w:t xml:space="preserve">and </w:t>
      </w:r>
      <w:r w:rsidR="006E4364" w:rsidRPr="001B15B3">
        <w:rPr>
          <w:rFonts w:ascii="Times New Roman" w:hAnsi="Times New Roman" w:cs="Times New Roman"/>
          <w:sz w:val="24"/>
          <w:szCs w:val="24"/>
        </w:rPr>
        <w:t xml:space="preserve">only </w:t>
      </w:r>
      <w:r w:rsidR="00D654EB">
        <w:rPr>
          <w:rFonts w:ascii="Times New Roman" w:hAnsi="Times New Roman" w:cs="Times New Roman"/>
          <w:sz w:val="24"/>
          <w:szCs w:val="24"/>
        </w:rPr>
        <w:t xml:space="preserve">very few </w:t>
      </w:r>
      <w:r w:rsidR="006E4364" w:rsidRPr="001B15B3">
        <w:rPr>
          <w:rFonts w:ascii="Times New Roman" w:hAnsi="Times New Roman" w:cs="Times New Roman"/>
          <w:sz w:val="24"/>
          <w:szCs w:val="24"/>
        </w:rPr>
        <w:t xml:space="preserve">limited Registry-specific blocks.  </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u w:val="single"/>
        </w:rPr>
        <w:t>Available budget:</w:t>
      </w:r>
      <w:r w:rsidRPr="001B15B3">
        <w:rPr>
          <w:rFonts w:ascii="Times New Roman" w:hAnsi="Times New Roman" w:cs="Times New Roman"/>
          <w:sz w:val="24"/>
          <w:szCs w:val="24"/>
        </w:rPr>
        <w:t xml:space="preserve"> This is of course closely tied-in to the perceived va</w:t>
      </w:r>
      <w:r w:rsidR="00D654EB">
        <w:rPr>
          <w:rFonts w:ascii="Times New Roman" w:hAnsi="Times New Roman" w:cs="Times New Roman"/>
          <w:sz w:val="24"/>
          <w:szCs w:val="24"/>
        </w:rPr>
        <w:t xml:space="preserve">lue of the available remedies. </w:t>
      </w:r>
      <w:r w:rsidRPr="001B15B3">
        <w:rPr>
          <w:rFonts w:ascii="Times New Roman" w:hAnsi="Times New Roman" w:cs="Times New Roman"/>
          <w:sz w:val="24"/>
          <w:szCs w:val="24"/>
        </w:rPr>
        <w:t>In the words of one IPC Respondent:</w:t>
      </w:r>
    </w:p>
    <w:p w:rsidR="00992DB4" w:rsidRPr="001B15B3" w:rsidRDefault="00992DB4">
      <w:pPr>
        <w:rPr>
          <w:rFonts w:ascii="Times New Roman" w:eastAsia="Times New Roman" w:hAnsi="Times New Roman" w:cs="Times New Roman"/>
          <w:sz w:val="24"/>
          <w:szCs w:val="24"/>
        </w:rPr>
      </w:pPr>
    </w:p>
    <w:p w:rsidR="00992DB4" w:rsidRPr="001B15B3" w:rsidRDefault="006E4364">
      <w:pPr>
        <w:ind w:left="720"/>
        <w:rPr>
          <w:rFonts w:ascii="Times New Roman" w:eastAsia="Times New Roman" w:hAnsi="Times New Roman" w:cs="Times New Roman"/>
          <w:sz w:val="24"/>
          <w:szCs w:val="24"/>
        </w:rPr>
      </w:pPr>
      <w:r w:rsidRPr="001B15B3">
        <w:rPr>
          <w:rFonts w:ascii="Times New Roman" w:hAnsi="Times New Roman" w:cs="Times New Roman"/>
          <w:sz w:val="24"/>
          <w:szCs w:val="24"/>
        </w:rPr>
        <w:t>“I registered several of our trademarks in the TMCH for a fee…</w:t>
      </w:r>
      <w:r w:rsidR="009F50BF" w:rsidRPr="001B15B3">
        <w:rPr>
          <w:rFonts w:ascii="Times New Roman" w:hAnsi="Times New Roman" w:cs="Times New Roman"/>
          <w:sz w:val="24"/>
          <w:szCs w:val="24"/>
        </w:rPr>
        <w:t xml:space="preserve">.  </w:t>
      </w:r>
      <w:r w:rsidRPr="001B15B3">
        <w:rPr>
          <w:rFonts w:ascii="Times New Roman" w:hAnsi="Times New Roman" w:cs="Times New Roman"/>
          <w:sz w:val="24"/>
          <w:szCs w:val="24"/>
        </w:rPr>
        <w:t xml:space="preserve">I paid higher registration fees during the Sunrise Period to obtain a [domain name] with our trademarks.  I feel that trademark owners were penalized twice in protecting our own brand with this new gTLD program.” </w:t>
      </w:r>
    </w:p>
    <w:p w:rsidR="00992DB4" w:rsidRPr="001B15B3" w:rsidRDefault="00992DB4">
      <w:pPr>
        <w:ind w:left="720"/>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However it is also relevant that when the RPM policy was being developed, ICANN’s expectation—and that of the community—was that there would only b</w:t>
      </w:r>
      <w:r w:rsidR="00D654EB">
        <w:rPr>
          <w:rFonts w:ascii="Times New Roman" w:hAnsi="Times New Roman" w:cs="Times New Roman"/>
          <w:sz w:val="24"/>
          <w:szCs w:val="24"/>
        </w:rPr>
        <w:t xml:space="preserve">e approximately 500 new gTLDs. </w:t>
      </w:r>
      <w:r w:rsidRPr="001B15B3">
        <w:rPr>
          <w:rFonts w:ascii="Times New Roman" w:hAnsi="Times New Roman" w:cs="Times New Roman"/>
          <w:sz w:val="24"/>
          <w:szCs w:val="24"/>
        </w:rPr>
        <w:t>With the number of applications far exceeding this expectation (even when excluding the dotBrands), brand owner budgets for defensive registrations have been stretched to the limit, and given the costs involved, for many it simply has not been possible to register all of their brand names during the Trademark Sunrise Periods that have already occurred, not to mention the Trademark Sunrise Peri</w:t>
      </w:r>
      <w:r w:rsidR="00D654EB">
        <w:rPr>
          <w:rFonts w:ascii="Times New Roman" w:hAnsi="Times New Roman" w:cs="Times New Roman"/>
          <w:sz w:val="24"/>
          <w:szCs w:val="24"/>
        </w:rPr>
        <w:t>ods that have yet to commence.</w:t>
      </w:r>
    </w:p>
    <w:p w:rsidR="00992DB4" w:rsidRPr="001B15B3" w:rsidRDefault="00992DB4">
      <w:pPr>
        <w:rPr>
          <w:rFonts w:ascii="Times New Roman" w:eastAsia="Times New Roman" w:hAnsi="Times New Roman" w:cs="Times New Roman"/>
          <w:sz w:val="24"/>
          <w:szCs w:val="24"/>
        </w:rPr>
      </w:pPr>
    </w:p>
    <w:p w:rsidR="00992DB4" w:rsidRDefault="006E4364" w:rsidP="0082535A">
      <w:pPr>
        <w:pStyle w:val="Heading3"/>
        <w:ind w:left="0"/>
        <w:rPr>
          <w:rFonts w:eastAsia="Times New Roman"/>
        </w:rPr>
      </w:pPr>
      <w:r>
        <w:t>Proof of Use</w:t>
      </w:r>
    </w:p>
    <w:p w:rsidR="00992DB4" w:rsidRDefault="00992DB4">
      <w:pPr>
        <w:rPr>
          <w:rFonts w:ascii="Times New Roman" w:eastAsia="Times New Roman" w:hAnsi="Times New Roman" w:cs="Times New Roman"/>
          <w:b/>
          <w:bCs/>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IPC Respondents did not identify the proof of use requirements as influencing their decision whether to use the TMCH</w:t>
      </w:r>
      <w:r w:rsidR="00E279D0">
        <w:rPr>
          <w:rFonts w:ascii="Times New Roman"/>
          <w:sz w:val="24"/>
          <w:szCs w:val="24"/>
        </w:rPr>
        <w:t xml:space="preserve">; </w:t>
      </w:r>
      <w:r>
        <w:rPr>
          <w:rFonts w:ascii="Times New Roman"/>
          <w:sz w:val="24"/>
          <w:szCs w:val="24"/>
        </w:rPr>
        <w:t xml:space="preserve">however this was identified as being a relatively time-consuming process.  In the case of marks from Canada and the United States, where proof of use must </w:t>
      </w:r>
      <w:r w:rsidR="00B128B7">
        <w:rPr>
          <w:rFonts w:ascii="Times New Roman"/>
          <w:sz w:val="24"/>
          <w:szCs w:val="24"/>
        </w:rPr>
        <w:t xml:space="preserve">(in most instances) </w:t>
      </w:r>
      <w:r>
        <w:rPr>
          <w:rFonts w:ascii="Times New Roman"/>
          <w:sz w:val="24"/>
          <w:szCs w:val="24"/>
        </w:rPr>
        <w:t xml:space="preserve">be submitted to the trademark office to obtain a trademark registration, we question the necessity </w:t>
      </w:r>
      <w:r w:rsidR="009F50BF">
        <w:rPr>
          <w:rFonts w:ascii="Times New Roman"/>
          <w:sz w:val="24"/>
          <w:szCs w:val="24"/>
        </w:rPr>
        <w:t xml:space="preserve">of </w:t>
      </w:r>
      <w:r>
        <w:rPr>
          <w:rFonts w:ascii="Times New Roman"/>
          <w:sz w:val="24"/>
          <w:szCs w:val="24"/>
        </w:rPr>
        <w:t>being required to submit such</w:t>
      </w:r>
      <w:r w:rsidR="00D654EB">
        <w:rPr>
          <w:rFonts w:ascii="Times New Roman"/>
          <w:sz w:val="24"/>
          <w:szCs w:val="24"/>
        </w:rPr>
        <w:t xml:space="preserve"> evidence to the TMCH as well. It is worth noting the </w:t>
      </w:r>
      <w:r w:rsidR="00D654EB">
        <w:rPr>
          <w:rFonts w:ascii="Times New Roman" w:eastAsia="Times New Roman" w:hAnsi="Times New Roman" w:cs="Times New Roman"/>
          <w:sz w:val="24"/>
          <w:szCs w:val="24"/>
        </w:rPr>
        <w:t>United States is the jurisdiction with the most verified registered marks in the TMCH</w:t>
      </w:r>
      <w:r w:rsidR="00D654EB">
        <w:rPr>
          <w:rFonts w:ascii="Times New Roman"/>
          <w:sz w:val="24"/>
          <w:szCs w:val="24"/>
        </w:rPr>
        <w:t xml:space="preserve"> </w:t>
      </w:r>
      <w:r>
        <w:rPr>
          <w:rFonts w:ascii="Times New Roman"/>
          <w:sz w:val="24"/>
          <w:szCs w:val="24"/>
        </w:rPr>
        <w:t>Others, however, particularly from countries such as those of the EU where no proof of use is required for a mark to be validly-registered, consider the proof of use requirements to be unsupporte</w:t>
      </w:r>
      <w:r w:rsidR="00D654EB">
        <w:rPr>
          <w:rFonts w:ascii="Times New Roman"/>
          <w:sz w:val="24"/>
          <w:szCs w:val="24"/>
        </w:rPr>
        <w:t xml:space="preserve">d by law. </w:t>
      </w:r>
      <w:r>
        <w:rPr>
          <w:rFonts w:ascii="Times New Roman"/>
          <w:sz w:val="24"/>
          <w:szCs w:val="24"/>
        </w:rPr>
        <w:t xml:space="preserve">ICANN is encouraged to seek data surrounding the efficacy of this requirement in light of the costs associated with the verification process and lack of a </w:t>
      </w:r>
      <w:r w:rsidR="009F50BF">
        <w:rPr>
          <w:rFonts w:ascii="Times New Roman"/>
          <w:sz w:val="24"/>
          <w:szCs w:val="24"/>
        </w:rPr>
        <w:t xml:space="preserve">proof of </w:t>
      </w:r>
      <w:r>
        <w:rPr>
          <w:rFonts w:ascii="Times New Roman"/>
          <w:sz w:val="24"/>
          <w:szCs w:val="24"/>
        </w:rPr>
        <w:t xml:space="preserve">use requirement to obtain registration </w:t>
      </w:r>
      <w:r w:rsidR="0087280A">
        <w:rPr>
          <w:rFonts w:ascii="Times New Roman"/>
          <w:sz w:val="24"/>
          <w:szCs w:val="24"/>
        </w:rPr>
        <w:t xml:space="preserve">and enforceable rights </w:t>
      </w:r>
      <w:r>
        <w:rPr>
          <w:rFonts w:ascii="Times New Roman"/>
          <w:sz w:val="24"/>
          <w:szCs w:val="24"/>
        </w:rPr>
        <w:t>in many jurisdictions.</w:t>
      </w:r>
    </w:p>
    <w:p w:rsidR="00992DB4" w:rsidRDefault="00992DB4">
      <w:pPr>
        <w:rPr>
          <w:rFonts w:ascii="Times New Roman" w:eastAsia="Times New Roman" w:hAnsi="Times New Roman" w:cs="Times New Roman"/>
          <w:sz w:val="24"/>
          <w:szCs w:val="24"/>
        </w:rPr>
      </w:pPr>
    </w:p>
    <w:p w:rsidR="00992DB4" w:rsidRDefault="006E4364" w:rsidP="0082535A">
      <w:pPr>
        <w:pStyle w:val="Heading3"/>
        <w:ind w:left="0"/>
        <w:rPr>
          <w:rFonts w:eastAsia="Times New Roman"/>
        </w:rPr>
      </w:pPr>
      <w:r>
        <w:t>Implementation Issues</w:t>
      </w:r>
    </w:p>
    <w:p w:rsidR="00992DB4" w:rsidRDefault="00992DB4">
      <w:pPr>
        <w:rPr>
          <w:rFonts w:ascii="Times New Roman" w:eastAsia="Times New Roman" w:hAnsi="Times New Roman" w:cs="Times New Roman"/>
          <w:b/>
          <w:bCs/>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IPC Respondents highlighted various practical issues encountered in using the TMCH, which are largely matters of impl</w:t>
      </w:r>
      <w:r w:rsidR="00D654EB">
        <w:rPr>
          <w:rFonts w:ascii="Times New Roman"/>
          <w:sz w:val="24"/>
          <w:szCs w:val="24"/>
        </w:rPr>
        <w:t xml:space="preserve">ementation and staff training. </w:t>
      </w:r>
      <w:r>
        <w:rPr>
          <w:rFonts w:ascii="Times New Roman"/>
          <w:sz w:val="24"/>
          <w:szCs w:val="24"/>
        </w:rPr>
        <w:t>These include difficulties with:</w:t>
      </w:r>
    </w:p>
    <w:p w:rsidR="00992DB4" w:rsidRDefault="00992DB4">
      <w:pPr>
        <w:rPr>
          <w:rFonts w:ascii="Times New Roman" w:eastAsia="Times New Roman" w:hAnsi="Times New Roman" w:cs="Times New Roman"/>
          <w:sz w:val="24"/>
          <w:szCs w:val="24"/>
        </w:rPr>
      </w:pP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Changes of address leading to false notices because the validation process did not look to the underlying records;</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Recording assignments;</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Validating Chinese and Russian script;</w:t>
      </w:r>
    </w:p>
    <w:p w:rsidR="00992DB4" w:rsidRDefault="00312C56">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Trademarks registered under the Madrid Protocol,</w:t>
      </w:r>
      <w:r w:rsidR="006E4364">
        <w:rPr>
          <w:rFonts w:ascii="Times New Roman"/>
          <w:sz w:val="24"/>
          <w:szCs w:val="24"/>
        </w:rPr>
        <w:t xml:space="preserve"> where there is no separate </w:t>
      </w:r>
      <w:r w:rsidR="00311842">
        <w:rPr>
          <w:rFonts w:ascii="Times New Roman"/>
          <w:sz w:val="24"/>
          <w:szCs w:val="24"/>
        </w:rPr>
        <w:t xml:space="preserve">trademark registration </w:t>
      </w:r>
      <w:r w:rsidR="006E4364">
        <w:rPr>
          <w:rFonts w:ascii="Times New Roman"/>
          <w:sz w:val="24"/>
          <w:szCs w:val="24"/>
        </w:rPr>
        <w:t>certificate;</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Proof of use being rejected for showing other words together with the trade mark, when this is how trademarks appear when they are put to genuine use;</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Rejections as a result of non-substantive differences in the translations of goods/services;</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Inadequate word limits for some data fields;</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Usability of TMCH interface; ease of navigation;</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Technical interruptions to the system causing data to be lost;</w:t>
      </w:r>
    </w:p>
    <w:p w:rsidR="00992DB4" w:rsidRDefault="006E4364">
      <w:pPr>
        <w:pStyle w:val="ListParagraph"/>
        <w:numPr>
          <w:ilvl w:val="0"/>
          <w:numId w:val="6"/>
        </w:numPr>
        <w:tabs>
          <w:tab w:val="clear" w:pos="720"/>
          <w:tab w:val="num" w:pos="660"/>
        </w:tabs>
        <w:ind w:left="660" w:hanging="300"/>
        <w:rPr>
          <w:rFonts w:ascii="Times New Roman" w:eastAsia="Times New Roman" w:hAnsi="Times New Roman" w:cs="Times New Roman"/>
          <w:sz w:val="24"/>
          <w:szCs w:val="24"/>
        </w:rPr>
      </w:pPr>
      <w:r>
        <w:rPr>
          <w:rFonts w:ascii="Times New Roman"/>
          <w:sz w:val="24"/>
          <w:szCs w:val="24"/>
        </w:rPr>
        <w:t xml:space="preserve">Poor customer service from staff, including rejection of marks without proper explanation, and responses from staff rarely being adequate to resolve the matter without further rounds of correspondence. </w:t>
      </w:r>
    </w:p>
    <w:p w:rsidR="00992DB4" w:rsidRDefault="00992DB4">
      <w:pPr>
        <w:pStyle w:val="ListParagraph"/>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The IPC urges ICANN to develop quantitative and qualitative questions to examine these issues as a part of its review of RPMs.</w:t>
      </w:r>
    </w:p>
    <w:p w:rsidR="00992DB4" w:rsidRPr="001B15B3" w:rsidRDefault="006E4364">
      <w:pPr>
        <w:rPr>
          <w:rFonts w:ascii="Times New Roman" w:eastAsia="Times New Roman" w:hAnsi="Times New Roman" w:cs="Times New Roman"/>
          <w:sz w:val="24"/>
          <w:szCs w:val="24"/>
        </w:rPr>
      </w:pPr>
      <w:r>
        <w:rPr>
          <w:rFonts w:ascii="Times New Roman"/>
          <w:sz w:val="24"/>
          <w:szCs w:val="24"/>
        </w:rPr>
        <w:t xml:space="preserve"> </w:t>
      </w:r>
    </w:p>
    <w:p w:rsidR="00992DB4" w:rsidRPr="001B15B3" w:rsidRDefault="006E4364" w:rsidP="0082535A">
      <w:pPr>
        <w:pStyle w:val="Heading2"/>
        <w:ind w:left="0"/>
        <w:rPr>
          <w:rFonts w:eastAsia="Times New Roman"/>
        </w:rPr>
      </w:pPr>
      <w:r w:rsidRPr="001B15B3">
        <w:t>SUNRISE PERIOD</w:t>
      </w:r>
    </w:p>
    <w:p w:rsidR="00992DB4" w:rsidRPr="001B15B3" w:rsidRDefault="00992DB4">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 xml:space="preserve">Trademark owners supported the establishment of required Sunrise Periods as part of the New gTLD </w:t>
      </w:r>
      <w:r w:rsidR="00312C56" w:rsidRPr="001B15B3">
        <w:rPr>
          <w:rFonts w:ascii="Times New Roman" w:hAnsi="Times New Roman" w:cs="Times New Roman"/>
          <w:sz w:val="24"/>
          <w:szCs w:val="24"/>
        </w:rPr>
        <w:t xml:space="preserve">Program </w:t>
      </w:r>
      <w:r w:rsidRPr="001B15B3">
        <w:rPr>
          <w:rFonts w:ascii="Times New Roman" w:hAnsi="Times New Roman" w:cs="Times New Roman"/>
          <w:sz w:val="24"/>
          <w:szCs w:val="24"/>
        </w:rPr>
        <w:t xml:space="preserve">as a means for ensuring protection of their valuable trademarks in new registries. However, the IPC’s initial </w:t>
      </w:r>
      <w:r w:rsidR="00CA1AEA">
        <w:rPr>
          <w:rFonts w:ascii="Times New Roman" w:hAnsi="Times New Roman" w:cs="Times New Roman"/>
          <w:sz w:val="24"/>
          <w:szCs w:val="24"/>
        </w:rPr>
        <w:t xml:space="preserve">feedback </w:t>
      </w:r>
      <w:r w:rsidRPr="001B15B3">
        <w:rPr>
          <w:rFonts w:ascii="Times New Roman" w:hAnsi="Times New Roman" w:cs="Times New Roman"/>
          <w:sz w:val="24"/>
          <w:szCs w:val="24"/>
        </w:rPr>
        <w:t>reveals that the Sunrise Period protection, while helpful, has created a new range of problems for trademark owners.</w:t>
      </w:r>
    </w:p>
    <w:p w:rsidR="00992DB4" w:rsidRPr="001B15B3" w:rsidRDefault="00992DB4" w:rsidP="001B15B3">
      <w:pPr>
        <w:rPr>
          <w:rFonts w:ascii="Times New Roman" w:eastAsia="Times New Roman" w:hAnsi="Times New Roman" w:cs="Times New Roman"/>
          <w:sz w:val="24"/>
          <w:szCs w:val="24"/>
        </w:rPr>
      </w:pPr>
    </w:p>
    <w:p w:rsidR="00992DB4" w:rsidRPr="001B15B3" w:rsidRDefault="006E4364">
      <w:pPr>
        <w:rPr>
          <w:rFonts w:ascii="Times New Roman" w:eastAsia="Times New Roman" w:hAnsi="Times New Roman" w:cs="Times New Roman"/>
          <w:sz w:val="24"/>
          <w:szCs w:val="24"/>
        </w:rPr>
      </w:pPr>
      <w:r w:rsidRPr="001B15B3">
        <w:rPr>
          <w:rFonts w:ascii="Times New Roman" w:hAnsi="Times New Roman" w:cs="Times New Roman"/>
          <w:sz w:val="24"/>
          <w:szCs w:val="24"/>
        </w:rPr>
        <w:t>The participation of trademark owners in Sunrise Periods</w:t>
      </w:r>
      <w:r w:rsidR="00D654EB">
        <w:rPr>
          <w:rFonts w:ascii="Times New Roman" w:hAnsi="Times New Roman" w:cs="Times New Roman"/>
          <w:sz w:val="24"/>
          <w:szCs w:val="24"/>
        </w:rPr>
        <w:t xml:space="preserve"> has been lower than expected. </w:t>
      </w:r>
      <w:r w:rsidRPr="001B15B3">
        <w:rPr>
          <w:rFonts w:ascii="Times New Roman" w:hAnsi="Times New Roman" w:cs="Times New Roman"/>
          <w:sz w:val="24"/>
          <w:szCs w:val="24"/>
        </w:rPr>
        <w:t xml:space="preserve">Our </w:t>
      </w:r>
      <w:r w:rsidR="00CA1AEA">
        <w:rPr>
          <w:rFonts w:ascii="Times New Roman" w:hAnsi="Times New Roman" w:cs="Times New Roman"/>
          <w:sz w:val="24"/>
          <w:szCs w:val="24"/>
        </w:rPr>
        <w:t>feedback</w:t>
      </w:r>
      <w:r w:rsidR="00CA1AEA" w:rsidRPr="001B15B3">
        <w:rPr>
          <w:rFonts w:ascii="Times New Roman" w:hAnsi="Times New Roman" w:cs="Times New Roman"/>
          <w:sz w:val="24"/>
          <w:szCs w:val="24"/>
        </w:rPr>
        <w:t xml:space="preserve"> </w:t>
      </w:r>
      <w:r w:rsidRPr="001B15B3">
        <w:rPr>
          <w:rFonts w:ascii="Times New Roman" w:hAnsi="Times New Roman" w:cs="Times New Roman"/>
          <w:sz w:val="24"/>
          <w:szCs w:val="24"/>
        </w:rPr>
        <w:t xml:space="preserve">makes clear that trademark owners have reduced their participation due to: 1) decreased focus on defensive registrations in the face of the high number of new registries; 2) increasingly selective registration in registries that relate to the trademark owners’ business; 3) the difficulties and costs of participation in the process; 4) the increasing </w:t>
      </w:r>
      <w:r w:rsidR="00FC0EE5" w:rsidRPr="001B15B3">
        <w:rPr>
          <w:rFonts w:ascii="Times New Roman" w:hAnsi="Times New Roman" w:cs="Times New Roman"/>
          <w:sz w:val="24"/>
          <w:szCs w:val="24"/>
        </w:rPr>
        <w:t xml:space="preserve">use </w:t>
      </w:r>
      <w:r w:rsidRPr="001B15B3">
        <w:rPr>
          <w:rFonts w:ascii="Times New Roman" w:hAnsi="Times New Roman" w:cs="Times New Roman"/>
          <w:sz w:val="24"/>
          <w:szCs w:val="24"/>
        </w:rPr>
        <w:t xml:space="preserve">of premium </w:t>
      </w:r>
      <w:r w:rsidR="00FC0EE5" w:rsidRPr="001B15B3">
        <w:rPr>
          <w:rFonts w:ascii="Times New Roman" w:hAnsi="Times New Roman" w:cs="Times New Roman"/>
          <w:sz w:val="24"/>
          <w:szCs w:val="24"/>
        </w:rPr>
        <w:t xml:space="preserve">registration </w:t>
      </w:r>
      <w:r w:rsidRPr="001B15B3">
        <w:rPr>
          <w:rFonts w:ascii="Times New Roman" w:hAnsi="Times New Roman" w:cs="Times New Roman"/>
          <w:sz w:val="24"/>
          <w:szCs w:val="24"/>
        </w:rPr>
        <w:t>fees; and 5) the decision to monitor through the TM Claims program and selecti</w:t>
      </w:r>
      <w:r w:rsidR="00D654EB">
        <w:rPr>
          <w:rFonts w:ascii="Times New Roman" w:hAnsi="Times New Roman" w:cs="Times New Roman"/>
          <w:sz w:val="24"/>
          <w:szCs w:val="24"/>
        </w:rPr>
        <w:t xml:space="preserve">vely enforce trademark rights. </w:t>
      </w:r>
      <w:r w:rsidRPr="001B15B3">
        <w:rPr>
          <w:rFonts w:ascii="Times New Roman" w:hAnsi="Times New Roman" w:cs="Times New Roman"/>
          <w:sz w:val="24"/>
          <w:szCs w:val="24"/>
        </w:rPr>
        <w:t>Factors cited by IPC Respondents in determining whether and in which registries to register during Sunrise Periods include: 1) the importance of particular trademarks to drive online sales and support product reputations; 2) the relative risk of cybersquatting in particular registries; 3) the relatedness of new gTLDs to companies’ goods and services; and 4) the availability of UDRP, URS, and other challenge mechanisms, balanced against the increasing cost of registration. In addition, many trademark owners have taken advantage of Registry-specific RPMs, such as Donuts’ DPML, to block registration of their trademarks without the burden of registration.</w:t>
      </w:r>
    </w:p>
    <w:p w:rsidR="00992DB4" w:rsidRDefault="00992DB4">
      <w:pPr>
        <w:ind w:firstLine="720"/>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lastRenderedPageBreak/>
        <w:t xml:space="preserve">Although most of the IPC </w:t>
      </w:r>
      <w:r w:rsidR="00CA1AEA">
        <w:rPr>
          <w:rFonts w:ascii="Times New Roman"/>
          <w:sz w:val="24"/>
          <w:szCs w:val="24"/>
        </w:rPr>
        <w:t>Respondents</w:t>
      </w:r>
      <w:r>
        <w:rPr>
          <w:rFonts w:ascii="Times New Roman"/>
          <w:sz w:val="24"/>
          <w:szCs w:val="24"/>
        </w:rPr>
        <w:t xml:space="preserve"> either participated in or assisted clients in participating in the TMCH, far fewer found the notification of Sunrise Periods sufficiently clear that they could effectively plan or help clients effectively plan registration in new gTLDs (36% agreed whereas 40% dis</w:t>
      </w:r>
      <w:r w:rsidR="00D654EB">
        <w:rPr>
          <w:rFonts w:ascii="Times New Roman"/>
          <w:sz w:val="24"/>
          <w:szCs w:val="24"/>
        </w:rPr>
        <w:t xml:space="preserve">agreed or strongly disagreed). </w:t>
      </w:r>
      <w:r>
        <w:rPr>
          <w:rFonts w:ascii="Times New Roman"/>
          <w:sz w:val="24"/>
          <w:szCs w:val="24"/>
        </w:rPr>
        <w:t>Awareness of Sunrise dates and requirements was a significant problem.  Similar to the feedback that the Draft Report references, the inference to be drawn from this is that information regarding the nature and requirements of participating in Sunrise periods was diff</w:t>
      </w:r>
      <w:r w:rsidR="00D654EB">
        <w:rPr>
          <w:rFonts w:ascii="Times New Roman"/>
          <w:sz w:val="24"/>
          <w:szCs w:val="24"/>
        </w:rPr>
        <w:t xml:space="preserve">icult to obtain or understand. </w:t>
      </w:r>
      <w:r>
        <w:rPr>
          <w:rFonts w:ascii="Times New Roman"/>
          <w:sz w:val="24"/>
          <w:szCs w:val="24"/>
        </w:rPr>
        <w:t xml:space="preserve">The IPC encourages ICANN to investigate improvements to the Sunrise notification process for future rounds of new gTLDs.   </w:t>
      </w:r>
    </w:p>
    <w:p w:rsidR="00992DB4" w:rsidRDefault="00992DB4">
      <w:pPr>
        <w:ind w:firstLine="720"/>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 xml:space="preserve">In addition, determining the start dates of the 500 Sunrise Periods administered so far has been challenging because there was no regularity to the releases and clients often had to scramble or pay additional fees for services to advise </w:t>
      </w:r>
      <w:r w:rsidR="00D654EB">
        <w:rPr>
          <w:rFonts w:ascii="Times New Roman"/>
          <w:sz w:val="24"/>
          <w:szCs w:val="24"/>
        </w:rPr>
        <w:t xml:space="preserve">them of the various deadlines. </w:t>
      </w:r>
      <w:r>
        <w:rPr>
          <w:rFonts w:ascii="Times New Roman"/>
          <w:sz w:val="24"/>
          <w:szCs w:val="24"/>
        </w:rPr>
        <w:t xml:space="preserve">As part of the RPM review, the IPC strongly suggests that ICANN seek input on whether the commencement of Sunrise Periods could </w:t>
      </w:r>
      <w:r w:rsidR="0088737A">
        <w:rPr>
          <w:rFonts w:ascii="Times New Roman"/>
          <w:sz w:val="24"/>
          <w:szCs w:val="24"/>
        </w:rPr>
        <w:t xml:space="preserve">be </w:t>
      </w:r>
      <w:r>
        <w:rPr>
          <w:rFonts w:ascii="Times New Roman"/>
          <w:sz w:val="24"/>
          <w:szCs w:val="24"/>
        </w:rPr>
        <w:t>more regular and scheduled, and how clear</w:t>
      </w:r>
      <w:r w:rsidR="00800F25">
        <w:rPr>
          <w:rFonts w:ascii="Times New Roman"/>
          <w:sz w:val="24"/>
          <w:szCs w:val="24"/>
        </w:rPr>
        <w:t>er</w:t>
      </w:r>
      <w:r>
        <w:rPr>
          <w:rFonts w:ascii="Times New Roman"/>
          <w:sz w:val="24"/>
          <w:szCs w:val="24"/>
        </w:rPr>
        <w:t xml:space="preserve"> advance notice of Sunrise Periods could be provided to trademark owners.</w:t>
      </w:r>
    </w:p>
    <w:p w:rsidR="00992DB4" w:rsidRDefault="00992DB4">
      <w:pPr>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 xml:space="preserve">A majority of </w:t>
      </w:r>
      <w:r w:rsidR="00800F25">
        <w:rPr>
          <w:rFonts w:ascii="Times New Roman"/>
          <w:sz w:val="24"/>
          <w:szCs w:val="24"/>
        </w:rPr>
        <w:t>R</w:t>
      </w:r>
      <w:r>
        <w:rPr>
          <w:rFonts w:ascii="Times New Roman"/>
          <w:sz w:val="24"/>
          <w:szCs w:val="24"/>
        </w:rPr>
        <w:t xml:space="preserve">espondents encountered issues with participating in the Sunrise Periods due to Name Collisions (73%), Premium Priced Name Programs (89%) and </w:t>
      </w:r>
      <w:r w:rsidR="00D654EB">
        <w:rPr>
          <w:rFonts w:ascii="Times New Roman"/>
          <w:sz w:val="24"/>
          <w:szCs w:val="24"/>
        </w:rPr>
        <w:t xml:space="preserve">Registry Reserved Names (78%). </w:t>
      </w:r>
      <w:r>
        <w:rPr>
          <w:rFonts w:ascii="Times New Roman"/>
          <w:sz w:val="24"/>
          <w:szCs w:val="24"/>
        </w:rPr>
        <w:t xml:space="preserve">Of these, Name Collisions were perhaps the least understood.  </w:t>
      </w:r>
    </w:p>
    <w:p w:rsidR="00992DB4" w:rsidRDefault="00992DB4">
      <w:pPr>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 xml:space="preserve">The IPC believes that ICANN should further review the provisions of the RPM Requirements as </w:t>
      </w:r>
      <w:r w:rsidR="00D654EB">
        <w:rPr>
          <w:rFonts w:ascii="Times New Roman"/>
          <w:sz w:val="24"/>
          <w:szCs w:val="24"/>
        </w:rPr>
        <w:t xml:space="preserve">they relate to reserved names. </w:t>
      </w:r>
      <w:r>
        <w:rPr>
          <w:rFonts w:ascii="Times New Roman"/>
          <w:sz w:val="24"/>
          <w:szCs w:val="24"/>
        </w:rPr>
        <w:t>The majority of Respondents experienced some issues during Sunrise with their trademark having been reserved and thus unavailable for registration.  In some cases this may have been as a result of Name Collision, with some Registries failing to clea</w:t>
      </w:r>
      <w:r w:rsidR="00D654EB">
        <w:rPr>
          <w:rFonts w:ascii="Times New Roman"/>
          <w:sz w:val="24"/>
          <w:szCs w:val="24"/>
        </w:rPr>
        <w:t>rly identify this as the cause.</w:t>
      </w:r>
      <w:r>
        <w:rPr>
          <w:rFonts w:ascii="Times New Roman"/>
          <w:sz w:val="24"/>
          <w:szCs w:val="24"/>
        </w:rPr>
        <w:t xml:space="preserve"> In a number of cases, however, IPC Respondents encountered reservation of their trademarks apparently at the election of the Registry.  Under the current RPM Requirements, registry operators may reserve an unlimited number of terms, including trademarks which are recorded in the TMCH, and release them to third parties </w:t>
      </w:r>
      <w:r w:rsidR="00D654EB">
        <w:rPr>
          <w:rFonts w:ascii="Times New Roman"/>
          <w:sz w:val="24"/>
          <w:szCs w:val="24"/>
        </w:rPr>
        <w:t xml:space="preserve">after the Sunrise Period ends. </w:t>
      </w:r>
      <w:r>
        <w:rPr>
          <w:rFonts w:ascii="Times New Roman"/>
          <w:sz w:val="24"/>
          <w:szCs w:val="24"/>
        </w:rPr>
        <w:t>This loophole therefore allows registry operators to circumvent the Sunrise</w:t>
      </w:r>
      <w:r w:rsidR="0088737A">
        <w:rPr>
          <w:rFonts w:ascii="Times New Roman"/>
          <w:sz w:val="24"/>
          <w:szCs w:val="24"/>
        </w:rPr>
        <w:t>, in whole or in part</w:t>
      </w:r>
      <w:r w:rsidR="00D654EB">
        <w:rPr>
          <w:rFonts w:ascii="Times New Roman"/>
          <w:sz w:val="24"/>
          <w:szCs w:val="24"/>
        </w:rPr>
        <w:t xml:space="preserve">. </w:t>
      </w:r>
      <w:r>
        <w:rPr>
          <w:rFonts w:ascii="Times New Roman"/>
          <w:sz w:val="24"/>
          <w:szCs w:val="24"/>
        </w:rPr>
        <w:t xml:space="preserve">Where names have been reserved and subsequently released, for whatever reason, it is unacceptable to trademark owners that they should not be afforded a priority opportunity to secure domain names matching the trademarks they have recorded in the TMCH for that </w:t>
      </w:r>
      <w:r w:rsidR="0088737A">
        <w:rPr>
          <w:rFonts w:ascii="Times New Roman"/>
          <w:sz w:val="24"/>
          <w:szCs w:val="24"/>
        </w:rPr>
        <w:t xml:space="preserve">very </w:t>
      </w:r>
      <w:r w:rsidR="00D654EB">
        <w:rPr>
          <w:rFonts w:ascii="Times New Roman"/>
          <w:sz w:val="24"/>
          <w:szCs w:val="24"/>
        </w:rPr>
        <w:t xml:space="preserve">purpose. </w:t>
      </w:r>
      <w:r>
        <w:rPr>
          <w:rFonts w:ascii="Times New Roman"/>
          <w:sz w:val="24"/>
          <w:szCs w:val="24"/>
        </w:rPr>
        <w:t xml:space="preserve">Very few </w:t>
      </w:r>
      <w:r w:rsidR="00800F25">
        <w:rPr>
          <w:rFonts w:ascii="Times New Roman"/>
          <w:sz w:val="24"/>
          <w:szCs w:val="24"/>
        </w:rPr>
        <w:t>R</w:t>
      </w:r>
      <w:r>
        <w:rPr>
          <w:rFonts w:ascii="Times New Roman"/>
          <w:sz w:val="24"/>
          <w:szCs w:val="24"/>
        </w:rPr>
        <w:t xml:space="preserve">espondents have utilized the Sunrise Dispute Resolution Policy where a registration was blocked (only 4%).  </w:t>
      </w:r>
    </w:p>
    <w:p w:rsidR="00992DB4" w:rsidRDefault="00992DB4">
      <w:pPr>
        <w:rPr>
          <w:rFonts w:ascii="Times New Roman" w:eastAsia="Times New Roman" w:hAnsi="Times New Roman" w:cs="Times New Roman"/>
          <w:sz w:val="24"/>
          <w:szCs w:val="24"/>
        </w:rPr>
      </w:pPr>
    </w:p>
    <w:p w:rsidR="00992DB4" w:rsidRDefault="006E4364">
      <w:pPr>
        <w:rPr>
          <w:rFonts w:ascii="Cambria" w:eastAsia="Cambria" w:hAnsi="Cambria" w:cs="Cambria"/>
          <w:sz w:val="24"/>
          <w:szCs w:val="24"/>
        </w:rPr>
      </w:pPr>
      <w:r>
        <w:rPr>
          <w:rFonts w:ascii="Times New Roman"/>
          <w:sz w:val="24"/>
          <w:szCs w:val="24"/>
        </w:rPr>
        <w:t>Trademark owners and service providers were aware from pre-new gTLD Sunrise programs that they would pay some additional amount to participate in the early reg</w:t>
      </w:r>
      <w:r w:rsidR="00D654EB">
        <w:rPr>
          <w:rFonts w:ascii="Times New Roman"/>
          <w:sz w:val="24"/>
          <w:szCs w:val="24"/>
        </w:rPr>
        <w:t xml:space="preserve">istration of their trademarks. </w:t>
      </w:r>
      <w:r>
        <w:rPr>
          <w:rFonts w:ascii="Times New Roman"/>
          <w:sz w:val="24"/>
          <w:szCs w:val="24"/>
        </w:rPr>
        <w:t xml:space="preserve">This was understood to reflect additional costs of administering the programs.  However, </w:t>
      </w:r>
      <w:r w:rsidR="009F174B">
        <w:rPr>
          <w:rFonts w:ascii="Times New Roman"/>
          <w:sz w:val="24"/>
          <w:szCs w:val="24"/>
        </w:rPr>
        <w:t xml:space="preserve">many </w:t>
      </w:r>
      <w:r>
        <w:rPr>
          <w:rFonts w:ascii="Times New Roman"/>
          <w:sz w:val="24"/>
          <w:szCs w:val="24"/>
        </w:rPr>
        <w:t xml:space="preserve">registries in the new gTLDs are perceived to be taking advantage of trademark owners by charging them exorbitant </w:t>
      </w:r>
      <w:r w:rsidR="009F174B">
        <w:rPr>
          <w:rFonts w:ascii="Times New Roman"/>
          <w:sz w:val="24"/>
          <w:szCs w:val="24"/>
        </w:rPr>
        <w:t xml:space="preserve">Sunrise registration </w:t>
      </w:r>
      <w:r w:rsidR="00D654EB">
        <w:rPr>
          <w:rFonts w:ascii="Times New Roman"/>
          <w:sz w:val="24"/>
          <w:szCs w:val="24"/>
        </w:rPr>
        <w:t xml:space="preserve">fees. </w:t>
      </w:r>
      <w:r w:rsidRPr="00B93E15">
        <w:rPr>
          <w:rFonts w:ascii="Times New Roman" w:eastAsia="Cambria" w:hAnsi="Times New Roman" w:cs="Times New Roman"/>
          <w:sz w:val="24"/>
          <w:szCs w:val="24"/>
        </w:rPr>
        <w:t xml:space="preserve">The IPC </w:t>
      </w:r>
      <w:r w:rsidR="00CA1AEA">
        <w:rPr>
          <w:rFonts w:ascii="Times New Roman" w:eastAsia="Cambria" w:hAnsi="Times New Roman" w:cs="Times New Roman"/>
          <w:sz w:val="24"/>
          <w:szCs w:val="24"/>
        </w:rPr>
        <w:t>Respondents reported</w:t>
      </w:r>
      <w:r w:rsidRPr="00B93E15">
        <w:rPr>
          <w:rFonts w:ascii="Times New Roman" w:eastAsia="Cambria" w:hAnsi="Times New Roman" w:cs="Times New Roman"/>
          <w:sz w:val="24"/>
          <w:szCs w:val="24"/>
        </w:rPr>
        <w:t xml:space="preserve"> that Sunrise Period registration costs were generally considered much higher than appropriate and not reflecting mere “cost recovery”, with 38% disagreeing or strongly disagreeing that they were appropriate and only 24% be</w:t>
      </w:r>
      <w:r w:rsidR="00D654EB">
        <w:rPr>
          <w:rFonts w:ascii="Times New Roman" w:eastAsia="Cambria" w:hAnsi="Times New Roman" w:cs="Times New Roman"/>
          <w:sz w:val="24"/>
          <w:szCs w:val="24"/>
        </w:rPr>
        <w:t xml:space="preserve">lieving they were appropriate. </w:t>
      </w:r>
      <w:r w:rsidRPr="00B93E15">
        <w:rPr>
          <w:rFonts w:ascii="Times New Roman" w:eastAsia="Cambria" w:hAnsi="Times New Roman" w:cs="Times New Roman"/>
          <w:sz w:val="24"/>
          <w:szCs w:val="24"/>
        </w:rPr>
        <w:t xml:space="preserve">Although trademark owners understand ICANN’s reticence to suggest fair prices, they are frustrated by the present system.  The impact of these perceived unfair pricing schemes directed at brand owners is a topic that should be examined by ICANN.   </w:t>
      </w:r>
    </w:p>
    <w:p w:rsidR="00992DB4" w:rsidRDefault="00992DB4">
      <w:pPr>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 xml:space="preserve">In addition, 89% of </w:t>
      </w:r>
      <w:r w:rsidR="00800F25">
        <w:rPr>
          <w:rFonts w:ascii="Times New Roman"/>
          <w:sz w:val="24"/>
          <w:szCs w:val="24"/>
        </w:rPr>
        <w:t>R</w:t>
      </w:r>
      <w:r>
        <w:rPr>
          <w:rFonts w:ascii="Times New Roman"/>
          <w:sz w:val="24"/>
          <w:szCs w:val="24"/>
        </w:rPr>
        <w:t xml:space="preserve">espondents noted that they had faced premium pricing schemes applied to their trademarks in certain registries, where their trademarked term was on offer at a significantly higher price than the standard Sunrise price.  Frequently, it appears to be the very use of the term as a trademark in a field of activity rated to the TLD that caused the registry operator to label and subsequently price </w:t>
      </w:r>
      <w:r w:rsidR="009F174B">
        <w:rPr>
          <w:rFonts w:ascii="Times New Roman"/>
          <w:sz w:val="24"/>
          <w:szCs w:val="24"/>
        </w:rPr>
        <w:t>the term</w:t>
      </w:r>
      <w:r>
        <w:rPr>
          <w:rFonts w:ascii="Times New Roman"/>
          <w:sz w:val="24"/>
          <w:szCs w:val="24"/>
        </w:rPr>
        <w:t xml:space="preserve"> as </w:t>
      </w:r>
      <w:r w:rsidR="009F174B">
        <w:rPr>
          <w:rFonts w:ascii="Times New Roman"/>
          <w:sz w:val="24"/>
          <w:szCs w:val="24"/>
        </w:rPr>
        <w:t xml:space="preserve"> </w:t>
      </w:r>
      <w:r w:rsidR="009F174B" w:rsidRPr="009E699E">
        <w:rPr>
          <w:rFonts w:ascii="Times New Roman" w:hAnsi="Times New Roman" w:cs="Times New Roman"/>
          <w:sz w:val="24"/>
          <w:szCs w:val="24"/>
        </w:rPr>
        <w:t>“</w:t>
      </w:r>
      <w:r>
        <w:rPr>
          <w:rFonts w:ascii="Times New Roman"/>
          <w:sz w:val="24"/>
          <w:szCs w:val="24"/>
        </w:rPr>
        <w:t>premium</w:t>
      </w:r>
      <w:r w:rsidR="009F174B">
        <w:rPr>
          <w:rFonts w:ascii="Times New Roman"/>
          <w:sz w:val="24"/>
          <w:szCs w:val="24"/>
        </w:rPr>
        <w:t>.</w:t>
      </w:r>
      <w:r w:rsidR="009F174B" w:rsidRPr="009E699E">
        <w:rPr>
          <w:rFonts w:ascii="Times New Roman" w:hAnsi="Times New Roman" w:cs="Times New Roman"/>
          <w:sz w:val="24"/>
          <w:szCs w:val="24"/>
        </w:rPr>
        <w:t>”</w:t>
      </w:r>
      <w:r w:rsidR="00D654EB">
        <w:rPr>
          <w:rFonts w:ascii="Times New Roman"/>
          <w:sz w:val="24"/>
          <w:szCs w:val="24"/>
        </w:rPr>
        <w:t xml:space="preserve"> </w:t>
      </w:r>
      <w:r>
        <w:rPr>
          <w:rFonts w:ascii="Times New Roman"/>
          <w:sz w:val="24"/>
          <w:szCs w:val="24"/>
        </w:rPr>
        <w:t xml:space="preserve">Although the .SUCKS registry pricing practices are particularly egregious in this regard, a number of other new registries have adopted premium pricing </w:t>
      </w:r>
      <w:r w:rsidR="009F174B">
        <w:rPr>
          <w:rFonts w:ascii="Times New Roman"/>
          <w:sz w:val="24"/>
          <w:szCs w:val="24"/>
        </w:rPr>
        <w:t xml:space="preserve">policies </w:t>
      </w:r>
      <w:r>
        <w:rPr>
          <w:rFonts w:ascii="Times New Roman"/>
          <w:sz w:val="24"/>
          <w:szCs w:val="24"/>
        </w:rPr>
        <w:t>targeting brand owners as a way to generate s</w:t>
      </w:r>
      <w:r w:rsidR="00D654EB">
        <w:rPr>
          <w:rFonts w:ascii="Times New Roman"/>
          <w:sz w:val="24"/>
          <w:szCs w:val="24"/>
        </w:rPr>
        <w:t xml:space="preserve">ubstantial additional revenue. </w:t>
      </w:r>
      <w:r>
        <w:rPr>
          <w:rFonts w:ascii="Times New Roman"/>
          <w:sz w:val="24"/>
          <w:szCs w:val="24"/>
        </w:rPr>
        <w:t>This is viewed by some as a predatory and unfair pricing practice, and one reason why more trademark owners do not partic</w:t>
      </w:r>
      <w:r w:rsidR="00D654EB">
        <w:rPr>
          <w:rFonts w:ascii="Times New Roman"/>
          <w:sz w:val="24"/>
          <w:szCs w:val="24"/>
        </w:rPr>
        <w:t xml:space="preserve">ipate in Sunrise registration. </w:t>
      </w:r>
      <w:r>
        <w:rPr>
          <w:rFonts w:ascii="Times New Roman"/>
          <w:sz w:val="24"/>
          <w:szCs w:val="24"/>
        </w:rPr>
        <w:t xml:space="preserve">The IPC believes ICANN should consider the reasonableness of fees when reviewing the RPMs. </w:t>
      </w:r>
    </w:p>
    <w:p w:rsidR="00992DB4" w:rsidRDefault="00992DB4">
      <w:pPr>
        <w:rPr>
          <w:rFonts w:ascii="Times New Roman" w:eastAsia="Times New Roman" w:hAnsi="Times New Roman" w:cs="Times New Roman"/>
          <w:sz w:val="24"/>
          <w:szCs w:val="24"/>
        </w:rPr>
      </w:pPr>
    </w:p>
    <w:p w:rsidR="00992DB4" w:rsidRDefault="006E4364">
      <w:pPr>
        <w:rPr>
          <w:rFonts w:ascii="Times New Roman" w:eastAsia="Times New Roman" w:hAnsi="Times New Roman" w:cs="Times New Roman"/>
          <w:sz w:val="24"/>
          <w:szCs w:val="24"/>
        </w:rPr>
      </w:pPr>
      <w:r>
        <w:rPr>
          <w:rFonts w:ascii="Times New Roman"/>
          <w:sz w:val="24"/>
          <w:szCs w:val="24"/>
        </w:rPr>
        <w:t>In sum, the IPC believes that the RPM review should focus on whether and how the Sunrise system would benefit from greater coordination, standards, broader public and business education, and notification and redress (for issues such as Name Collisi</w:t>
      </w:r>
      <w:r w:rsidR="00D654EB">
        <w:rPr>
          <w:rFonts w:ascii="Times New Roman"/>
          <w:sz w:val="24"/>
          <w:szCs w:val="24"/>
        </w:rPr>
        <w:t xml:space="preserve">on and Premium Name Programs). </w:t>
      </w:r>
      <w:r>
        <w:rPr>
          <w:rFonts w:ascii="Times New Roman"/>
          <w:sz w:val="24"/>
          <w:szCs w:val="24"/>
        </w:rPr>
        <w:t>Some key issues tha</w:t>
      </w:r>
      <w:r w:rsidR="00D654EB">
        <w:rPr>
          <w:rFonts w:ascii="Times New Roman"/>
          <w:sz w:val="24"/>
          <w:szCs w:val="24"/>
        </w:rPr>
        <w:t xml:space="preserve">t should be addressed include: </w:t>
      </w:r>
      <w:r>
        <w:rPr>
          <w:rFonts w:ascii="Times New Roman"/>
          <w:sz w:val="24"/>
          <w:szCs w:val="24"/>
        </w:rPr>
        <w:t xml:space="preserve">How ICANN and the TMCH can better communicate Sunrise dates and requirements to potential registrants? Is there a benefit to organizing Sunrise launches around a particular date? </w:t>
      </w:r>
      <w:r w:rsidR="00EC0382">
        <w:rPr>
          <w:rFonts w:ascii="Times New Roman"/>
          <w:sz w:val="24"/>
          <w:szCs w:val="24"/>
        </w:rPr>
        <w:t xml:space="preserve">How can circumvention of RPMs and practices unfairly targeting trademark owners be stopped?  </w:t>
      </w:r>
      <w:r>
        <w:rPr>
          <w:rFonts w:ascii="Times New Roman"/>
          <w:sz w:val="24"/>
          <w:szCs w:val="24"/>
        </w:rPr>
        <w:t>And, is there a benefit to standard</w:t>
      </w:r>
      <w:r w:rsidR="00D654EB">
        <w:rPr>
          <w:rFonts w:ascii="Times New Roman"/>
          <w:sz w:val="24"/>
          <w:szCs w:val="24"/>
        </w:rPr>
        <w:t xml:space="preserve">izing some Sunrise procedures? </w:t>
      </w:r>
      <w:r>
        <w:rPr>
          <w:rFonts w:ascii="Times New Roman"/>
          <w:sz w:val="24"/>
          <w:szCs w:val="24"/>
        </w:rPr>
        <w:t xml:space="preserve">And if so, which ones?  </w:t>
      </w:r>
    </w:p>
    <w:p w:rsidR="00992DB4" w:rsidRDefault="00992DB4">
      <w:pPr>
        <w:rPr>
          <w:rFonts w:ascii="Times New Roman" w:eastAsia="Times New Roman" w:hAnsi="Times New Roman" w:cs="Times New Roman"/>
          <w:sz w:val="24"/>
          <w:szCs w:val="24"/>
        </w:rPr>
      </w:pPr>
    </w:p>
    <w:p w:rsidR="00992DB4" w:rsidRDefault="006E4364" w:rsidP="0082535A">
      <w:pPr>
        <w:pStyle w:val="Heading2"/>
        <w:ind w:left="0"/>
        <w:rPr>
          <w:rFonts w:eastAsia="Times New Roman" w:hAnsi="Times New Roman" w:cs="Times New Roman"/>
        </w:rPr>
      </w:pPr>
      <w:r>
        <w:t>TRADEMARK CLAIMS SERVICE</w:t>
      </w:r>
    </w:p>
    <w:p w:rsidR="00992DB4" w:rsidRDefault="00992DB4">
      <w:pPr>
        <w:rPr>
          <w:rFonts w:ascii="Times New Roman" w:eastAsia="Times New Roman" w:hAnsi="Times New Roman" w:cs="Times New Roman"/>
          <w:sz w:val="24"/>
          <w:szCs w:val="24"/>
          <w:u w:val="single"/>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According to the Draft Report, 25 million TM Claims notices have been issued to would-be registrants,</w:t>
      </w:r>
      <w:r w:rsidRPr="009A1438">
        <w:rPr>
          <w:rFonts w:ascii="Times New Roman" w:eastAsia="Times New Roman" w:hAnsi="Times New Roman" w:cs="Times New Roman"/>
          <w:sz w:val="24"/>
          <w:szCs w:val="24"/>
          <w:vertAlign w:val="superscript"/>
        </w:rPr>
        <w:footnoteReference w:id="3"/>
      </w:r>
      <w:r w:rsidRPr="009A1438">
        <w:rPr>
          <w:rFonts w:ascii="Times New Roman" w:hAnsi="Times New Roman" w:cs="Times New Roman"/>
          <w:sz w:val="24"/>
          <w:szCs w:val="24"/>
        </w:rPr>
        <w:t xml:space="preserve"> while only 96,000 domain names have been registered after a TM Claims notice was issued.</w:t>
      </w:r>
      <w:r w:rsidR="001B15B3" w:rsidRPr="009A1438">
        <w:rPr>
          <w:rFonts w:ascii="Times New Roman" w:hAnsi="Times New Roman" w:cs="Times New Roman"/>
          <w:sz w:val="24"/>
          <w:szCs w:val="24"/>
        </w:rPr>
        <w:t xml:space="preserve"> </w:t>
      </w:r>
      <w:r w:rsidRPr="009A1438">
        <w:rPr>
          <w:rFonts w:ascii="Times New Roman" w:hAnsi="Times New Roman" w:cs="Times New Roman"/>
          <w:sz w:val="24"/>
          <w:szCs w:val="24"/>
        </w:rPr>
        <w:t xml:space="preserve">That said, the IPC has identified numerous instances where the TM Claims notice was ineffective at preventing infringing or otherwise abusive registrations.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With this in mind, the IPC believes that in its review, ICANN should investigate whether it may be useful to provide clearer notice to potential registrants of the consequences of registering an infringing domain name in the TM Claims notice, including the possibility of having the domain suspended through a URS, cancelled or transferred through a UDRP, or other potential civil or criminal legal penalties.</w:t>
      </w:r>
      <w:r w:rsidR="00D33861" w:rsidRPr="009A1438">
        <w:rPr>
          <w:rFonts w:ascii="Times New Roman" w:hAnsi="Times New Roman" w:cs="Times New Roman"/>
          <w:sz w:val="24"/>
          <w:szCs w:val="24"/>
        </w:rPr>
        <w:t xml:space="preserve"> </w:t>
      </w:r>
      <w:r w:rsidRPr="009A1438">
        <w:rPr>
          <w:rFonts w:ascii="Times New Roman" w:hAnsi="Times New Roman" w:cs="Times New Roman"/>
          <w:sz w:val="24"/>
          <w:szCs w:val="24"/>
        </w:rPr>
        <w:t xml:space="preserve">It may also be more useful to send TM Claims notices translated into the six UN languages, as some brand owners and their counsel have witnessed that such notices are disregarded by registrants who could not understand them because they did not speak English. Making these changes may improve the effectiveness of the TM Claims service by dissuading unauthorized and non-defensible registrations.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With respect to the notices sent to brand owners in the event an exact match domain is ultimately registered (</w:t>
      </w:r>
      <w:r w:rsidRPr="009A1438">
        <w:rPr>
          <w:rFonts w:ascii="Times New Roman" w:hAnsi="Times New Roman" w:cs="Times New Roman"/>
          <w:i/>
          <w:sz w:val="24"/>
          <w:szCs w:val="24"/>
        </w:rPr>
        <w:t>i.e.</w:t>
      </w:r>
      <w:r w:rsidR="00D33861" w:rsidRPr="009A1438">
        <w:rPr>
          <w:rFonts w:ascii="Times New Roman" w:hAnsi="Times New Roman" w:cs="Times New Roman"/>
          <w:sz w:val="24"/>
          <w:szCs w:val="24"/>
        </w:rPr>
        <w:t>,</w:t>
      </w:r>
      <w:r w:rsidRPr="009A1438">
        <w:rPr>
          <w:rFonts w:ascii="Times New Roman" w:hAnsi="Times New Roman" w:cs="Times New Roman"/>
          <w:sz w:val="24"/>
          <w:szCs w:val="24"/>
        </w:rPr>
        <w:t xml:space="preserve"> the Notice of Registered Name), the notices effectively communicate registration.</w:t>
      </w:r>
      <w:r w:rsidR="00D33861" w:rsidRPr="009A1438">
        <w:rPr>
          <w:rFonts w:ascii="Times New Roman" w:hAnsi="Times New Roman" w:cs="Times New Roman"/>
          <w:sz w:val="24"/>
          <w:szCs w:val="24"/>
        </w:rPr>
        <w:t xml:space="preserve"> </w:t>
      </w:r>
      <w:r w:rsidRPr="009A1438">
        <w:rPr>
          <w:rFonts w:ascii="Times New Roman" w:hAnsi="Times New Roman" w:cs="Times New Roman"/>
          <w:sz w:val="24"/>
          <w:szCs w:val="24"/>
        </w:rPr>
        <w:t xml:space="preserve"> However, it would be more useful to include in the notice the registry-provided Whois information for the registrant and a hyperlink to the domain, which would save the brand owner </w:t>
      </w:r>
      <w:r w:rsidRPr="009A1438">
        <w:rPr>
          <w:rFonts w:ascii="Times New Roman" w:hAnsi="Times New Roman" w:cs="Times New Roman"/>
          <w:sz w:val="24"/>
          <w:szCs w:val="24"/>
        </w:rPr>
        <w:lastRenderedPageBreak/>
        <w:t xml:space="preserve">some time and money in having to take these investigatory steps separately from reviewing the notice itself.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ICANN should also further explore the previously abused label service, which to date has been under-utilized by brand owners (according to the Draft Report only 324 strings have been added to the Trademark Clearinghouse through the previously abused labels service).</w:t>
      </w:r>
      <w:r w:rsidR="00D33861" w:rsidRPr="009A1438">
        <w:rPr>
          <w:rFonts w:ascii="Times New Roman" w:hAnsi="Times New Roman" w:cs="Times New Roman"/>
          <w:sz w:val="24"/>
          <w:szCs w:val="24"/>
        </w:rPr>
        <w:t xml:space="preserve"> </w:t>
      </w:r>
      <w:r w:rsidRPr="009A1438">
        <w:rPr>
          <w:rFonts w:ascii="Times New Roman" w:hAnsi="Times New Roman" w:cs="Times New Roman"/>
          <w:sz w:val="24"/>
          <w:szCs w:val="24"/>
        </w:rPr>
        <w:t>Thus, early fears within some segments of the community that this service could lead to unlimited inclusion of names in the Clearinghouse and abuse by brand owners have proven groundless. The cost of the service ($200 to validate a string based on a court decision and $75 to validate a string based on a UDRP decision, plus costs in gathering necessary supporting materials like the original complaints) may be the driving factor behind this lack of use to date.</w:t>
      </w:r>
      <w:r w:rsidR="008F3D03" w:rsidRPr="009A1438">
        <w:rPr>
          <w:rFonts w:ascii="Times New Roman" w:hAnsi="Times New Roman" w:cs="Times New Roman"/>
          <w:sz w:val="24"/>
          <w:szCs w:val="24"/>
        </w:rPr>
        <w:t xml:space="preserve"> </w:t>
      </w:r>
      <w:r w:rsidRPr="009A1438">
        <w:rPr>
          <w:rFonts w:ascii="Times New Roman" w:hAnsi="Times New Roman" w:cs="Times New Roman"/>
          <w:sz w:val="24"/>
          <w:szCs w:val="24"/>
        </w:rPr>
        <w:t xml:space="preserve">ICANN should continue to monitor the use and impact of the previously abused label add-on service, and work with the Clearinghouse to refine the validation process and reduce cost.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Some IPC Respondents felt that the availability of this additional protection for terms previously subject to cybersquatting was not well understood, and most felt that it was of limited usefulness, for the following reasons:</w:t>
      </w:r>
    </w:p>
    <w:p w:rsidR="00992DB4" w:rsidRPr="009A1438" w:rsidRDefault="00992DB4">
      <w:pPr>
        <w:rPr>
          <w:rFonts w:ascii="Times New Roman" w:eastAsia="Times New Roman" w:hAnsi="Times New Roman" w:cs="Times New Roman"/>
          <w:sz w:val="24"/>
          <w:szCs w:val="24"/>
        </w:rPr>
      </w:pPr>
    </w:p>
    <w:p w:rsidR="00992DB4" w:rsidRPr="009A1438" w:rsidRDefault="006E4364">
      <w:pPr>
        <w:pStyle w:val="ListParagraph"/>
        <w:numPr>
          <w:ilvl w:val="0"/>
          <w:numId w:val="9"/>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While the </w:t>
      </w:r>
      <w:r w:rsidR="00142670" w:rsidRPr="009A1438">
        <w:rPr>
          <w:rFonts w:ascii="Times New Roman" w:hAnsi="Times New Roman" w:cs="Times New Roman"/>
          <w:sz w:val="24"/>
          <w:szCs w:val="24"/>
        </w:rPr>
        <w:t>“</w:t>
      </w:r>
      <w:r w:rsidRPr="009A1438">
        <w:rPr>
          <w:rFonts w:ascii="Times New Roman" w:hAnsi="Times New Roman" w:cs="Times New Roman"/>
          <w:sz w:val="24"/>
          <w:szCs w:val="24"/>
        </w:rPr>
        <w:t>mark plus 50</w:t>
      </w:r>
      <w:r w:rsidR="00142670" w:rsidRPr="009A1438">
        <w:rPr>
          <w:rFonts w:ascii="Times New Roman" w:hAnsi="Times New Roman" w:cs="Times New Roman"/>
          <w:sz w:val="24"/>
          <w:szCs w:val="24"/>
        </w:rPr>
        <w:t>”</w:t>
      </w:r>
      <w:r w:rsidRPr="009A1438">
        <w:rPr>
          <w:rFonts w:ascii="Times New Roman" w:hAnsi="Times New Roman" w:cs="Times New Roman"/>
          <w:sz w:val="24"/>
          <w:szCs w:val="24"/>
        </w:rPr>
        <w:t xml:space="preserve"> option did offer a means of registering </w:t>
      </w:r>
      <w:r w:rsidR="00142670" w:rsidRPr="009A1438">
        <w:rPr>
          <w:rFonts w:ascii="Times New Roman" w:hAnsi="Times New Roman" w:cs="Times New Roman"/>
          <w:sz w:val="24"/>
          <w:szCs w:val="24"/>
        </w:rPr>
        <w:t>“</w:t>
      </w:r>
      <w:r w:rsidRPr="009A1438">
        <w:rPr>
          <w:rFonts w:ascii="Times New Roman" w:hAnsi="Times New Roman" w:cs="Times New Roman"/>
          <w:sz w:val="24"/>
          <w:szCs w:val="24"/>
        </w:rPr>
        <w:t>marks plus</w:t>
      </w:r>
      <w:r w:rsidR="00142670" w:rsidRPr="009A1438">
        <w:rPr>
          <w:rFonts w:ascii="Times New Roman" w:hAnsi="Times New Roman" w:cs="Times New Roman"/>
          <w:sz w:val="24"/>
          <w:szCs w:val="24"/>
        </w:rPr>
        <w:t>”</w:t>
      </w:r>
      <w:r w:rsidRPr="009A1438">
        <w:rPr>
          <w:rFonts w:ascii="Times New Roman" w:hAnsi="Times New Roman" w:cs="Times New Roman"/>
          <w:sz w:val="24"/>
          <w:szCs w:val="24"/>
        </w:rPr>
        <w:t xml:space="preserve"> in the TMCH, it applied only to TM Claims: the brand owner could not secure these names during Sunrise;</w:t>
      </w:r>
    </w:p>
    <w:p w:rsidR="00992DB4" w:rsidRPr="009A1438" w:rsidRDefault="006E4364">
      <w:pPr>
        <w:pStyle w:val="ListParagraph"/>
        <w:numPr>
          <w:ilvl w:val="0"/>
          <w:numId w:val="9"/>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sz w:val="24"/>
          <w:szCs w:val="24"/>
        </w:rPr>
        <w:t>The likelihood of identical terms being registered again was, in many cases, considered to be low, and did not justify the additional work and cost involved in recording these terms in the TMCH;</w:t>
      </w:r>
    </w:p>
    <w:p w:rsidR="00992DB4" w:rsidRPr="009A1438" w:rsidRDefault="006E4364">
      <w:pPr>
        <w:pStyle w:val="ListParagraph"/>
        <w:numPr>
          <w:ilvl w:val="0"/>
          <w:numId w:val="9"/>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sz w:val="24"/>
          <w:szCs w:val="24"/>
        </w:rPr>
        <w:t>Garnering the nec</w:t>
      </w:r>
      <w:r w:rsidR="00D654EB">
        <w:rPr>
          <w:rFonts w:ascii="Times New Roman" w:hAnsi="Times New Roman" w:cs="Times New Roman"/>
          <w:sz w:val="24"/>
          <w:szCs w:val="24"/>
        </w:rPr>
        <w:t xml:space="preserve">essary evidence was difficult. </w:t>
      </w:r>
      <w:r w:rsidRPr="009A1438">
        <w:rPr>
          <w:rFonts w:ascii="Times New Roman" w:hAnsi="Times New Roman" w:cs="Times New Roman"/>
          <w:sz w:val="24"/>
          <w:szCs w:val="24"/>
        </w:rPr>
        <w:t xml:space="preserve">In particular, the requirement for recordal that the string should have been subject to a successful UDRP or court action ruled out any strings </w:t>
      </w:r>
      <w:r w:rsidR="00142670" w:rsidRPr="009A1438">
        <w:rPr>
          <w:rFonts w:ascii="Times New Roman" w:hAnsi="Times New Roman" w:cs="Times New Roman"/>
          <w:sz w:val="24"/>
          <w:szCs w:val="24"/>
        </w:rPr>
        <w:t xml:space="preserve">where the dispute </w:t>
      </w:r>
      <w:r w:rsidRPr="009A1438">
        <w:rPr>
          <w:rFonts w:ascii="Times New Roman" w:hAnsi="Times New Roman" w:cs="Times New Roman"/>
          <w:sz w:val="24"/>
          <w:szCs w:val="24"/>
        </w:rPr>
        <w:t>had been resolved without formal proceedings.</w:t>
      </w:r>
      <w:r w:rsidR="00D654EB">
        <w:rPr>
          <w:rFonts w:ascii="Times New Roman" w:hAnsi="Times New Roman" w:cs="Times New Roman"/>
          <w:sz w:val="24"/>
          <w:szCs w:val="24"/>
        </w:rPr>
        <w:t xml:space="preserve"> </w:t>
      </w:r>
      <w:r w:rsidRPr="009A1438">
        <w:rPr>
          <w:rFonts w:ascii="Times New Roman" w:hAnsi="Times New Roman" w:cs="Times New Roman"/>
          <w:sz w:val="24"/>
          <w:szCs w:val="24"/>
        </w:rPr>
        <w:t>Since these would often be the clearest cases involving strings with a high relevance to the brand and its field of activity, these would also be the strings most at risk of repeat registrations in other gTLDs, and thus also the ones of most relevance for protection in</w:t>
      </w:r>
      <w:r w:rsidR="00D654EB">
        <w:rPr>
          <w:rFonts w:ascii="Times New Roman" w:hAnsi="Times New Roman" w:cs="Times New Roman"/>
          <w:sz w:val="24"/>
          <w:szCs w:val="24"/>
        </w:rPr>
        <w:t xml:space="preserve"> new gTLDs by the brand owner. </w:t>
      </w:r>
      <w:r w:rsidRPr="009A1438">
        <w:rPr>
          <w:rFonts w:ascii="Times New Roman" w:hAnsi="Times New Roman" w:cs="Times New Roman"/>
          <w:sz w:val="24"/>
          <w:szCs w:val="24"/>
        </w:rPr>
        <w:t xml:space="preserve">However, the recovery of these domains without formal proceedings has the ironic result of excluding these terms from protection.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Apart from these issues, brand owners and their counsel reported to the IPC that the Trademark Claims services were useful, and often served as a key part of brand enforcement strategy with respect to the new gTLD program.</w:t>
      </w:r>
      <w:r w:rsidR="00142670" w:rsidRPr="009A1438">
        <w:rPr>
          <w:rFonts w:ascii="Times New Roman" w:hAnsi="Times New Roman" w:cs="Times New Roman"/>
          <w:sz w:val="24"/>
          <w:szCs w:val="24"/>
        </w:rPr>
        <w:t xml:space="preserve"> </w:t>
      </w:r>
      <w:r w:rsidRPr="009A1438">
        <w:rPr>
          <w:rFonts w:ascii="Times New Roman" w:hAnsi="Times New Roman" w:cs="Times New Roman"/>
          <w:sz w:val="24"/>
          <w:szCs w:val="24"/>
        </w:rPr>
        <w:t>On the whole, brand owners reviewed notices of registered names they received, and often took some kind of action in response – generally including some basic further investigation of the domain name and the registrant. Thus, the Trademark Claims services appear to be useful to brand owners, although several improvements should be considered to increase the effectiveness of the services for the benefit of both brand owners and the consuming public.</w:t>
      </w:r>
    </w:p>
    <w:p w:rsidR="00992DB4" w:rsidRPr="009A1438" w:rsidRDefault="00992DB4">
      <w:pPr>
        <w:rPr>
          <w:rFonts w:ascii="Times New Roman" w:eastAsia="Times New Roman" w:hAnsi="Times New Roman" w:cs="Times New Roman"/>
          <w:sz w:val="24"/>
          <w:szCs w:val="24"/>
        </w:rPr>
      </w:pPr>
    </w:p>
    <w:p w:rsidR="00992DB4" w:rsidRPr="009A1438" w:rsidRDefault="006E4364" w:rsidP="0082535A">
      <w:pPr>
        <w:pStyle w:val="Heading2"/>
        <w:ind w:left="0"/>
        <w:rPr>
          <w:rFonts w:eastAsia="Times New Roman"/>
        </w:rPr>
      </w:pPr>
      <w:r w:rsidRPr="009A1438">
        <w:t>UNIFORM RAPID SUSPENSION SYSTEM (URS)</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As the IRT noted in 2009, an RPM can only be considered effective if it provides </w:t>
      </w:r>
      <w:r w:rsidR="00941F15" w:rsidRPr="009A1438">
        <w:rPr>
          <w:rFonts w:ascii="Times New Roman" w:hAnsi="Times New Roman" w:cs="Times New Roman"/>
          <w:sz w:val="24"/>
          <w:szCs w:val="24"/>
        </w:rPr>
        <w:t>“</w:t>
      </w:r>
      <w:r w:rsidRPr="009A1438">
        <w:rPr>
          <w:rFonts w:ascii="Times New Roman" w:hAnsi="Times New Roman" w:cs="Times New Roman"/>
          <w:sz w:val="24"/>
          <w:szCs w:val="24"/>
        </w:rPr>
        <w:t xml:space="preserve">clear benefits to trademark owners and new gTLD registries, such that as many as possible will be incentivized </w:t>
      </w:r>
      <w:r w:rsidRPr="009A1438">
        <w:rPr>
          <w:rFonts w:ascii="Times New Roman" w:hAnsi="Times New Roman" w:cs="Times New Roman"/>
          <w:sz w:val="24"/>
          <w:szCs w:val="24"/>
        </w:rPr>
        <w:lastRenderedPageBreak/>
        <w:t>to use</w:t>
      </w:r>
      <w:r w:rsidR="00941F15" w:rsidRPr="009A1438">
        <w:rPr>
          <w:rFonts w:ascii="Times New Roman" w:hAnsi="Times New Roman" w:cs="Times New Roman"/>
          <w:sz w:val="24"/>
          <w:szCs w:val="24"/>
        </w:rPr>
        <w:t>”</w:t>
      </w:r>
      <w:r w:rsidRPr="009A1438">
        <w:rPr>
          <w:rFonts w:ascii="Times New Roman" w:hAnsi="Times New Roman" w:cs="Times New Roman"/>
          <w:sz w:val="24"/>
          <w:szCs w:val="24"/>
        </w:rPr>
        <w:t xml:space="preserve"> it.</w:t>
      </w:r>
      <w:r w:rsidRPr="009A1438">
        <w:rPr>
          <w:rFonts w:ascii="Times New Roman" w:eastAsia="Times New Roman" w:hAnsi="Times New Roman" w:cs="Times New Roman"/>
          <w:sz w:val="24"/>
          <w:szCs w:val="24"/>
          <w:vertAlign w:val="superscript"/>
        </w:rPr>
        <w:footnoteReference w:id="4"/>
      </w:r>
      <w:r w:rsidR="00D654EB">
        <w:rPr>
          <w:rFonts w:ascii="Times New Roman" w:hAnsi="Times New Roman" w:cs="Times New Roman"/>
          <w:sz w:val="24"/>
          <w:szCs w:val="24"/>
        </w:rPr>
        <w:t xml:space="preserve"> </w:t>
      </w:r>
      <w:r w:rsidRPr="009A1438">
        <w:rPr>
          <w:rFonts w:ascii="Times New Roman" w:hAnsi="Times New Roman" w:cs="Times New Roman"/>
          <w:sz w:val="24"/>
          <w:szCs w:val="24"/>
        </w:rPr>
        <w:t>Although rights holders had high hopes for the URS, the rate of adoption of this tool by rights holders has been low. Since the beginning of 2014, over 320 new gTLD registrations have been the subject of UDRP actions at WIPO alone. But only approximately 200 URS complaints total have been filed to date.</w:t>
      </w:r>
      <w:r w:rsidRPr="009A1438">
        <w:rPr>
          <w:rFonts w:ascii="Times New Roman" w:eastAsia="Times New Roman" w:hAnsi="Times New Roman" w:cs="Times New Roman"/>
          <w:sz w:val="24"/>
          <w:szCs w:val="24"/>
          <w:vertAlign w:val="superscript"/>
        </w:rPr>
        <w:footnoteReference w:id="5"/>
      </w:r>
      <w:r w:rsidRPr="009A1438">
        <w:rPr>
          <w:rFonts w:ascii="Times New Roman" w:hAnsi="Times New Roman" w:cs="Times New Roman"/>
          <w:sz w:val="24"/>
          <w:szCs w:val="24"/>
        </w:rPr>
        <w:t xml:space="preserve">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The IPC’s </w:t>
      </w:r>
      <w:r w:rsidR="00CA1AEA">
        <w:rPr>
          <w:rFonts w:ascii="Times New Roman" w:hAnsi="Times New Roman" w:cs="Times New Roman"/>
          <w:sz w:val="24"/>
          <w:szCs w:val="24"/>
        </w:rPr>
        <w:t>poll</w:t>
      </w:r>
      <w:r w:rsidRPr="009A1438">
        <w:rPr>
          <w:rFonts w:ascii="Times New Roman" w:hAnsi="Times New Roman" w:cs="Times New Roman"/>
          <w:sz w:val="24"/>
          <w:szCs w:val="24"/>
        </w:rPr>
        <w:t xml:space="preserve"> asked members several questions to better understand the views of the rights holders regarding the URS, its usability and effectiveness, and the reasons they choose to use (or not use) the URS. The findings illuminate the main reasons this RPM underperforms: inadequate remedy and high burden of proof. We address each of these topics below in an effort to help guide ICANN in its study of this RPM.</w:t>
      </w:r>
    </w:p>
    <w:p w:rsidR="00992DB4" w:rsidRPr="007F2201" w:rsidRDefault="00992DB4">
      <w:pPr>
        <w:rPr>
          <w:rFonts w:ascii="Times New Roman" w:eastAsia="Times New Roman" w:hAnsi="Times New Roman" w:cs="Times New Roman"/>
          <w:sz w:val="24"/>
          <w:szCs w:val="24"/>
        </w:rPr>
      </w:pPr>
    </w:p>
    <w:p w:rsidR="00992DB4" w:rsidRPr="007F2201" w:rsidRDefault="006E4364" w:rsidP="0082535A">
      <w:pPr>
        <w:pStyle w:val="Heading3"/>
        <w:ind w:left="0"/>
        <w:rPr>
          <w:rFonts w:eastAsia="Times New Roman"/>
        </w:rPr>
      </w:pPr>
      <w:r w:rsidRPr="007F2201">
        <w:t>Inadequate Remedy</w:t>
      </w:r>
    </w:p>
    <w:p w:rsidR="00992DB4" w:rsidRPr="007F2201" w:rsidRDefault="00992DB4" w:rsidP="006657AC">
      <w:pPr>
        <w:pStyle w:val="ListParagraph"/>
        <w:ind w:hanging="720"/>
        <w:rPr>
          <w:rFonts w:ascii="Times New Roman" w:eastAsia="Times New Roman" w:hAnsi="Times New Roman" w:cs="Times New Roman"/>
          <w:sz w:val="24"/>
          <w:szCs w:val="24"/>
        </w:rPr>
      </w:pPr>
    </w:p>
    <w:p w:rsidR="00D654EB" w:rsidRDefault="006E4364">
      <w:pPr>
        <w:rPr>
          <w:rFonts w:ascii="Times New Roman" w:hAnsi="Times New Roman" w:cs="Times New Roman"/>
          <w:sz w:val="24"/>
          <w:szCs w:val="24"/>
        </w:rPr>
      </w:pPr>
      <w:r w:rsidRPr="009A1438">
        <w:rPr>
          <w:rFonts w:ascii="Times New Roman" w:hAnsi="Times New Roman" w:cs="Times New Roman"/>
          <w:sz w:val="24"/>
          <w:szCs w:val="24"/>
        </w:rPr>
        <w:t>As the Report recognizes, the main limitation of the URS is that its remedy is limited to suspension of the domain name for the remainder of the registration period, which could be a matter of mere months or weeks.</w:t>
      </w:r>
      <w:r w:rsidRPr="009A1438">
        <w:rPr>
          <w:rFonts w:ascii="Times New Roman" w:eastAsia="Times New Roman" w:hAnsi="Times New Roman" w:cs="Times New Roman"/>
          <w:sz w:val="24"/>
          <w:szCs w:val="24"/>
          <w:vertAlign w:val="superscript"/>
        </w:rPr>
        <w:footnoteReference w:id="6"/>
      </w:r>
      <w:r w:rsidRPr="009A1438">
        <w:rPr>
          <w:rFonts w:ascii="Times New Roman" w:hAnsi="Times New Roman" w:cs="Times New Roman"/>
          <w:sz w:val="24"/>
          <w:szCs w:val="24"/>
        </w:rPr>
        <w:t xml:space="preserve"> By and large, the URS is likely not viewed as an attractive option by rights holders because the cost does not justify the remedy: merely suspending the domain name for </w:t>
      </w:r>
      <w:r w:rsidR="005B2889" w:rsidRPr="009A1438">
        <w:rPr>
          <w:rFonts w:ascii="Times New Roman" w:hAnsi="Times New Roman" w:cs="Times New Roman"/>
          <w:sz w:val="24"/>
          <w:szCs w:val="24"/>
        </w:rPr>
        <w:t xml:space="preserve">a relatively </w:t>
      </w:r>
      <w:r w:rsidRPr="009A1438">
        <w:rPr>
          <w:rFonts w:ascii="Times New Roman" w:hAnsi="Times New Roman" w:cs="Times New Roman"/>
          <w:sz w:val="24"/>
          <w:szCs w:val="24"/>
        </w:rPr>
        <w:t xml:space="preserve">short period is not sufficiently valuable in the eyes of most brand owners. If the domain name is important enough to the rights holder to engage in a legal proceeding, then a temporary suspension of that domain name is insufficient to prevent its further misuse. Suspension </w:t>
      </w:r>
      <w:r w:rsidR="0087280A" w:rsidRPr="009A1438">
        <w:rPr>
          <w:rFonts w:ascii="Times New Roman" w:hAnsi="Times New Roman" w:cs="Times New Roman"/>
          <w:sz w:val="24"/>
          <w:szCs w:val="24"/>
        </w:rPr>
        <w:t xml:space="preserve">also </w:t>
      </w:r>
      <w:r w:rsidRPr="009A1438">
        <w:rPr>
          <w:rFonts w:ascii="Times New Roman" w:hAnsi="Times New Roman" w:cs="Times New Roman"/>
          <w:sz w:val="24"/>
          <w:szCs w:val="24"/>
        </w:rPr>
        <w:t>carries the risk that once the domain name is released, it will be registered again by another (or even the same) infringer, forcing the rights holder to restart the pro</w:t>
      </w:r>
      <w:r w:rsidR="00D654EB">
        <w:rPr>
          <w:rFonts w:ascii="Times New Roman" w:hAnsi="Times New Roman" w:cs="Times New Roman"/>
          <w:sz w:val="24"/>
          <w:szCs w:val="24"/>
        </w:rPr>
        <w:t xml:space="preserve">cess for the same domain name. </w:t>
      </w:r>
      <w:r w:rsidRPr="009A1438">
        <w:rPr>
          <w:rFonts w:ascii="Times New Roman" w:hAnsi="Times New Roman" w:cs="Times New Roman"/>
          <w:sz w:val="24"/>
          <w:szCs w:val="24"/>
        </w:rPr>
        <w:t>Thus, any efforts to improve the utility of the URS for rights holders must start with the remedies available.</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The remedy was the factor that most determined IPC Respondents’ decisions not to use the URS to address infringing domain names. Many indicated that if they were to use the URS, they would try to acquire the domain name after it reentered the general pool of domain names. But the risk of the domain name being acquired by another third party was sufficient to dissuade most brand owners from investing the resources into a URS. </w:t>
      </w:r>
    </w:p>
    <w:p w:rsidR="00992DB4" w:rsidRPr="009A1438" w:rsidRDefault="00992DB4">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Neither its speed nor its low cost compensated for the limited nature of the remedy. In fact, the remedy entirely undermined the URS’ other intended benefits: many members ranked the URS as too expensive, too time consuming and too complicated for what it provided. With the extremely high burden of proof, the cost of involving an attorney -- whether inside counsel or outside counsel -- </w:t>
      </w:r>
      <w:r w:rsidR="009B4584" w:rsidRPr="009A1438">
        <w:rPr>
          <w:rFonts w:ascii="Times New Roman" w:hAnsi="Times New Roman" w:cs="Times New Roman"/>
          <w:sz w:val="24"/>
          <w:szCs w:val="24"/>
        </w:rPr>
        <w:t xml:space="preserve">was </w:t>
      </w:r>
      <w:r w:rsidRPr="009A1438">
        <w:rPr>
          <w:rFonts w:ascii="Times New Roman" w:hAnsi="Times New Roman" w:cs="Times New Roman"/>
          <w:sz w:val="24"/>
          <w:szCs w:val="24"/>
        </w:rPr>
        <w:t xml:space="preserve">viewed as too great to justify allocating such resources to obtain the mere remedy of a temporary suspension. In fact, even though most </w:t>
      </w:r>
      <w:r w:rsidR="00CA1AEA">
        <w:rPr>
          <w:rFonts w:ascii="Times New Roman" w:hAnsi="Times New Roman" w:cs="Times New Roman"/>
          <w:sz w:val="24"/>
          <w:szCs w:val="24"/>
        </w:rPr>
        <w:t>IPC Respondents</w:t>
      </w:r>
      <w:r w:rsidRPr="009A1438">
        <w:rPr>
          <w:rFonts w:ascii="Times New Roman" w:hAnsi="Times New Roman" w:cs="Times New Roman"/>
          <w:sz w:val="24"/>
          <w:szCs w:val="24"/>
        </w:rPr>
        <w:t xml:space="preserve"> viewed cost and speed as the downsides of the UDRP, they still chose to file UDRP over URS actions in order to obtain transfers of the infringing domain names--even where case complexity or the high evidentiary standard of the URS were not problematic.</w:t>
      </w:r>
    </w:p>
    <w:p w:rsidR="00992DB4" w:rsidRPr="009A1438" w:rsidRDefault="00992DB4">
      <w:pPr>
        <w:rPr>
          <w:rFonts w:ascii="Times New Roman" w:eastAsia="Times New Roman" w:hAnsi="Times New Roman" w:cs="Times New Roman"/>
          <w:sz w:val="24"/>
          <w:szCs w:val="24"/>
        </w:rPr>
      </w:pPr>
    </w:p>
    <w:p w:rsidR="00992DB4" w:rsidRPr="009A1438" w:rsidRDefault="006E4364" w:rsidP="0082535A">
      <w:pPr>
        <w:pStyle w:val="Heading3"/>
        <w:ind w:left="0"/>
        <w:rPr>
          <w:rFonts w:eastAsia="Times New Roman"/>
        </w:rPr>
      </w:pPr>
      <w:r w:rsidRPr="009A1438">
        <w:t>High Standard of Proof</w:t>
      </w:r>
    </w:p>
    <w:p w:rsidR="00992DB4" w:rsidRPr="009A1438" w:rsidRDefault="00992DB4">
      <w:pPr>
        <w:rPr>
          <w:rFonts w:ascii="Times New Roman" w:eastAsia="Times New Roman" w:hAnsi="Times New Roman" w:cs="Times New Roman"/>
          <w:b/>
          <w:bCs/>
          <w:sz w:val="24"/>
          <w:szCs w:val="24"/>
          <w:u w:val="single"/>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The high standard of proof is another reported factor that discourages rights holders from using the URS. The "clear and convincing" standard of the URS is viewed as problematic for some trademark owners because the scope and reach of their trademark rights cannot be easily proven in the space allowed, and most cases of infringement require more legal analysis than is possib</w:t>
      </w:r>
      <w:r w:rsidR="00D654EB">
        <w:rPr>
          <w:rFonts w:ascii="Times New Roman" w:hAnsi="Times New Roman" w:cs="Times New Roman"/>
          <w:sz w:val="24"/>
          <w:szCs w:val="24"/>
        </w:rPr>
        <w:t xml:space="preserve">le to present in a URS action. </w:t>
      </w:r>
      <w:r w:rsidRPr="009A1438">
        <w:rPr>
          <w:rFonts w:ascii="Times New Roman" w:hAnsi="Times New Roman" w:cs="Times New Roman"/>
          <w:sz w:val="24"/>
          <w:szCs w:val="24"/>
        </w:rPr>
        <w:t xml:space="preserve">In other words, rightly or wrongly, a higher standard of proof is believed to add to the amount of evidence and detail needed to be successful. </w:t>
      </w:r>
    </w:p>
    <w:p w:rsidR="00992DB4" w:rsidRPr="009A1438" w:rsidRDefault="00992DB4" w:rsidP="0082535A">
      <w:pPr>
        <w:rPr>
          <w:rFonts w:ascii="Times New Roman" w:eastAsia="Times New Roman" w:hAnsi="Times New Roman" w:cs="Times New Roman"/>
          <w:sz w:val="24"/>
          <w:szCs w:val="24"/>
        </w:rPr>
      </w:pPr>
    </w:p>
    <w:p w:rsidR="00992DB4" w:rsidRPr="009A1438" w:rsidRDefault="006E4364">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In sum, the IPC believes that the study will show that the limited remedy available in the URS is not </w:t>
      </w:r>
      <w:r w:rsidR="0087280A" w:rsidRPr="009A1438">
        <w:rPr>
          <w:rFonts w:ascii="Times New Roman" w:hAnsi="Times New Roman" w:cs="Times New Roman"/>
          <w:sz w:val="24"/>
          <w:szCs w:val="24"/>
        </w:rPr>
        <w:t xml:space="preserve">considered </w:t>
      </w:r>
      <w:r w:rsidRPr="009A1438">
        <w:rPr>
          <w:rFonts w:ascii="Times New Roman" w:hAnsi="Times New Roman" w:cs="Times New Roman"/>
          <w:sz w:val="24"/>
          <w:szCs w:val="24"/>
        </w:rPr>
        <w:t xml:space="preserve">a worthwhile investment of time and money </w:t>
      </w:r>
      <w:r w:rsidR="0087280A" w:rsidRPr="009A1438">
        <w:rPr>
          <w:rFonts w:ascii="Times New Roman" w:hAnsi="Times New Roman" w:cs="Times New Roman"/>
          <w:sz w:val="24"/>
          <w:szCs w:val="24"/>
        </w:rPr>
        <w:t xml:space="preserve">by </w:t>
      </w:r>
      <w:r w:rsidR="00D654EB">
        <w:rPr>
          <w:rFonts w:ascii="Times New Roman" w:hAnsi="Times New Roman" w:cs="Times New Roman"/>
          <w:sz w:val="24"/>
          <w:szCs w:val="24"/>
        </w:rPr>
        <w:t xml:space="preserve">many brand owners. </w:t>
      </w:r>
      <w:r w:rsidRPr="009A1438">
        <w:rPr>
          <w:rFonts w:ascii="Times New Roman" w:hAnsi="Times New Roman" w:cs="Times New Roman"/>
          <w:sz w:val="24"/>
          <w:szCs w:val="24"/>
        </w:rPr>
        <w:t>The high burden of proof makes it appropriate for only a limited number of cases and increases the complexity a</w:t>
      </w:r>
      <w:r w:rsidR="00D654EB">
        <w:rPr>
          <w:rFonts w:ascii="Times New Roman" w:hAnsi="Times New Roman" w:cs="Times New Roman"/>
          <w:sz w:val="24"/>
          <w:szCs w:val="24"/>
        </w:rPr>
        <w:t xml:space="preserve">nd evidence needed to succeed. </w:t>
      </w:r>
      <w:r w:rsidRPr="009A1438">
        <w:rPr>
          <w:rFonts w:ascii="Times New Roman" w:hAnsi="Times New Roman" w:cs="Times New Roman"/>
          <w:sz w:val="24"/>
          <w:szCs w:val="24"/>
        </w:rPr>
        <w:t xml:space="preserve">The IPC believes that a review of only quantitative data relating to the URS would provide an incomplete picture and supports the qualitative questions set forth in </w:t>
      </w:r>
      <w:r w:rsidR="00D654EB">
        <w:rPr>
          <w:rFonts w:ascii="Times New Roman" w:hAnsi="Times New Roman" w:cs="Times New Roman"/>
          <w:sz w:val="24"/>
          <w:szCs w:val="24"/>
        </w:rPr>
        <w:t xml:space="preserve">Section 6 of the Draft Report. </w:t>
      </w:r>
      <w:r w:rsidRPr="009A1438">
        <w:rPr>
          <w:rFonts w:ascii="Times New Roman" w:hAnsi="Times New Roman" w:cs="Times New Roman"/>
          <w:sz w:val="24"/>
          <w:szCs w:val="24"/>
        </w:rPr>
        <w:t>The IPC offers the following as additional topics that ICANN should explore relating to the URS:</w:t>
      </w:r>
    </w:p>
    <w:p w:rsidR="00992DB4" w:rsidRPr="009A1438" w:rsidRDefault="00992DB4">
      <w:pPr>
        <w:rPr>
          <w:rFonts w:ascii="Times New Roman" w:eastAsia="Times New Roman" w:hAnsi="Times New Roman" w:cs="Times New Roman"/>
          <w:sz w:val="24"/>
          <w:szCs w:val="24"/>
        </w:rPr>
      </w:pPr>
    </w:p>
    <w:p w:rsidR="00992DB4" w:rsidRPr="009A1438" w:rsidRDefault="006E4364">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Should there be a transfer remedy?</w:t>
      </w:r>
      <w:r w:rsidRPr="009A1438">
        <w:rPr>
          <w:rFonts w:ascii="Times New Roman" w:hAnsi="Times New Roman" w:cs="Times New Roman"/>
          <w:sz w:val="24"/>
          <w:szCs w:val="24"/>
        </w:rPr>
        <w:t xml:space="preserve"> Given that the losing party loses the domain name either way, there is no reason such a remedy would unfairly prejudice the losing party. Moreover, instituting a transfer remedy would not disrupt the speed or cost-efficiency of the URS, because its adoption would not necessitate modification of other URS requirements, such as the word and time constraints. </w:t>
      </w:r>
    </w:p>
    <w:p w:rsidR="00992DB4" w:rsidRPr="009A1438" w:rsidRDefault="006E4364">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Should there be an extended suspension?</w:t>
      </w:r>
      <w:r w:rsidRPr="009A1438">
        <w:rPr>
          <w:rFonts w:ascii="Times New Roman" w:hAnsi="Times New Roman" w:cs="Times New Roman"/>
          <w:sz w:val="24"/>
          <w:szCs w:val="24"/>
        </w:rPr>
        <w:t xml:space="preserve"> Another possible alternative would be to extend the length of the suspension. This option would be further enhanced if losing respondents were also allowed to transfer the domain(s) at issue to the prevailing complainant voluntarily during that extended suspension.  </w:t>
      </w:r>
    </w:p>
    <w:p w:rsidR="00992DB4" w:rsidRPr="009A1438" w:rsidRDefault="006E4364">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Should there be a right of first refusal?</w:t>
      </w:r>
      <w:r w:rsidRPr="009A1438">
        <w:rPr>
          <w:rFonts w:ascii="Times New Roman" w:hAnsi="Times New Roman" w:cs="Times New Roman"/>
          <w:sz w:val="24"/>
          <w:szCs w:val="24"/>
        </w:rPr>
        <w:t xml:space="preserve"> Yet another option would be to give the winning complainant the right of first refusal when, at the end of the suspension period, the domain name is eligible for re-registration.  </w:t>
      </w:r>
    </w:p>
    <w:p w:rsidR="00646DCC" w:rsidRPr="009A1438" w:rsidRDefault="006E4364">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Should the standard of proof be modified?</w:t>
      </w:r>
      <w:r w:rsidRPr="009A1438">
        <w:rPr>
          <w:rFonts w:ascii="Times New Roman" w:hAnsi="Times New Roman" w:cs="Times New Roman"/>
          <w:sz w:val="24"/>
          <w:szCs w:val="24"/>
        </w:rPr>
        <w:t xml:space="preserve"> Changing the standard  from “clear and convincing” to </w:t>
      </w:r>
      <w:r w:rsidR="009B4584" w:rsidRPr="009A1438">
        <w:rPr>
          <w:rFonts w:ascii="Times New Roman" w:hAnsi="Times New Roman" w:cs="Times New Roman"/>
          <w:sz w:val="24"/>
          <w:szCs w:val="24"/>
        </w:rPr>
        <w:t xml:space="preserve">the more common </w:t>
      </w:r>
      <w:r w:rsidRPr="009A1438">
        <w:rPr>
          <w:rFonts w:ascii="Times New Roman" w:hAnsi="Times New Roman" w:cs="Times New Roman"/>
          <w:sz w:val="24"/>
          <w:szCs w:val="24"/>
        </w:rPr>
        <w:t xml:space="preserve">“preponderance of the evidence” </w:t>
      </w:r>
      <w:r w:rsidR="00646DCC" w:rsidRPr="009A1438">
        <w:rPr>
          <w:rFonts w:ascii="Times New Roman" w:hAnsi="Times New Roman" w:cs="Times New Roman"/>
          <w:sz w:val="24"/>
          <w:szCs w:val="24"/>
        </w:rPr>
        <w:t>would make the URS more cost-effective.</w:t>
      </w:r>
    </w:p>
    <w:p w:rsidR="00992DB4" w:rsidRPr="009A1438" w:rsidRDefault="00646DCC">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 xml:space="preserve">Should the URS cover domain names that were either registered OR used in bad faith?  </w:t>
      </w:r>
      <w:r w:rsidRPr="009A1438">
        <w:rPr>
          <w:rFonts w:ascii="Times New Roman" w:hAnsi="Times New Roman" w:cs="Times New Roman"/>
          <w:sz w:val="24"/>
          <w:szCs w:val="24"/>
        </w:rPr>
        <w:t>B</w:t>
      </w:r>
      <w:r w:rsidR="006E4364" w:rsidRPr="009A1438">
        <w:rPr>
          <w:rFonts w:ascii="Times New Roman" w:hAnsi="Times New Roman" w:cs="Times New Roman"/>
          <w:sz w:val="24"/>
          <w:szCs w:val="24"/>
        </w:rPr>
        <w:t xml:space="preserve">roadening </w:t>
      </w:r>
      <w:r w:rsidRPr="009A1438">
        <w:rPr>
          <w:rFonts w:ascii="Times New Roman" w:hAnsi="Times New Roman" w:cs="Times New Roman"/>
          <w:sz w:val="24"/>
          <w:szCs w:val="24"/>
        </w:rPr>
        <w:t xml:space="preserve">the URS </w:t>
      </w:r>
      <w:r w:rsidR="006E4364" w:rsidRPr="009A1438">
        <w:rPr>
          <w:rFonts w:ascii="Times New Roman" w:hAnsi="Times New Roman" w:cs="Times New Roman"/>
          <w:sz w:val="24"/>
          <w:szCs w:val="24"/>
        </w:rPr>
        <w:t>to cover cases in which domain names are clearly being used in bad faith, but where proof of registration in bad faith is less compelling</w:t>
      </w:r>
      <w:r w:rsidR="009B4584" w:rsidRPr="009A1438">
        <w:rPr>
          <w:rFonts w:ascii="Times New Roman" w:hAnsi="Times New Roman" w:cs="Times New Roman"/>
          <w:sz w:val="24"/>
          <w:szCs w:val="24"/>
        </w:rPr>
        <w:t xml:space="preserve">, would make the URS more </w:t>
      </w:r>
      <w:r w:rsidR="00B848F4" w:rsidRPr="009A1438">
        <w:rPr>
          <w:rFonts w:ascii="Times New Roman" w:hAnsi="Times New Roman" w:cs="Times New Roman"/>
          <w:sz w:val="24"/>
          <w:szCs w:val="24"/>
        </w:rPr>
        <w:t>effective</w:t>
      </w:r>
      <w:r w:rsidR="006E4364" w:rsidRPr="009A1438">
        <w:rPr>
          <w:rFonts w:ascii="Times New Roman" w:hAnsi="Times New Roman" w:cs="Times New Roman"/>
          <w:sz w:val="24"/>
          <w:szCs w:val="24"/>
        </w:rPr>
        <w:t>.</w:t>
      </w:r>
      <w:r w:rsidRPr="009A1438" w:rsidDel="00646DCC">
        <w:rPr>
          <w:rFonts w:ascii="Times New Roman" w:eastAsia="Times New Roman" w:hAnsi="Times New Roman" w:cs="Times New Roman"/>
          <w:sz w:val="24"/>
          <w:szCs w:val="24"/>
          <w:vertAlign w:val="superscript"/>
        </w:rPr>
        <w:t xml:space="preserve"> </w:t>
      </w:r>
      <w:r w:rsidR="006E4364" w:rsidRPr="009A1438">
        <w:rPr>
          <w:rFonts w:ascii="Times New Roman" w:hAnsi="Times New Roman" w:cs="Times New Roman"/>
          <w:sz w:val="24"/>
          <w:szCs w:val="24"/>
        </w:rPr>
        <w:t xml:space="preserve"> </w:t>
      </w:r>
    </w:p>
    <w:p w:rsidR="00A045AC" w:rsidRPr="009A1438" w:rsidRDefault="006E4364" w:rsidP="009A1438">
      <w:pPr>
        <w:pStyle w:val="ListParagraph"/>
        <w:numPr>
          <w:ilvl w:val="0"/>
          <w:numId w:val="12"/>
        </w:numPr>
        <w:tabs>
          <w:tab w:val="clear" w:pos="720"/>
          <w:tab w:val="num" w:pos="660"/>
        </w:tabs>
        <w:ind w:left="660" w:hanging="300"/>
        <w:rPr>
          <w:rFonts w:ascii="Times New Roman" w:eastAsia="Times New Roman" w:hAnsi="Times New Roman" w:cs="Times New Roman"/>
          <w:sz w:val="24"/>
          <w:szCs w:val="24"/>
        </w:rPr>
      </w:pPr>
      <w:r w:rsidRPr="009A1438">
        <w:rPr>
          <w:rFonts w:ascii="Times New Roman" w:hAnsi="Times New Roman" w:cs="Times New Roman"/>
          <w:b/>
          <w:bCs/>
          <w:sz w:val="24"/>
          <w:szCs w:val="24"/>
        </w:rPr>
        <w:t>Should there be a financial penalty to the losing registrant</w:t>
      </w:r>
      <w:r w:rsidR="009B4584" w:rsidRPr="009A1438">
        <w:rPr>
          <w:rFonts w:ascii="Times New Roman" w:hAnsi="Times New Roman" w:cs="Times New Roman"/>
          <w:b/>
          <w:bCs/>
          <w:sz w:val="24"/>
          <w:szCs w:val="24"/>
        </w:rPr>
        <w:t>?</w:t>
      </w:r>
      <w:r w:rsidRPr="009A1438">
        <w:rPr>
          <w:rFonts w:ascii="Times New Roman" w:hAnsi="Times New Roman" w:cs="Times New Roman"/>
          <w:b/>
          <w:bCs/>
          <w:sz w:val="24"/>
          <w:szCs w:val="24"/>
        </w:rPr>
        <w:t>:</w:t>
      </w:r>
      <w:r w:rsidRPr="009A1438">
        <w:rPr>
          <w:rFonts w:ascii="Times New Roman" w:hAnsi="Times New Roman" w:cs="Times New Roman"/>
          <w:sz w:val="24"/>
          <w:szCs w:val="24"/>
        </w:rPr>
        <w:t xml:space="preserve"> The infringing party loses nothing but the registration, and even has the ability to pick it back up on the drop.  The ICANN community should explore options such as loser-pays, response fees, etc. to disincentivize infringing registrations.</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82535A">
      <w:pPr>
        <w:pStyle w:val="Heading2"/>
        <w:ind w:left="0"/>
        <w:rPr>
          <w:rFonts w:eastAsia="Times New Roman"/>
        </w:rPr>
      </w:pPr>
      <w:r w:rsidRPr="009A1438">
        <w:t xml:space="preserve">POST-DELEGATION DISPUTE RESOLUTION PROCEDURES (PDDRP) </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As noted in the Draft Report, the PDDRP is an RPM designed to hold a registry operator accountable for bad acts.  The Draft Report also includes the Registration Restriction Dispute Resolution Procedure (RRDRP) and the Public Interest Commitments Dispute Resolution </w:t>
      </w:r>
      <w:r w:rsidRPr="009A1438">
        <w:rPr>
          <w:rFonts w:ascii="Times New Roman" w:hAnsi="Times New Roman" w:cs="Times New Roman"/>
          <w:sz w:val="24"/>
          <w:szCs w:val="24"/>
        </w:rPr>
        <w:lastRenderedPageBreak/>
        <w:t>Procedures (PIC</w:t>
      </w:r>
      <w:r w:rsidR="00D654EB">
        <w:rPr>
          <w:rFonts w:ascii="Times New Roman" w:hAnsi="Times New Roman" w:cs="Times New Roman"/>
          <w:sz w:val="24"/>
          <w:szCs w:val="24"/>
        </w:rPr>
        <w:t xml:space="preserve">DRP) as additional quasi-RPMs. </w:t>
      </w:r>
      <w:r w:rsidRPr="009A1438">
        <w:rPr>
          <w:rFonts w:ascii="Times New Roman" w:hAnsi="Times New Roman" w:cs="Times New Roman"/>
          <w:sz w:val="24"/>
          <w:szCs w:val="24"/>
        </w:rPr>
        <w:t>As further noted, to date, there have been no complaint filings under these procedures.</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The IPC would point out that the fact that these post delegation procedures have not been used does not mean tha</w:t>
      </w:r>
      <w:r w:rsidR="00D654EB">
        <w:rPr>
          <w:rFonts w:ascii="Times New Roman" w:hAnsi="Times New Roman" w:cs="Times New Roman"/>
          <w:sz w:val="24"/>
          <w:szCs w:val="24"/>
        </w:rPr>
        <w:t xml:space="preserve">t they should not be reviewed. </w:t>
      </w:r>
      <w:r w:rsidRPr="009A1438">
        <w:rPr>
          <w:rFonts w:ascii="Times New Roman" w:hAnsi="Times New Roman" w:cs="Times New Roman"/>
          <w:sz w:val="24"/>
          <w:szCs w:val="24"/>
        </w:rPr>
        <w:t xml:space="preserve">The IPC asserts that, similar to the URS, there may be fundamental problems in the burden of proof, cost of these proceedings, and the remedies afforded.  ICANN would be well-served to review input from potentially affected parties which may tease out improvements to these RPMs.  </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The RPM review should also address registry Public Interest Commitments (PICs) themselves, some of which are specifically directed toward dealing with infringement-related abuses in the new gTLDs, and which ICANN has repeatedly stated it will enforce as a matter of contract compliance. In other words, the PICs themselves, and not just the PICDRP, are rights protection mechanisms which should be encompassed in the review.</w:t>
      </w:r>
    </w:p>
    <w:p w:rsidR="00992DB4" w:rsidRPr="009A1438" w:rsidRDefault="00992DB4" w:rsidP="009A1438">
      <w:pPr>
        <w:rPr>
          <w:rFonts w:ascii="Times New Roman" w:eastAsia="Times New Roman" w:hAnsi="Times New Roman" w:cs="Times New Roman"/>
          <w:sz w:val="24"/>
          <w:szCs w:val="24"/>
          <w:u w:val="single"/>
        </w:rPr>
      </w:pPr>
    </w:p>
    <w:p w:rsidR="00992DB4" w:rsidRPr="009A1438" w:rsidRDefault="006E4364" w:rsidP="0082535A">
      <w:pPr>
        <w:pStyle w:val="Heading2"/>
        <w:ind w:left="0"/>
        <w:rPr>
          <w:rFonts w:eastAsia="Times New Roman"/>
        </w:rPr>
      </w:pPr>
      <w:r w:rsidRPr="009A1438">
        <w:t>REGISTRY BLOCKS</w:t>
      </w:r>
    </w:p>
    <w:p w:rsidR="009B4584" w:rsidRPr="009A1438" w:rsidRDefault="009B458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IPC members have identified blocking mechanisms implemented across TLDs operated by a single entity as an additional Rights Protection Mechanism that ICANN should examine during the RPM review.  While not administered by ICANN, blocking mechanisms such as Donuts’ DPML</w:t>
      </w:r>
      <w:r w:rsidRPr="009A1438">
        <w:rPr>
          <w:rFonts w:ascii="Times New Roman" w:eastAsia="Times New Roman" w:hAnsi="Times New Roman" w:cs="Times New Roman"/>
          <w:sz w:val="24"/>
          <w:szCs w:val="24"/>
          <w:vertAlign w:val="superscript"/>
        </w:rPr>
        <w:footnoteReference w:id="7"/>
      </w:r>
      <w:r w:rsidRPr="009A1438">
        <w:rPr>
          <w:rFonts w:ascii="Times New Roman" w:hAnsi="Times New Roman" w:cs="Times New Roman"/>
          <w:sz w:val="24"/>
          <w:szCs w:val="24"/>
        </w:rPr>
        <w:t xml:space="preserve"> were utilized by IPC members and were considered helpful to manage the vast number of new gTLDs that were launched, necessitating defensive registration.  Especially helpful were those blocking mechanisms that restricted registration of TMCH-eligible terms in a large number of new gTLDs.  </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The feasibility and success of these blocking mechanisms indicates to many in the IPC that ICANN was perhaps mistaken in its conclusion that a Globally Protected Marks List was not achievable or practical. Therefore the IPC asks ICANN, within the context of this review, to further explore the possibility of a </w:t>
      </w:r>
      <w:r w:rsidR="00D654EB">
        <w:rPr>
          <w:rFonts w:ascii="Times New Roman" w:hAnsi="Times New Roman" w:cs="Times New Roman"/>
          <w:sz w:val="24"/>
          <w:szCs w:val="24"/>
        </w:rPr>
        <w:t xml:space="preserve">Globally Protected Marks List. </w:t>
      </w:r>
      <w:r w:rsidRPr="009A1438">
        <w:rPr>
          <w:rFonts w:ascii="Times New Roman" w:hAnsi="Times New Roman" w:cs="Times New Roman"/>
          <w:sz w:val="24"/>
          <w:szCs w:val="24"/>
        </w:rPr>
        <w:t xml:space="preserve">It would be useful in determining whether there is truly a barrier to implementing a new gTLD-wide blocking mechanism and, to that end, the IPC recommends a full examination into the context in which blocks were most useful, the benefits to brand owners who purchased these blocks, and the challenges that both brand owners and Registries experienced with blocking.  </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82535A">
      <w:pPr>
        <w:pStyle w:val="Heading2"/>
        <w:ind w:left="0"/>
        <w:rPr>
          <w:rFonts w:eastAsia="Times New Roman"/>
        </w:rPr>
      </w:pPr>
      <w:r w:rsidRPr="009A1438">
        <w:t>DEFENSIVE REGISTRATIONS</w:t>
      </w:r>
    </w:p>
    <w:p w:rsidR="00992DB4" w:rsidRPr="009A1438" w:rsidRDefault="00992DB4" w:rsidP="009A1438">
      <w:pPr>
        <w:rPr>
          <w:rFonts w:ascii="Times New Roman" w:eastAsia="Times New Roman" w:hAnsi="Times New Roman" w:cs="Times New Roman"/>
          <w:bCs/>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As anticipated, most registrations by brand ow</w:t>
      </w:r>
      <w:r w:rsidR="00D654EB">
        <w:rPr>
          <w:rFonts w:ascii="Times New Roman" w:hAnsi="Times New Roman" w:cs="Times New Roman"/>
          <w:sz w:val="24"/>
          <w:szCs w:val="24"/>
        </w:rPr>
        <w:t xml:space="preserve">ners were defensive in nature. </w:t>
      </w:r>
      <w:r w:rsidRPr="009A1438">
        <w:rPr>
          <w:rFonts w:ascii="Times New Roman" w:hAnsi="Times New Roman" w:cs="Times New Roman"/>
          <w:sz w:val="24"/>
          <w:szCs w:val="24"/>
        </w:rPr>
        <w:t xml:space="preserve">While there is some motivation to affirmatively </w:t>
      </w:r>
      <w:r w:rsidR="0087280A" w:rsidRPr="009A1438">
        <w:rPr>
          <w:rFonts w:ascii="Times New Roman" w:hAnsi="Times New Roman" w:cs="Times New Roman"/>
          <w:sz w:val="24"/>
          <w:szCs w:val="24"/>
        </w:rPr>
        <w:t xml:space="preserve">use </w:t>
      </w:r>
      <w:r w:rsidRPr="009A1438">
        <w:rPr>
          <w:rFonts w:ascii="Times New Roman" w:hAnsi="Times New Roman" w:cs="Times New Roman"/>
          <w:sz w:val="24"/>
          <w:szCs w:val="24"/>
        </w:rPr>
        <w:t xml:space="preserve">registrations that correspond to certain industry verticals or geographic TLDs associated with the brand in question (.bank, .london, etc.), most </w:t>
      </w:r>
      <w:r w:rsidR="00800F25">
        <w:rPr>
          <w:rFonts w:ascii="Times New Roman" w:hAnsi="Times New Roman" w:cs="Times New Roman"/>
          <w:sz w:val="24"/>
          <w:szCs w:val="24"/>
        </w:rPr>
        <w:t>IPC</w:t>
      </w:r>
      <w:r w:rsidRPr="009A1438">
        <w:rPr>
          <w:rFonts w:ascii="Times New Roman" w:hAnsi="Times New Roman" w:cs="Times New Roman"/>
          <w:sz w:val="24"/>
          <w:szCs w:val="24"/>
        </w:rPr>
        <w:t xml:space="preserve"> </w:t>
      </w:r>
      <w:r w:rsidR="00800F25">
        <w:rPr>
          <w:rFonts w:ascii="Times New Roman" w:hAnsi="Times New Roman" w:cs="Times New Roman"/>
          <w:sz w:val="24"/>
          <w:szCs w:val="24"/>
        </w:rPr>
        <w:t>R</w:t>
      </w:r>
      <w:r w:rsidRPr="009A1438">
        <w:rPr>
          <w:rFonts w:ascii="Times New Roman" w:hAnsi="Times New Roman" w:cs="Times New Roman"/>
          <w:sz w:val="24"/>
          <w:szCs w:val="24"/>
        </w:rPr>
        <w:t xml:space="preserve">espondents believe that the new gTLD program significantly disadvantaged their ability to protect and monitor their brand, with no concrete advantage as a trade-off.  </w:t>
      </w:r>
    </w:p>
    <w:p w:rsidR="00992DB4" w:rsidRPr="009A1438" w:rsidRDefault="00992DB4" w:rsidP="009A1438">
      <w:pPr>
        <w:rPr>
          <w:rFonts w:ascii="Times New Roman" w:eastAsia="Times New Roman" w:hAnsi="Times New Roman" w:cs="Times New Roman"/>
          <w:sz w:val="24"/>
          <w:szCs w:val="24"/>
        </w:rPr>
      </w:pPr>
    </w:p>
    <w:p w:rsidR="00992DB4" w:rsidRPr="009A1438" w:rsidRDefault="006E4364" w:rsidP="009A1438">
      <w:pPr>
        <w:rPr>
          <w:rFonts w:ascii="Times New Roman" w:eastAsia="Times New Roman" w:hAnsi="Times New Roman" w:cs="Times New Roman"/>
          <w:sz w:val="24"/>
          <w:szCs w:val="24"/>
        </w:rPr>
      </w:pPr>
      <w:r w:rsidRPr="009A1438">
        <w:rPr>
          <w:rFonts w:ascii="Times New Roman" w:hAnsi="Times New Roman" w:cs="Times New Roman"/>
          <w:sz w:val="24"/>
          <w:szCs w:val="24"/>
        </w:rPr>
        <w:t xml:space="preserve">In the context of this review, as well as the Affirmation of Commitments review that will look at how the new gTLD program served the goals of increasing consumer choice, trust and competition in the domain name market, it is important for the ICANN community to take a </w:t>
      </w:r>
      <w:r w:rsidRPr="009A1438">
        <w:rPr>
          <w:rFonts w:ascii="Times New Roman" w:hAnsi="Times New Roman" w:cs="Times New Roman"/>
          <w:sz w:val="24"/>
          <w:szCs w:val="24"/>
        </w:rPr>
        <w:lastRenderedPageBreak/>
        <w:t xml:space="preserve">close look at how brand owners were affected, and to balance that conclusion with the benefits of the new gTLD program.  </w:t>
      </w:r>
    </w:p>
    <w:p w:rsidR="00992DB4" w:rsidRPr="009A1438" w:rsidRDefault="00992DB4">
      <w:pPr>
        <w:rPr>
          <w:rFonts w:ascii="Times New Roman" w:eastAsia="Times New Roman" w:hAnsi="Times New Roman" w:cs="Times New Roman"/>
          <w:sz w:val="24"/>
          <w:szCs w:val="24"/>
        </w:rPr>
      </w:pPr>
    </w:p>
    <w:p w:rsidR="00992DB4" w:rsidRPr="007F2201" w:rsidRDefault="006E4364" w:rsidP="00C96969">
      <w:pPr>
        <w:pStyle w:val="Heading2"/>
        <w:keepNext/>
        <w:ind w:left="0"/>
        <w:rPr>
          <w:rFonts w:eastAsia="Times New Roman"/>
        </w:rPr>
      </w:pPr>
      <w:r w:rsidRPr="007F2201">
        <w:t xml:space="preserve">APPLICATION TO LEGACY gTLDs </w:t>
      </w:r>
    </w:p>
    <w:p w:rsidR="00992DB4" w:rsidRPr="007F2201" w:rsidRDefault="00992DB4" w:rsidP="00C96969">
      <w:pPr>
        <w:keepNext/>
        <w:rPr>
          <w:rFonts w:ascii="Times New Roman" w:eastAsia="Times New Roman" w:hAnsi="Times New Roman" w:cs="Times New Roman"/>
          <w:b/>
          <w:bCs/>
          <w:sz w:val="24"/>
          <w:szCs w:val="24"/>
        </w:rPr>
      </w:pPr>
    </w:p>
    <w:p w:rsidR="00992DB4" w:rsidRPr="007F2201" w:rsidRDefault="006E4364">
      <w:pPr>
        <w:rPr>
          <w:rFonts w:ascii="Times New Roman" w:eastAsia="Times New Roman" w:hAnsi="Times New Roman" w:cs="Times New Roman"/>
          <w:sz w:val="24"/>
          <w:szCs w:val="24"/>
        </w:rPr>
      </w:pPr>
      <w:r w:rsidRPr="007F2201">
        <w:rPr>
          <w:rFonts w:ascii="Times New Roman" w:hAnsi="Times New Roman" w:cs="Times New Roman"/>
          <w:sz w:val="24"/>
          <w:szCs w:val="24"/>
        </w:rPr>
        <w:t>Finally, IPC believes that it should be a priority for ICANN to consider how those RPMs which have been determined to be reasonably successful can be effectivel</w:t>
      </w:r>
      <w:r w:rsidR="00D654EB">
        <w:rPr>
          <w:rFonts w:ascii="Times New Roman" w:hAnsi="Times New Roman" w:cs="Times New Roman"/>
          <w:sz w:val="24"/>
          <w:szCs w:val="24"/>
        </w:rPr>
        <w:t xml:space="preserve">y applied to the legacy gTLDs. </w:t>
      </w:r>
      <w:r w:rsidRPr="007F2201">
        <w:rPr>
          <w:rFonts w:ascii="Times New Roman" w:hAnsi="Times New Roman" w:cs="Times New Roman"/>
          <w:sz w:val="24"/>
          <w:szCs w:val="24"/>
        </w:rPr>
        <w:t>These registries are, and for the foreseeable future will remain, the locus of the vast majority of the abuses which the new gTLD rights protection mechan</w:t>
      </w:r>
      <w:r w:rsidR="00D654EB">
        <w:rPr>
          <w:rFonts w:ascii="Times New Roman" w:hAnsi="Times New Roman" w:cs="Times New Roman"/>
          <w:sz w:val="24"/>
          <w:szCs w:val="24"/>
        </w:rPr>
        <w:t xml:space="preserve">isms were intended to address. </w:t>
      </w:r>
      <w:r w:rsidRPr="007F2201">
        <w:rPr>
          <w:rFonts w:ascii="Times New Roman" w:hAnsi="Times New Roman" w:cs="Times New Roman"/>
          <w:sz w:val="24"/>
          <w:szCs w:val="24"/>
        </w:rPr>
        <w:t xml:space="preserve">To the extent that the new gTLD program has succeeded in developing reasonably effective RPMs, </w:t>
      </w:r>
      <w:r w:rsidR="00651B14" w:rsidRPr="007F2201">
        <w:rPr>
          <w:rFonts w:ascii="Times New Roman" w:hAnsi="Times New Roman" w:cs="Times New Roman"/>
          <w:sz w:val="24"/>
          <w:szCs w:val="24"/>
        </w:rPr>
        <w:t xml:space="preserve">determining </w:t>
      </w:r>
      <w:r w:rsidRPr="007F2201">
        <w:rPr>
          <w:rFonts w:ascii="Times New Roman" w:hAnsi="Times New Roman" w:cs="Times New Roman"/>
          <w:sz w:val="24"/>
          <w:szCs w:val="24"/>
        </w:rPr>
        <w:t>how to port them to the legacy gTLD environment should</w:t>
      </w:r>
      <w:r w:rsidR="00D654EB">
        <w:rPr>
          <w:rFonts w:ascii="Times New Roman" w:hAnsi="Times New Roman" w:cs="Times New Roman"/>
          <w:sz w:val="24"/>
          <w:szCs w:val="24"/>
        </w:rPr>
        <w:t xml:space="preserve"> be a high priority for ICANN. </w:t>
      </w:r>
      <w:r w:rsidRPr="007F2201">
        <w:rPr>
          <w:rFonts w:ascii="Times New Roman" w:hAnsi="Times New Roman" w:cs="Times New Roman"/>
          <w:sz w:val="24"/>
          <w:szCs w:val="24"/>
        </w:rPr>
        <w:t xml:space="preserve">From </w:t>
      </w:r>
      <w:r w:rsidR="00651B14" w:rsidRPr="007F2201">
        <w:rPr>
          <w:rFonts w:ascii="Times New Roman" w:hAnsi="Times New Roman" w:cs="Times New Roman"/>
          <w:sz w:val="24"/>
          <w:szCs w:val="24"/>
        </w:rPr>
        <w:t xml:space="preserve">the </w:t>
      </w:r>
      <w:r w:rsidRPr="007F2201">
        <w:rPr>
          <w:rFonts w:ascii="Times New Roman" w:hAnsi="Times New Roman" w:cs="Times New Roman"/>
          <w:sz w:val="24"/>
          <w:szCs w:val="24"/>
        </w:rPr>
        <w:t>IPC’s perspective, this prospect provides one of the greatest potential benefits of the new gTLD program</w:t>
      </w:r>
      <w:r w:rsidR="00B848F4" w:rsidRPr="007F2201">
        <w:rPr>
          <w:rFonts w:ascii="Times New Roman" w:hAnsi="Times New Roman" w:cs="Times New Roman"/>
          <w:sz w:val="24"/>
          <w:szCs w:val="24"/>
        </w:rPr>
        <w:t>—</w:t>
      </w:r>
      <w:r w:rsidRPr="007F2201">
        <w:rPr>
          <w:rFonts w:ascii="Times New Roman" w:hAnsi="Times New Roman" w:cs="Times New Roman"/>
          <w:sz w:val="24"/>
          <w:szCs w:val="24"/>
        </w:rPr>
        <w:t xml:space="preserve">one which ICANN will be in a position to accelerate as part of this RPM review.  </w:t>
      </w:r>
    </w:p>
    <w:p w:rsidR="00992DB4" w:rsidRPr="007F2201" w:rsidRDefault="00992DB4">
      <w:pPr>
        <w:rPr>
          <w:rFonts w:ascii="Times New Roman" w:eastAsia="Times New Roman" w:hAnsi="Times New Roman" w:cs="Times New Roman"/>
          <w:b/>
          <w:bCs/>
          <w:sz w:val="24"/>
          <w:szCs w:val="24"/>
        </w:rPr>
      </w:pPr>
    </w:p>
    <w:p w:rsidR="00992DB4" w:rsidRPr="007F2201" w:rsidRDefault="006E4364" w:rsidP="00C96969">
      <w:pPr>
        <w:pStyle w:val="Heading1"/>
        <w:rPr>
          <w:rFonts w:eastAsia="Times New Roman"/>
        </w:rPr>
      </w:pPr>
      <w:r w:rsidRPr="007F2201">
        <w:t xml:space="preserve">CONCLUSION </w:t>
      </w:r>
    </w:p>
    <w:p w:rsidR="00992DB4" w:rsidRPr="007F2201" w:rsidRDefault="00992DB4">
      <w:pPr>
        <w:rPr>
          <w:rFonts w:ascii="Times New Roman" w:eastAsia="Times New Roman" w:hAnsi="Times New Roman" w:cs="Times New Roman"/>
          <w:b/>
          <w:bCs/>
          <w:sz w:val="24"/>
          <w:szCs w:val="24"/>
        </w:rPr>
      </w:pPr>
    </w:p>
    <w:p w:rsidR="00992DB4" w:rsidRPr="007F2201" w:rsidRDefault="00651B14">
      <w:pPr>
        <w:rPr>
          <w:rFonts w:ascii="Times New Roman" w:hAnsi="Times New Roman" w:cs="Times New Roman"/>
          <w:sz w:val="24"/>
          <w:szCs w:val="24"/>
        </w:rPr>
      </w:pPr>
      <w:r w:rsidRPr="007F2201">
        <w:rPr>
          <w:rFonts w:ascii="Times New Roman" w:hAnsi="Times New Roman" w:cs="Times New Roman"/>
          <w:sz w:val="24"/>
          <w:szCs w:val="24"/>
        </w:rPr>
        <w:t xml:space="preserve">The </w:t>
      </w:r>
      <w:r w:rsidR="006E4364" w:rsidRPr="007F2201">
        <w:rPr>
          <w:rFonts w:ascii="Times New Roman" w:hAnsi="Times New Roman" w:cs="Times New Roman"/>
          <w:sz w:val="24"/>
          <w:szCs w:val="24"/>
        </w:rPr>
        <w:t>IPC applauds ICANN for a thorough analysis of RPMs within the new gTLDs</w:t>
      </w:r>
      <w:r w:rsidR="00B128B7">
        <w:rPr>
          <w:rFonts w:ascii="Times New Roman" w:hAnsi="Times New Roman" w:cs="Times New Roman"/>
          <w:sz w:val="24"/>
          <w:szCs w:val="24"/>
        </w:rPr>
        <w:t xml:space="preserve"> up to this point,</w:t>
      </w:r>
      <w:r w:rsidR="006E4364" w:rsidRPr="007F2201">
        <w:rPr>
          <w:rFonts w:ascii="Times New Roman" w:hAnsi="Times New Roman" w:cs="Times New Roman"/>
          <w:sz w:val="24"/>
          <w:szCs w:val="24"/>
        </w:rPr>
        <w:t xml:space="preserve"> and the identification of topics </w:t>
      </w:r>
      <w:r w:rsidR="00D654EB">
        <w:rPr>
          <w:rFonts w:ascii="Times New Roman" w:hAnsi="Times New Roman" w:cs="Times New Roman"/>
          <w:sz w:val="24"/>
          <w:szCs w:val="24"/>
        </w:rPr>
        <w:t xml:space="preserve">and questions for evaluations. </w:t>
      </w:r>
      <w:r w:rsidR="006E4364" w:rsidRPr="007F2201">
        <w:rPr>
          <w:rFonts w:ascii="Times New Roman" w:hAnsi="Times New Roman" w:cs="Times New Roman"/>
          <w:sz w:val="24"/>
          <w:szCs w:val="24"/>
        </w:rPr>
        <w:t xml:space="preserve">As with many complex systems, the IPC urges ICANN to look not only at the hard facts and numbers (quantitative data) </w:t>
      </w:r>
      <w:r w:rsidR="00D654EB">
        <w:rPr>
          <w:rFonts w:ascii="Times New Roman" w:hAnsi="Times New Roman" w:cs="Times New Roman"/>
          <w:sz w:val="24"/>
          <w:szCs w:val="24"/>
        </w:rPr>
        <w:t xml:space="preserve">collected to date </w:t>
      </w:r>
      <w:r w:rsidR="006E4364" w:rsidRPr="007F2201">
        <w:rPr>
          <w:rFonts w:ascii="Times New Roman" w:hAnsi="Times New Roman" w:cs="Times New Roman"/>
          <w:sz w:val="24"/>
          <w:szCs w:val="24"/>
        </w:rPr>
        <w:t>but to conduct meaningful interviews and surve</w:t>
      </w:r>
      <w:r w:rsidR="00D654EB">
        <w:rPr>
          <w:rFonts w:ascii="Times New Roman" w:hAnsi="Times New Roman" w:cs="Times New Roman"/>
          <w:sz w:val="24"/>
          <w:szCs w:val="24"/>
        </w:rPr>
        <w:t xml:space="preserve">ys to obtain qualitative data. </w:t>
      </w:r>
      <w:r w:rsidR="006E4364" w:rsidRPr="007F2201">
        <w:rPr>
          <w:rFonts w:ascii="Times New Roman" w:hAnsi="Times New Roman" w:cs="Times New Roman"/>
          <w:sz w:val="24"/>
          <w:szCs w:val="24"/>
        </w:rPr>
        <w:t>Many of the questions set forth in the Draft Repo</w:t>
      </w:r>
      <w:r w:rsidR="00D654EB">
        <w:rPr>
          <w:rFonts w:ascii="Times New Roman" w:hAnsi="Times New Roman" w:cs="Times New Roman"/>
          <w:sz w:val="24"/>
          <w:szCs w:val="24"/>
        </w:rPr>
        <w:t xml:space="preserve">rt seek such qualitative data. </w:t>
      </w:r>
      <w:r w:rsidR="006E4364" w:rsidRPr="007F2201">
        <w:rPr>
          <w:rFonts w:ascii="Times New Roman" w:hAnsi="Times New Roman" w:cs="Times New Roman"/>
          <w:sz w:val="24"/>
          <w:szCs w:val="24"/>
        </w:rPr>
        <w:t xml:space="preserve">However, IPC hopes that its informal </w:t>
      </w:r>
      <w:r w:rsidR="00CA1AEA">
        <w:rPr>
          <w:rFonts w:ascii="Times New Roman" w:hAnsi="Times New Roman" w:cs="Times New Roman"/>
          <w:sz w:val="24"/>
          <w:szCs w:val="24"/>
        </w:rPr>
        <w:t>poll</w:t>
      </w:r>
      <w:r w:rsidR="006E4364" w:rsidRPr="007F2201">
        <w:rPr>
          <w:rFonts w:ascii="Times New Roman" w:hAnsi="Times New Roman" w:cs="Times New Roman"/>
          <w:sz w:val="24"/>
          <w:szCs w:val="24"/>
        </w:rPr>
        <w:t xml:space="preserve"> and the assertions in this comment will help ICANN craft additional qualitative questions and, to that end, </w:t>
      </w:r>
      <w:r w:rsidRPr="007F2201">
        <w:rPr>
          <w:rFonts w:ascii="Times New Roman" w:hAnsi="Times New Roman" w:cs="Times New Roman"/>
          <w:sz w:val="24"/>
          <w:szCs w:val="24"/>
        </w:rPr>
        <w:t xml:space="preserve">the </w:t>
      </w:r>
      <w:r w:rsidR="006E4364" w:rsidRPr="007F2201">
        <w:rPr>
          <w:rFonts w:ascii="Times New Roman" w:hAnsi="Times New Roman" w:cs="Times New Roman"/>
          <w:sz w:val="24"/>
          <w:szCs w:val="24"/>
        </w:rPr>
        <w:t xml:space="preserve">IPC is willing to assist ICANN in this </w:t>
      </w:r>
      <w:r w:rsidRPr="007F2201">
        <w:rPr>
          <w:rFonts w:ascii="Times New Roman" w:hAnsi="Times New Roman" w:cs="Times New Roman"/>
          <w:sz w:val="24"/>
          <w:szCs w:val="24"/>
        </w:rPr>
        <w:t xml:space="preserve">critically </w:t>
      </w:r>
      <w:r w:rsidR="006E4364" w:rsidRPr="007F2201">
        <w:rPr>
          <w:rFonts w:ascii="Times New Roman" w:hAnsi="Times New Roman" w:cs="Times New Roman"/>
          <w:sz w:val="24"/>
          <w:szCs w:val="24"/>
        </w:rPr>
        <w:t xml:space="preserve">important task. </w:t>
      </w:r>
    </w:p>
    <w:p w:rsidR="00651B14" w:rsidRPr="007F2201" w:rsidRDefault="00651B14">
      <w:pPr>
        <w:rPr>
          <w:rFonts w:ascii="Times New Roman" w:hAnsi="Times New Roman" w:cs="Times New Roman"/>
          <w:sz w:val="24"/>
          <w:szCs w:val="24"/>
        </w:rPr>
      </w:pPr>
    </w:p>
    <w:p w:rsidR="002169B5" w:rsidRDefault="002169B5">
      <w:pPr>
        <w:rPr>
          <w:rFonts w:ascii="Times New Roman" w:hAnsi="Times New Roman" w:cs="Times New Roman"/>
          <w:sz w:val="24"/>
          <w:szCs w:val="24"/>
        </w:rPr>
      </w:pPr>
    </w:p>
    <w:p w:rsidR="00651B14" w:rsidRPr="007F2201" w:rsidRDefault="00651B14">
      <w:pPr>
        <w:rPr>
          <w:rFonts w:ascii="Times New Roman" w:hAnsi="Times New Roman" w:cs="Times New Roman"/>
          <w:sz w:val="24"/>
          <w:szCs w:val="24"/>
        </w:rPr>
      </w:pPr>
      <w:r w:rsidRPr="007F2201">
        <w:rPr>
          <w:rFonts w:ascii="Times New Roman" w:hAnsi="Times New Roman" w:cs="Times New Roman"/>
          <w:sz w:val="24"/>
          <w:szCs w:val="24"/>
        </w:rPr>
        <w:t>Respectfully Submitted,</w:t>
      </w:r>
    </w:p>
    <w:p w:rsidR="00651B14" w:rsidRPr="007F2201" w:rsidRDefault="00651B14">
      <w:pPr>
        <w:rPr>
          <w:rFonts w:ascii="Times New Roman" w:hAnsi="Times New Roman" w:cs="Times New Roman"/>
          <w:sz w:val="24"/>
          <w:szCs w:val="24"/>
        </w:rPr>
      </w:pPr>
    </w:p>
    <w:p w:rsidR="00651B14" w:rsidRPr="007F2201" w:rsidRDefault="00651B14">
      <w:pPr>
        <w:rPr>
          <w:rFonts w:ascii="Times New Roman" w:hAnsi="Times New Roman" w:cs="Times New Roman"/>
          <w:sz w:val="24"/>
          <w:szCs w:val="24"/>
        </w:rPr>
      </w:pPr>
    </w:p>
    <w:p w:rsidR="00651B14" w:rsidRPr="007F2201" w:rsidRDefault="00651B14">
      <w:pPr>
        <w:rPr>
          <w:rFonts w:ascii="Times New Roman" w:hAnsi="Times New Roman" w:cs="Times New Roman"/>
          <w:sz w:val="24"/>
          <w:szCs w:val="24"/>
        </w:rPr>
      </w:pPr>
      <w:r w:rsidRPr="007F2201">
        <w:rPr>
          <w:rFonts w:ascii="Times New Roman" w:hAnsi="Times New Roman" w:cs="Times New Roman"/>
          <w:sz w:val="24"/>
          <w:szCs w:val="24"/>
        </w:rPr>
        <w:t>Intellectual Property Constituency</w:t>
      </w:r>
    </w:p>
    <w:sectPr w:rsidR="00651B14" w:rsidRPr="007F22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36" w:rsidRDefault="005E6D36">
      <w:r>
        <w:separator/>
      </w:r>
    </w:p>
  </w:endnote>
  <w:endnote w:type="continuationSeparator" w:id="0">
    <w:p w:rsidR="005E6D36" w:rsidRDefault="005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4" w:rsidRPr="00A045AC" w:rsidRDefault="006E4364">
    <w:pPr>
      <w:pStyle w:val="Footer"/>
      <w:tabs>
        <w:tab w:val="clear" w:pos="9360"/>
        <w:tab w:val="right" w:pos="9340"/>
      </w:tabs>
      <w:jc w:val="center"/>
      <w:rPr>
        <w:rFonts w:ascii="Times New Roman" w:hAnsi="Times New Roman" w:cs="Times New Roman"/>
      </w:rPr>
    </w:pPr>
    <w:r w:rsidRPr="00A045AC">
      <w:rPr>
        <w:rFonts w:ascii="Times New Roman" w:hAnsi="Times New Roman" w:cs="Times New Roman"/>
      </w:rPr>
      <w:fldChar w:fldCharType="begin"/>
    </w:r>
    <w:r w:rsidRPr="00A045AC">
      <w:rPr>
        <w:rFonts w:ascii="Times New Roman" w:hAnsi="Times New Roman" w:cs="Times New Roman"/>
      </w:rPr>
      <w:instrText xml:space="preserve"> PAGE </w:instrText>
    </w:r>
    <w:r w:rsidRPr="00A045AC">
      <w:rPr>
        <w:rFonts w:ascii="Times New Roman" w:hAnsi="Times New Roman" w:cs="Times New Roman"/>
      </w:rPr>
      <w:fldChar w:fldCharType="separate"/>
    </w:r>
    <w:r w:rsidR="00B128B7">
      <w:rPr>
        <w:rFonts w:ascii="Times New Roman" w:hAnsi="Times New Roman" w:cs="Times New Roman"/>
        <w:noProof/>
      </w:rPr>
      <w:t>2</w:t>
    </w:r>
    <w:r w:rsidRPr="00A045A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36" w:rsidRDefault="005E6D36">
      <w:r>
        <w:separator/>
      </w:r>
    </w:p>
  </w:footnote>
  <w:footnote w:type="continuationSeparator" w:id="0">
    <w:p w:rsidR="005E6D36" w:rsidRDefault="005E6D36">
      <w:r>
        <w:continuationSeparator/>
      </w:r>
    </w:p>
  </w:footnote>
  <w:footnote w:id="1">
    <w:p w:rsidR="00992DB4" w:rsidRDefault="006E4364">
      <w:pPr>
        <w:pStyle w:val="FootnoteText"/>
      </w:pPr>
      <w:r>
        <w:rPr>
          <w:sz w:val="24"/>
          <w:szCs w:val="24"/>
          <w:vertAlign w:val="superscript"/>
        </w:rPr>
        <w:footnoteRef/>
      </w:r>
      <w:r>
        <w:rPr>
          <w:rFonts w:eastAsia="Arial Unicode MS" w:hAnsi="Arial Unicode MS" w:cs="Arial Unicode MS"/>
        </w:rPr>
        <w:t xml:space="preserve"> New gTLD Program:  Rights Protection Mechanisms Review Draft Report, February 2, 2015 at https://www.icann.org/public-comments/rpm-review-2015-02-02-en.  </w:t>
      </w:r>
    </w:p>
  </w:footnote>
  <w:footnote w:id="2">
    <w:p w:rsidR="00992DB4" w:rsidRDefault="006E4364">
      <w:pPr>
        <w:pStyle w:val="FootnoteText"/>
      </w:pPr>
      <w:r>
        <w:rPr>
          <w:sz w:val="24"/>
          <w:szCs w:val="24"/>
          <w:vertAlign w:val="superscript"/>
        </w:rPr>
        <w:footnoteRef/>
      </w:r>
      <w:r>
        <w:rPr>
          <w:rFonts w:eastAsia="Arial Unicode MS" w:hAnsi="Arial Unicode MS" w:cs="Arial Unicode MS"/>
        </w:rPr>
        <w:t xml:space="preserve"> Report at p. 7. </w:t>
      </w:r>
    </w:p>
  </w:footnote>
  <w:footnote w:id="3">
    <w:p w:rsidR="00992DB4" w:rsidRDefault="006E4364">
      <w:pPr>
        <w:pStyle w:val="FootnoteText"/>
      </w:pPr>
      <w:r>
        <w:rPr>
          <w:sz w:val="24"/>
          <w:szCs w:val="24"/>
          <w:vertAlign w:val="superscript"/>
        </w:rPr>
        <w:footnoteRef/>
      </w:r>
      <w:r>
        <w:rPr>
          <w:rFonts w:eastAsia="Arial Unicode MS" w:hAnsi="Arial Unicode MS" w:cs="Arial Unicode MS"/>
        </w:rPr>
        <w:t xml:space="preserve"> The IPC believes that this data is either incorrect or that ICANN needs to explain its methodology or terminology.  The Trademark-Clearinghouse's most recent update indicates that approximately 250,000 TM Claims have been issued to date.  See http://www.trademark-clearinghouse.com/content/tmch-stats-april-21st-2015.   </w:t>
      </w:r>
    </w:p>
  </w:footnote>
  <w:footnote w:id="4">
    <w:p w:rsidR="00992DB4" w:rsidRDefault="006E4364">
      <w:pPr>
        <w:pStyle w:val="FootnoteText"/>
        <w:jc w:val="both"/>
      </w:pPr>
      <w:r>
        <w:rPr>
          <w:sz w:val="24"/>
          <w:szCs w:val="24"/>
          <w:vertAlign w:val="superscript"/>
        </w:rPr>
        <w:footnoteRef/>
      </w:r>
      <w:r>
        <w:t xml:space="preserve">  Report at 8.</w:t>
      </w:r>
    </w:p>
  </w:footnote>
  <w:footnote w:id="5">
    <w:p w:rsidR="00992DB4" w:rsidRDefault="006E4364">
      <w:pPr>
        <w:spacing w:line="276" w:lineRule="auto"/>
        <w:jc w:val="both"/>
      </w:pPr>
      <w:r>
        <w:rPr>
          <w:rFonts w:ascii="Times New Roman" w:eastAsia="Times New Roman" w:hAnsi="Times New Roman" w:cs="Times New Roman"/>
          <w:sz w:val="24"/>
          <w:szCs w:val="24"/>
          <w:vertAlign w:val="superscript"/>
        </w:rPr>
        <w:footnoteRef/>
      </w:r>
      <w:r>
        <w:rPr>
          <w:rFonts w:ascii="Times New Roman"/>
        </w:rPr>
        <w:t xml:space="preserve"> Id. at 55. </w:t>
      </w:r>
    </w:p>
  </w:footnote>
  <w:footnote w:id="6">
    <w:p w:rsidR="00992DB4" w:rsidRDefault="006E4364">
      <w:pPr>
        <w:pStyle w:val="FootnoteText"/>
        <w:jc w:val="both"/>
      </w:pPr>
      <w:r>
        <w:rPr>
          <w:sz w:val="24"/>
          <w:szCs w:val="24"/>
          <w:vertAlign w:val="superscript"/>
        </w:rPr>
        <w:footnoteRef/>
      </w:r>
      <w:r>
        <w:t xml:space="preserve">  Id. at 59.  </w:t>
      </w:r>
    </w:p>
  </w:footnote>
  <w:footnote w:id="7">
    <w:p w:rsidR="00992DB4" w:rsidRDefault="006E4364">
      <w:pPr>
        <w:pStyle w:val="FootnoteText"/>
      </w:pPr>
      <w:r>
        <w:rPr>
          <w:sz w:val="24"/>
          <w:szCs w:val="24"/>
          <w:vertAlign w:val="superscript"/>
        </w:rPr>
        <w:footnoteRef/>
      </w:r>
      <w:r>
        <w:rPr>
          <w:rFonts w:eastAsia="Arial Unicode MS" w:hAnsi="Arial Unicode MS" w:cs="Arial Unicode MS"/>
        </w:rPr>
        <w:t xml:space="preserve"> </w:t>
      </w:r>
      <w:hyperlink r:id="rId1" w:history="1">
        <w:r w:rsidR="00E279D0" w:rsidRPr="00D45C70">
          <w:rPr>
            <w:rStyle w:val="Hyperlink"/>
            <w:rFonts w:eastAsia="Arial Unicode MS" w:hAnsi="Arial Unicode MS" w:cs="Arial Unicode MS"/>
          </w:rPr>
          <w:t>http://www.donuts.domains/services/dpml/dpml-faqs</w:t>
        </w:r>
      </w:hyperlink>
      <w:r>
        <w:rPr>
          <w:rFonts w:eastAsia="Arial Unicode MS" w:hAnsi="Arial Unicode MS" w:cs="Arial Unicode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4" w:rsidRPr="007F2201" w:rsidRDefault="00992DB4" w:rsidP="007F2201">
    <w:pPr>
      <w:pStyle w:val="Header"/>
      <w:tabs>
        <w:tab w:val="clear" w:pos="9360"/>
        <w:tab w:val="right" w:pos="9340"/>
      </w:tabs>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58"/>
    <w:multiLevelType w:val="multilevel"/>
    <w:tmpl w:val="298C36FA"/>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
    <w:nsid w:val="1028790D"/>
    <w:multiLevelType w:val="multilevel"/>
    <w:tmpl w:val="255204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51C15A6"/>
    <w:multiLevelType w:val="multilevel"/>
    <w:tmpl w:val="57DC113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C9E708E"/>
    <w:multiLevelType w:val="multilevel"/>
    <w:tmpl w:val="70304E5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nsid w:val="300B4285"/>
    <w:multiLevelType w:val="multilevel"/>
    <w:tmpl w:val="352E74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418004DE"/>
    <w:multiLevelType w:val="multilevel"/>
    <w:tmpl w:val="B9E65F16"/>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44275723"/>
    <w:multiLevelType w:val="multilevel"/>
    <w:tmpl w:val="3D460838"/>
    <w:styleLink w:val="List0"/>
    <w:lvl w:ilvl="0">
      <w:start w:val="1"/>
      <w:numFmt w:val="decimal"/>
      <w:lvlText w:val="%1."/>
      <w:lvlJc w:val="left"/>
      <w:pPr>
        <w:tabs>
          <w:tab w:val="num" w:pos="450"/>
        </w:tabs>
        <w:ind w:left="450" w:hanging="360"/>
      </w:pPr>
      <w:rPr>
        <w:position w:val="0"/>
        <w:sz w:val="24"/>
        <w:szCs w:val="24"/>
      </w:rPr>
    </w:lvl>
    <w:lvl w:ilvl="1">
      <w:start w:val="1"/>
      <w:numFmt w:val="lowerLetter"/>
      <w:lvlText w:val="%2."/>
      <w:lvlJc w:val="left"/>
      <w:pPr>
        <w:tabs>
          <w:tab w:val="num" w:pos="1170"/>
        </w:tabs>
        <w:ind w:left="1170" w:hanging="360"/>
      </w:pPr>
      <w:rPr>
        <w:position w:val="0"/>
        <w:sz w:val="24"/>
        <w:szCs w:val="24"/>
      </w:rPr>
    </w:lvl>
    <w:lvl w:ilvl="2">
      <w:start w:val="1"/>
      <w:numFmt w:val="lowerRoman"/>
      <w:lvlText w:val="%3."/>
      <w:lvlJc w:val="left"/>
      <w:pPr>
        <w:tabs>
          <w:tab w:val="num" w:pos="1890"/>
        </w:tabs>
        <w:ind w:left="1890" w:hanging="296"/>
      </w:pPr>
      <w:rPr>
        <w:position w:val="0"/>
        <w:sz w:val="24"/>
        <w:szCs w:val="24"/>
      </w:rPr>
    </w:lvl>
    <w:lvl w:ilvl="3">
      <w:start w:val="1"/>
      <w:numFmt w:val="decimal"/>
      <w:lvlText w:val="%4."/>
      <w:lvlJc w:val="left"/>
      <w:pPr>
        <w:tabs>
          <w:tab w:val="num" w:pos="2610"/>
        </w:tabs>
        <w:ind w:left="2610" w:hanging="360"/>
      </w:pPr>
      <w:rPr>
        <w:position w:val="0"/>
        <w:sz w:val="24"/>
        <w:szCs w:val="24"/>
      </w:rPr>
    </w:lvl>
    <w:lvl w:ilvl="4">
      <w:start w:val="1"/>
      <w:numFmt w:val="lowerLetter"/>
      <w:lvlText w:val="%5."/>
      <w:lvlJc w:val="left"/>
      <w:pPr>
        <w:tabs>
          <w:tab w:val="num" w:pos="3330"/>
        </w:tabs>
        <w:ind w:left="3330" w:hanging="360"/>
      </w:pPr>
      <w:rPr>
        <w:position w:val="0"/>
        <w:sz w:val="24"/>
        <w:szCs w:val="24"/>
      </w:rPr>
    </w:lvl>
    <w:lvl w:ilvl="5">
      <w:start w:val="1"/>
      <w:numFmt w:val="lowerRoman"/>
      <w:lvlText w:val="%6."/>
      <w:lvlJc w:val="left"/>
      <w:pPr>
        <w:tabs>
          <w:tab w:val="num" w:pos="4050"/>
        </w:tabs>
        <w:ind w:left="4050" w:hanging="296"/>
      </w:pPr>
      <w:rPr>
        <w:position w:val="0"/>
        <w:sz w:val="24"/>
        <w:szCs w:val="24"/>
      </w:rPr>
    </w:lvl>
    <w:lvl w:ilvl="6">
      <w:start w:val="1"/>
      <w:numFmt w:val="decimal"/>
      <w:lvlText w:val="%7."/>
      <w:lvlJc w:val="left"/>
      <w:pPr>
        <w:tabs>
          <w:tab w:val="num" w:pos="4770"/>
        </w:tabs>
        <w:ind w:left="4770" w:hanging="360"/>
      </w:pPr>
      <w:rPr>
        <w:position w:val="0"/>
        <w:sz w:val="24"/>
        <w:szCs w:val="24"/>
      </w:rPr>
    </w:lvl>
    <w:lvl w:ilvl="7">
      <w:start w:val="1"/>
      <w:numFmt w:val="lowerLetter"/>
      <w:lvlText w:val="%8."/>
      <w:lvlJc w:val="left"/>
      <w:pPr>
        <w:tabs>
          <w:tab w:val="num" w:pos="5490"/>
        </w:tabs>
        <w:ind w:left="5490" w:hanging="360"/>
      </w:pPr>
      <w:rPr>
        <w:position w:val="0"/>
        <w:sz w:val="24"/>
        <w:szCs w:val="24"/>
      </w:rPr>
    </w:lvl>
    <w:lvl w:ilvl="8">
      <w:start w:val="1"/>
      <w:numFmt w:val="lowerRoman"/>
      <w:lvlText w:val="%9."/>
      <w:lvlJc w:val="left"/>
      <w:pPr>
        <w:tabs>
          <w:tab w:val="num" w:pos="6210"/>
        </w:tabs>
        <w:ind w:left="6210" w:hanging="296"/>
      </w:pPr>
      <w:rPr>
        <w:position w:val="0"/>
        <w:sz w:val="24"/>
        <w:szCs w:val="24"/>
      </w:rPr>
    </w:lvl>
  </w:abstractNum>
  <w:abstractNum w:abstractNumId="7">
    <w:nsid w:val="518637AD"/>
    <w:multiLevelType w:val="multilevel"/>
    <w:tmpl w:val="47DE990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nsid w:val="51F4510C"/>
    <w:multiLevelType w:val="multilevel"/>
    <w:tmpl w:val="003A276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nsid w:val="54673912"/>
    <w:multiLevelType w:val="multilevel"/>
    <w:tmpl w:val="6CB490B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C501FF4"/>
    <w:multiLevelType w:val="multilevel"/>
    <w:tmpl w:val="87A8DC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C86576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62411E3A"/>
    <w:multiLevelType w:val="multilevel"/>
    <w:tmpl w:val="BE0E91FE"/>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6CAB3B67"/>
    <w:multiLevelType w:val="multilevel"/>
    <w:tmpl w:val="17521AE8"/>
    <w:styleLink w:val="List2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71F503B9"/>
    <w:multiLevelType w:val="multilevel"/>
    <w:tmpl w:val="DFF0BEC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4"/>
  </w:num>
  <w:num w:numId="3">
    <w:abstractNumId w:val="6"/>
  </w:num>
  <w:num w:numId="4">
    <w:abstractNumId w:val="8"/>
  </w:num>
  <w:num w:numId="5">
    <w:abstractNumId w:val="9"/>
  </w:num>
  <w:num w:numId="6">
    <w:abstractNumId w:val="12"/>
  </w:num>
  <w:num w:numId="7">
    <w:abstractNumId w:val="3"/>
  </w:num>
  <w:num w:numId="8">
    <w:abstractNumId w:val="2"/>
  </w:num>
  <w:num w:numId="9">
    <w:abstractNumId w:val="13"/>
  </w:num>
  <w:num w:numId="10">
    <w:abstractNumId w:val="7"/>
  </w:num>
  <w:num w:numId="11">
    <w:abstractNumId w:val="14"/>
  </w:num>
  <w:num w:numId="12">
    <w:abstractNumId w:val="5"/>
  </w:num>
  <w:num w:numId="13">
    <w:abstractNumId w:val="10"/>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B4"/>
    <w:rsid w:val="00142670"/>
    <w:rsid w:val="001B15B3"/>
    <w:rsid w:val="002169B5"/>
    <w:rsid w:val="002A09CC"/>
    <w:rsid w:val="00311842"/>
    <w:rsid w:val="00312C56"/>
    <w:rsid w:val="00332877"/>
    <w:rsid w:val="00333202"/>
    <w:rsid w:val="00391A27"/>
    <w:rsid w:val="00392C7E"/>
    <w:rsid w:val="003F317C"/>
    <w:rsid w:val="004538DD"/>
    <w:rsid w:val="005075AD"/>
    <w:rsid w:val="005B2889"/>
    <w:rsid w:val="005E6D36"/>
    <w:rsid w:val="00636368"/>
    <w:rsid w:val="00646DCC"/>
    <w:rsid w:val="00651B14"/>
    <w:rsid w:val="006657AC"/>
    <w:rsid w:val="006E42BC"/>
    <w:rsid w:val="006E4364"/>
    <w:rsid w:val="007F2201"/>
    <w:rsid w:val="00800F25"/>
    <w:rsid w:val="0082535A"/>
    <w:rsid w:val="0087280A"/>
    <w:rsid w:val="0088737A"/>
    <w:rsid w:val="008F3D03"/>
    <w:rsid w:val="00941F15"/>
    <w:rsid w:val="00992DB4"/>
    <w:rsid w:val="009A1438"/>
    <w:rsid w:val="009B4584"/>
    <w:rsid w:val="009E699E"/>
    <w:rsid w:val="009F174B"/>
    <w:rsid w:val="009F50BF"/>
    <w:rsid w:val="00A045AC"/>
    <w:rsid w:val="00AB7011"/>
    <w:rsid w:val="00B128B7"/>
    <w:rsid w:val="00B30765"/>
    <w:rsid w:val="00B848F4"/>
    <w:rsid w:val="00B93E15"/>
    <w:rsid w:val="00BA75D9"/>
    <w:rsid w:val="00C81845"/>
    <w:rsid w:val="00C96969"/>
    <w:rsid w:val="00CA1AEA"/>
    <w:rsid w:val="00D04EB8"/>
    <w:rsid w:val="00D31F66"/>
    <w:rsid w:val="00D33861"/>
    <w:rsid w:val="00D6002F"/>
    <w:rsid w:val="00D654EB"/>
    <w:rsid w:val="00DA655F"/>
    <w:rsid w:val="00E279D0"/>
    <w:rsid w:val="00EC0382"/>
    <w:rsid w:val="00F6115E"/>
    <w:rsid w:val="00FC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rPr>
  </w:style>
  <w:style w:type="paragraph" w:styleId="Heading1">
    <w:name w:val="heading 1"/>
    <w:basedOn w:val="Normal"/>
    <w:next w:val="Normal"/>
    <w:link w:val="Heading1Char"/>
    <w:uiPriority w:val="9"/>
    <w:qFormat/>
    <w:rsid w:val="0082535A"/>
    <w:pPr>
      <w:numPr>
        <w:numId w:val="15"/>
      </w:numPr>
      <w:outlineLvl w:val="0"/>
    </w:pPr>
    <w:rPr>
      <w:rFonts w:ascii="Times New Roman"/>
      <w:b/>
      <w:bCs/>
      <w:sz w:val="24"/>
      <w:szCs w:val="24"/>
    </w:rPr>
  </w:style>
  <w:style w:type="paragraph" w:styleId="Heading2">
    <w:name w:val="heading 2"/>
    <w:basedOn w:val="Normal"/>
    <w:next w:val="Normal"/>
    <w:link w:val="Heading2Char"/>
    <w:uiPriority w:val="9"/>
    <w:unhideWhenUsed/>
    <w:qFormat/>
    <w:rsid w:val="0082535A"/>
    <w:pPr>
      <w:numPr>
        <w:ilvl w:val="1"/>
        <w:numId w:val="15"/>
      </w:numPr>
      <w:outlineLvl w:val="1"/>
    </w:pPr>
    <w:rPr>
      <w:rFonts w:ascii="Times New Roman"/>
      <w:sz w:val="24"/>
      <w:szCs w:val="24"/>
      <w:u w:val="single"/>
    </w:rPr>
  </w:style>
  <w:style w:type="paragraph" w:styleId="Heading3">
    <w:name w:val="heading 3"/>
    <w:basedOn w:val="Normal"/>
    <w:next w:val="Normal"/>
    <w:link w:val="Heading3Char"/>
    <w:uiPriority w:val="9"/>
    <w:unhideWhenUsed/>
    <w:qFormat/>
    <w:rsid w:val="0082535A"/>
    <w:pPr>
      <w:numPr>
        <w:ilvl w:val="2"/>
        <w:numId w:val="15"/>
      </w:num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82535A"/>
    <w:pPr>
      <w:keepNext/>
      <w:keepLines/>
      <w:numPr>
        <w:ilvl w:val="3"/>
        <w:numId w:val="15"/>
      </w:numPr>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82535A"/>
    <w:pPr>
      <w:keepNext/>
      <w:keepLines/>
      <w:numPr>
        <w:ilvl w:val="4"/>
        <w:numId w:val="15"/>
      </w:numPr>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82535A"/>
    <w:pPr>
      <w:keepNext/>
      <w:keepLines/>
      <w:numPr>
        <w:ilvl w:val="5"/>
        <w:numId w:val="15"/>
      </w:numPr>
      <w:spacing w:before="20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82535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35A"/>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2535A"/>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u w:color="000000"/>
    </w:rPr>
  </w:style>
  <w:style w:type="paragraph" w:styleId="Footer">
    <w:name w:val="footer"/>
    <w:pPr>
      <w:tabs>
        <w:tab w:val="center" w:pos="4680"/>
        <w:tab w:val="right" w:pos="9360"/>
      </w:tabs>
    </w:pPr>
    <w:rPr>
      <w:rFonts w:ascii="Calibri" w:eastAsia="Calibri" w:hAnsi="Calibri" w:cs="Calibri"/>
      <w:color w:val="000000"/>
      <w:u w:color="000000"/>
    </w:rPr>
  </w:style>
  <w:style w:type="paragraph" w:styleId="FootnoteText">
    <w:name w:val="footnote text"/>
    <w:pPr>
      <w:suppressAutoHyphens/>
    </w:pPr>
    <w:rPr>
      <w:rFonts w:eastAsia="Times New Roman"/>
      <w:color w:val="000000"/>
      <w:u w:color="000000"/>
    </w:rPr>
  </w:style>
  <w:style w:type="paragraph" w:styleId="PlainText">
    <w:name w:val="Plain Text"/>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u w:color="000000"/>
    </w:rPr>
  </w:style>
  <w:style w:type="paragraph" w:customStyle="1" w:styleId="DocID">
    <w:name w:val="DocID"/>
    <w:basedOn w:val="Normal"/>
    <w:next w:val="Footer"/>
    <w:link w:val="DocIDChar"/>
    <w:pPr>
      <w:jc w:val="right"/>
    </w:pPr>
    <w:rPr>
      <w:rFonts w:ascii="Arial" w:eastAsia="Times New Roman" w:hAnsi="Arial" w:cs="Arial"/>
      <w:sz w:val="16"/>
      <w:szCs w:val="24"/>
    </w:rPr>
  </w:style>
  <w:style w:type="character" w:customStyle="1" w:styleId="DocIDChar">
    <w:name w:val="DocID Char"/>
    <w:basedOn w:val="DefaultParagraphFont"/>
    <w:link w:val="DocID"/>
    <w:rPr>
      <w:rFonts w:ascii="Arial" w:eastAsia="Times New Roman" w:hAnsi="Arial" w:cs="Arial"/>
      <w:color w:val="000000"/>
      <w:sz w:val="16"/>
      <w:szCs w:val="24"/>
      <w:u w:color="000000"/>
    </w:rPr>
  </w:style>
  <w:style w:type="character" w:customStyle="1" w:styleId="Heading1Char">
    <w:name w:val="Heading 1 Char"/>
    <w:basedOn w:val="DefaultParagraphFont"/>
    <w:link w:val="Heading1"/>
    <w:uiPriority w:val="9"/>
    <w:rsid w:val="0082535A"/>
    <w:rPr>
      <w:rFonts w:eastAsia="Calibri" w:hAnsi="Calibri" w:cs="Calibri"/>
      <w:b/>
      <w:bCs/>
      <w:color w:val="000000"/>
      <w:sz w:val="24"/>
      <w:szCs w:val="24"/>
      <w:u w:color="000000"/>
    </w:rPr>
  </w:style>
  <w:style w:type="paragraph" w:styleId="Revision">
    <w:name w:val="Revision"/>
    <w:hidden/>
    <w:uiPriority w:val="99"/>
    <w:semiHidden/>
    <w:rPr>
      <w:rFonts w:ascii="Calibri" w:eastAsia="Calibri" w:hAnsi="Calibri" w:cs="Calibri"/>
      <w:color w:val="000000"/>
      <w:u w:color="000000"/>
    </w:rPr>
  </w:style>
  <w:style w:type="character" w:customStyle="1" w:styleId="Heading2Char">
    <w:name w:val="Heading 2 Char"/>
    <w:basedOn w:val="DefaultParagraphFont"/>
    <w:link w:val="Heading2"/>
    <w:uiPriority w:val="9"/>
    <w:rsid w:val="0082535A"/>
    <w:rPr>
      <w:rFonts w:eastAsia="Calibri" w:hAnsi="Calibri" w:cs="Calibri"/>
      <w:color w:val="000000"/>
      <w:sz w:val="24"/>
      <w:szCs w:val="24"/>
      <w:u w:val="single" w:color="000000"/>
    </w:rPr>
  </w:style>
  <w:style w:type="character" w:customStyle="1" w:styleId="Heading3Char">
    <w:name w:val="Heading 3 Char"/>
    <w:basedOn w:val="DefaultParagraphFont"/>
    <w:link w:val="Heading3"/>
    <w:uiPriority w:val="9"/>
    <w:rsid w:val="0082535A"/>
    <w:rPr>
      <w:rFonts w:eastAsia="Calibri"/>
      <w:b/>
      <w:bCs/>
      <w:color w:val="000000"/>
      <w:sz w:val="24"/>
      <w:szCs w:val="24"/>
      <w:u w:color="000000"/>
    </w:rPr>
  </w:style>
  <w:style w:type="character" w:customStyle="1" w:styleId="Heading4Char">
    <w:name w:val="Heading 4 Char"/>
    <w:basedOn w:val="DefaultParagraphFont"/>
    <w:link w:val="Heading4"/>
    <w:uiPriority w:val="9"/>
    <w:semiHidden/>
    <w:rsid w:val="0082535A"/>
    <w:rPr>
      <w:rFonts w:asciiTheme="majorHAnsi" w:eastAsiaTheme="majorEastAsia" w:hAnsiTheme="majorHAnsi" w:cstheme="majorBidi"/>
      <w:b/>
      <w:bCs/>
      <w:i/>
      <w:iCs/>
      <w:color w:val="499BC9" w:themeColor="accent1"/>
      <w:u w:color="000000"/>
    </w:rPr>
  </w:style>
  <w:style w:type="character" w:customStyle="1" w:styleId="Heading5Char">
    <w:name w:val="Heading 5 Char"/>
    <w:basedOn w:val="DefaultParagraphFont"/>
    <w:link w:val="Heading5"/>
    <w:uiPriority w:val="9"/>
    <w:semiHidden/>
    <w:rsid w:val="0082535A"/>
    <w:rPr>
      <w:rFonts w:asciiTheme="majorHAnsi" w:eastAsiaTheme="majorEastAsia" w:hAnsiTheme="majorHAnsi" w:cstheme="majorBidi"/>
      <w:color w:val="1F4E69" w:themeColor="accent1" w:themeShade="7F"/>
      <w:u w:color="000000"/>
    </w:rPr>
  </w:style>
  <w:style w:type="character" w:customStyle="1" w:styleId="Heading6Char">
    <w:name w:val="Heading 6 Char"/>
    <w:basedOn w:val="DefaultParagraphFont"/>
    <w:link w:val="Heading6"/>
    <w:uiPriority w:val="9"/>
    <w:semiHidden/>
    <w:rsid w:val="0082535A"/>
    <w:rPr>
      <w:rFonts w:asciiTheme="majorHAnsi" w:eastAsiaTheme="majorEastAsia" w:hAnsiTheme="majorHAnsi" w:cstheme="majorBidi"/>
      <w:i/>
      <w:iCs/>
      <w:color w:val="1F4E69" w:themeColor="accent1" w:themeShade="7F"/>
      <w:u w:color="000000"/>
    </w:rPr>
  </w:style>
  <w:style w:type="character" w:customStyle="1" w:styleId="Heading7Char">
    <w:name w:val="Heading 7 Char"/>
    <w:basedOn w:val="DefaultParagraphFont"/>
    <w:link w:val="Heading7"/>
    <w:uiPriority w:val="9"/>
    <w:semiHidden/>
    <w:rsid w:val="0082535A"/>
    <w:rPr>
      <w:rFonts w:asciiTheme="majorHAnsi" w:eastAsiaTheme="majorEastAsia" w:hAnsiTheme="majorHAnsi" w:cstheme="majorBidi"/>
      <w:i/>
      <w:iCs/>
      <w:color w:val="404040" w:themeColor="text1" w:themeTint="BF"/>
      <w:u w:color="000000"/>
    </w:rPr>
  </w:style>
  <w:style w:type="character" w:customStyle="1" w:styleId="Heading8Char">
    <w:name w:val="Heading 8 Char"/>
    <w:basedOn w:val="DefaultParagraphFont"/>
    <w:link w:val="Heading8"/>
    <w:uiPriority w:val="9"/>
    <w:semiHidden/>
    <w:rsid w:val="0082535A"/>
    <w:rPr>
      <w:rFonts w:asciiTheme="majorHAnsi" w:eastAsiaTheme="majorEastAsia" w:hAnsiTheme="majorHAnsi" w:cstheme="majorBidi"/>
      <w:color w:val="404040" w:themeColor="text1" w:themeTint="BF"/>
      <w:u w:color="000000"/>
    </w:rPr>
  </w:style>
  <w:style w:type="character" w:customStyle="1" w:styleId="Heading9Char">
    <w:name w:val="Heading 9 Char"/>
    <w:basedOn w:val="DefaultParagraphFont"/>
    <w:link w:val="Heading9"/>
    <w:uiPriority w:val="9"/>
    <w:semiHidden/>
    <w:rsid w:val="0082535A"/>
    <w:rPr>
      <w:rFonts w:asciiTheme="majorHAnsi" w:eastAsiaTheme="majorEastAsia" w:hAnsiTheme="majorHAnsi" w:cstheme="majorBidi"/>
      <w:i/>
      <w:iCs/>
      <w:color w:val="404040" w:themeColor="text1" w:themeTint="BF"/>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rPr>
  </w:style>
  <w:style w:type="paragraph" w:styleId="Heading1">
    <w:name w:val="heading 1"/>
    <w:basedOn w:val="Normal"/>
    <w:next w:val="Normal"/>
    <w:link w:val="Heading1Char"/>
    <w:uiPriority w:val="9"/>
    <w:qFormat/>
    <w:rsid w:val="0082535A"/>
    <w:pPr>
      <w:numPr>
        <w:numId w:val="15"/>
      </w:numPr>
      <w:outlineLvl w:val="0"/>
    </w:pPr>
    <w:rPr>
      <w:rFonts w:ascii="Times New Roman"/>
      <w:b/>
      <w:bCs/>
      <w:sz w:val="24"/>
      <w:szCs w:val="24"/>
    </w:rPr>
  </w:style>
  <w:style w:type="paragraph" w:styleId="Heading2">
    <w:name w:val="heading 2"/>
    <w:basedOn w:val="Normal"/>
    <w:next w:val="Normal"/>
    <w:link w:val="Heading2Char"/>
    <w:uiPriority w:val="9"/>
    <w:unhideWhenUsed/>
    <w:qFormat/>
    <w:rsid w:val="0082535A"/>
    <w:pPr>
      <w:numPr>
        <w:ilvl w:val="1"/>
        <w:numId w:val="15"/>
      </w:numPr>
      <w:outlineLvl w:val="1"/>
    </w:pPr>
    <w:rPr>
      <w:rFonts w:ascii="Times New Roman"/>
      <w:sz w:val="24"/>
      <w:szCs w:val="24"/>
      <w:u w:val="single"/>
    </w:rPr>
  </w:style>
  <w:style w:type="paragraph" w:styleId="Heading3">
    <w:name w:val="heading 3"/>
    <w:basedOn w:val="Normal"/>
    <w:next w:val="Normal"/>
    <w:link w:val="Heading3Char"/>
    <w:uiPriority w:val="9"/>
    <w:unhideWhenUsed/>
    <w:qFormat/>
    <w:rsid w:val="0082535A"/>
    <w:pPr>
      <w:numPr>
        <w:ilvl w:val="2"/>
        <w:numId w:val="15"/>
      </w:num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82535A"/>
    <w:pPr>
      <w:keepNext/>
      <w:keepLines/>
      <w:numPr>
        <w:ilvl w:val="3"/>
        <w:numId w:val="15"/>
      </w:numPr>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82535A"/>
    <w:pPr>
      <w:keepNext/>
      <w:keepLines/>
      <w:numPr>
        <w:ilvl w:val="4"/>
        <w:numId w:val="15"/>
      </w:numPr>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82535A"/>
    <w:pPr>
      <w:keepNext/>
      <w:keepLines/>
      <w:numPr>
        <w:ilvl w:val="5"/>
        <w:numId w:val="15"/>
      </w:numPr>
      <w:spacing w:before="20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82535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35A"/>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2535A"/>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u w:color="000000"/>
    </w:rPr>
  </w:style>
  <w:style w:type="paragraph" w:styleId="Footer">
    <w:name w:val="footer"/>
    <w:pPr>
      <w:tabs>
        <w:tab w:val="center" w:pos="4680"/>
        <w:tab w:val="right" w:pos="9360"/>
      </w:tabs>
    </w:pPr>
    <w:rPr>
      <w:rFonts w:ascii="Calibri" w:eastAsia="Calibri" w:hAnsi="Calibri" w:cs="Calibri"/>
      <w:color w:val="000000"/>
      <w:u w:color="000000"/>
    </w:rPr>
  </w:style>
  <w:style w:type="paragraph" w:styleId="FootnoteText">
    <w:name w:val="footnote text"/>
    <w:pPr>
      <w:suppressAutoHyphens/>
    </w:pPr>
    <w:rPr>
      <w:rFonts w:eastAsia="Times New Roman"/>
      <w:color w:val="000000"/>
      <w:u w:color="000000"/>
    </w:rPr>
  </w:style>
  <w:style w:type="paragraph" w:styleId="PlainText">
    <w:name w:val="Plain Text"/>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u w:color="000000"/>
    </w:rPr>
  </w:style>
  <w:style w:type="paragraph" w:customStyle="1" w:styleId="DocID">
    <w:name w:val="DocID"/>
    <w:basedOn w:val="Normal"/>
    <w:next w:val="Footer"/>
    <w:link w:val="DocIDChar"/>
    <w:pPr>
      <w:jc w:val="right"/>
    </w:pPr>
    <w:rPr>
      <w:rFonts w:ascii="Arial" w:eastAsia="Times New Roman" w:hAnsi="Arial" w:cs="Arial"/>
      <w:sz w:val="16"/>
      <w:szCs w:val="24"/>
    </w:rPr>
  </w:style>
  <w:style w:type="character" w:customStyle="1" w:styleId="DocIDChar">
    <w:name w:val="DocID Char"/>
    <w:basedOn w:val="DefaultParagraphFont"/>
    <w:link w:val="DocID"/>
    <w:rPr>
      <w:rFonts w:ascii="Arial" w:eastAsia="Times New Roman" w:hAnsi="Arial" w:cs="Arial"/>
      <w:color w:val="000000"/>
      <w:sz w:val="16"/>
      <w:szCs w:val="24"/>
      <w:u w:color="000000"/>
    </w:rPr>
  </w:style>
  <w:style w:type="character" w:customStyle="1" w:styleId="Heading1Char">
    <w:name w:val="Heading 1 Char"/>
    <w:basedOn w:val="DefaultParagraphFont"/>
    <w:link w:val="Heading1"/>
    <w:uiPriority w:val="9"/>
    <w:rsid w:val="0082535A"/>
    <w:rPr>
      <w:rFonts w:eastAsia="Calibri" w:hAnsi="Calibri" w:cs="Calibri"/>
      <w:b/>
      <w:bCs/>
      <w:color w:val="000000"/>
      <w:sz w:val="24"/>
      <w:szCs w:val="24"/>
      <w:u w:color="000000"/>
    </w:rPr>
  </w:style>
  <w:style w:type="paragraph" w:styleId="Revision">
    <w:name w:val="Revision"/>
    <w:hidden/>
    <w:uiPriority w:val="99"/>
    <w:semiHidden/>
    <w:rPr>
      <w:rFonts w:ascii="Calibri" w:eastAsia="Calibri" w:hAnsi="Calibri" w:cs="Calibri"/>
      <w:color w:val="000000"/>
      <w:u w:color="000000"/>
    </w:rPr>
  </w:style>
  <w:style w:type="character" w:customStyle="1" w:styleId="Heading2Char">
    <w:name w:val="Heading 2 Char"/>
    <w:basedOn w:val="DefaultParagraphFont"/>
    <w:link w:val="Heading2"/>
    <w:uiPriority w:val="9"/>
    <w:rsid w:val="0082535A"/>
    <w:rPr>
      <w:rFonts w:eastAsia="Calibri" w:hAnsi="Calibri" w:cs="Calibri"/>
      <w:color w:val="000000"/>
      <w:sz w:val="24"/>
      <w:szCs w:val="24"/>
      <w:u w:val="single" w:color="000000"/>
    </w:rPr>
  </w:style>
  <w:style w:type="character" w:customStyle="1" w:styleId="Heading3Char">
    <w:name w:val="Heading 3 Char"/>
    <w:basedOn w:val="DefaultParagraphFont"/>
    <w:link w:val="Heading3"/>
    <w:uiPriority w:val="9"/>
    <w:rsid w:val="0082535A"/>
    <w:rPr>
      <w:rFonts w:eastAsia="Calibri"/>
      <w:b/>
      <w:bCs/>
      <w:color w:val="000000"/>
      <w:sz w:val="24"/>
      <w:szCs w:val="24"/>
      <w:u w:color="000000"/>
    </w:rPr>
  </w:style>
  <w:style w:type="character" w:customStyle="1" w:styleId="Heading4Char">
    <w:name w:val="Heading 4 Char"/>
    <w:basedOn w:val="DefaultParagraphFont"/>
    <w:link w:val="Heading4"/>
    <w:uiPriority w:val="9"/>
    <w:semiHidden/>
    <w:rsid w:val="0082535A"/>
    <w:rPr>
      <w:rFonts w:asciiTheme="majorHAnsi" w:eastAsiaTheme="majorEastAsia" w:hAnsiTheme="majorHAnsi" w:cstheme="majorBidi"/>
      <w:b/>
      <w:bCs/>
      <w:i/>
      <w:iCs/>
      <w:color w:val="499BC9" w:themeColor="accent1"/>
      <w:u w:color="000000"/>
    </w:rPr>
  </w:style>
  <w:style w:type="character" w:customStyle="1" w:styleId="Heading5Char">
    <w:name w:val="Heading 5 Char"/>
    <w:basedOn w:val="DefaultParagraphFont"/>
    <w:link w:val="Heading5"/>
    <w:uiPriority w:val="9"/>
    <w:semiHidden/>
    <w:rsid w:val="0082535A"/>
    <w:rPr>
      <w:rFonts w:asciiTheme="majorHAnsi" w:eastAsiaTheme="majorEastAsia" w:hAnsiTheme="majorHAnsi" w:cstheme="majorBidi"/>
      <w:color w:val="1F4E69" w:themeColor="accent1" w:themeShade="7F"/>
      <w:u w:color="000000"/>
    </w:rPr>
  </w:style>
  <w:style w:type="character" w:customStyle="1" w:styleId="Heading6Char">
    <w:name w:val="Heading 6 Char"/>
    <w:basedOn w:val="DefaultParagraphFont"/>
    <w:link w:val="Heading6"/>
    <w:uiPriority w:val="9"/>
    <w:semiHidden/>
    <w:rsid w:val="0082535A"/>
    <w:rPr>
      <w:rFonts w:asciiTheme="majorHAnsi" w:eastAsiaTheme="majorEastAsia" w:hAnsiTheme="majorHAnsi" w:cstheme="majorBidi"/>
      <w:i/>
      <w:iCs/>
      <w:color w:val="1F4E69" w:themeColor="accent1" w:themeShade="7F"/>
      <w:u w:color="000000"/>
    </w:rPr>
  </w:style>
  <w:style w:type="character" w:customStyle="1" w:styleId="Heading7Char">
    <w:name w:val="Heading 7 Char"/>
    <w:basedOn w:val="DefaultParagraphFont"/>
    <w:link w:val="Heading7"/>
    <w:uiPriority w:val="9"/>
    <w:semiHidden/>
    <w:rsid w:val="0082535A"/>
    <w:rPr>
      <w:rFonts w:asciiTheme="majorHAnsi" w:eastAsiaTheme="majorEastAsia" w:hAnsiTheme="majorHAnsi" w:cstheme="majorBidi"/>
      <w:i/>
      <w:iCs/>
      <w:color w:val="404040" w:themeColor="text1" w:themeTint="BF"/>
      <w:u w:color="000000"/>
    </w:rPr>
  </w:style>
  <w:style w:type="character" w:customStyle="1" w:styleId="Heading8Char">
    <w:name w:val="Heading 8 Char"/>
    <w:basedOn w:val="DefaultParagraphFont"/>
    <w:link w:val="Heading8"/>
    <w:uiPriority w:val="9"/>
    <w:semiHidden/>
    <w:rsid w:val="0082535A"/>
    <w:rPr>
      <w:rFonts w:asciiTheme="majorHAnsi" w:eastAsiaTheme="majorEastAsia" w:hAnsiTheme="majorHAnsi" w:cstheme="majorBidi"/>
      <w:color w:val="404040" w:themeColor="text1" w:themeTint="BF"/>
      <w:u w:color="000000"/>
    </w:rPr>
  </w:style>
  <w:style w:type="character" w:customStyle="1" w:styleId="Heading9Char">
    <w:name w:val="Heading 9 Char"/>
    <w:basedOn w:val="DefaultParagraphFont"/>
    <w:link w:val="Heading9"/>
    <w:uiPriority w:val="9"/>
    <w:semiHidden/>
    <w:rsid w:val="0082535A"/>
    <w:rPr>
      <w:rFonts w:asciiTheme="majorHAnsi" w:eastAsiaTheme="majorEastAsia" w:hAnsiTheme="majorHAnsi" w:cstheme="majorBidi"/>
      <w:i/>
      <w:iCs/>
      <w:color w:val="404040" w:themeColor="text1" w:themeTint="BF"/>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onuts.domains/services/dpml/dpml-faq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939B-7C90-494A-B83F-F621E54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Shatan</cp:lastModifiedBy>
  <cp:revision>2</cp:revision>
  <dcterms:created xsi:type="dcterms:W3CDTF">2015-05-01T23:33:00Z</dcterms:created>
  <dcterms:modified xsi:type="dcterms:W3CDTF">2015-05-01T23:33:00Z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SGR/12985120.4</vt:lpwstr>
  </property>
</Properties>
</file>