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A9A" w:rsidRDefault="00264A9A" w:rsidP="00AF6D8D">
      <w:pPr>
        <w:spacing w:after="100" w:afterAutospacing="1" w:line="276" w:lineRule="auto"/>
        <w:ind w:left="720" w:hanging="720"/>
        <w:contextualSpacing/>
        <w:jc w:val="center"/>
        <w:rPr>
          <w:rFonts w:ascii="Arial" w:hAnsi="Arial" w:cs="Arial"/>
          <w:i/>
        </w:rPr>
      </w:pPr>
      <w:r>
        <w:rPr>
          <w:rFonts w:ascii="Arial" w:hAnsi="Arial" w:cs="Arial"/>
          <w:i/>
        </w:rPr>
        <w:t>Business Constituency</w:t>
      </w:r>
      <w:r w:rsidRPr="00A745BD">
        <w:rPr>
          <w:rFonts w:ascii="Arial" w:hAnsi="Arial" w:cs="Arial"/>
          <w:i/>
        </w:rPr>
        <w:t xml:space="preserve"> FEEDBACK &amp; INPUT</w:t>
      </w:r>
    </w:p>
    <w:p w:rsidR="00F44C3D" w:rsidRPr="0070706A" w:rsidRDefault="00F44C3D" w:rsidP="00A3742A">
      <w:pPr>
        <w:spacing w:after="100" w:afterAutospacing="1" w:line="276" w:lineRule="auto"/>
        <w:contextualSpacing/>
        <w:jc w:val="center"/>
        <w:rPr>
          <w:rFonts w:ascii="Arial" w:hAnsi="Arial" w:cs="Arial"/>
          <w:b/>
          <w:i/>
        </w:rPr>
      </w:pPr>
    </w:p>
    <w:p w:rsidR="00F44C3D" w:rsidRDefault="00F44C3D" w:rsidP="00F44C3D">
      <w:pPr>
        <w:spacing w:after="100" w:afterAutospacing="1" w:line="276" w:lineRule="auto"/>
        <w:ind w:right="-810"/>
        <w:contextualSpacing/>
        <w:jc w:val="center"/>
        <w:rPr>
          <w:rFonts w:ascii="Arial" w:hAnsi="Arial" w:cs="Arial"/>
          <w:i/>
        </w:rPr>
      </w:pPr>
    </w:p>
    <w:p w:rsidR="00A3742A" w:rsidRPr="00D46BC3" w:rsidRDefault="00A3742A" w:rsidP="00A3742A">
      <w:pPr>
        <w:spacing w:after="100" w:afterAutospacing="1" w:line="276" w:lineRule="auto"/>
        <w:contextualSpacing/>
        <w:rPr>
          <w:rFonts w:ascii="Arial" w:hAnsi="Arial" w:cs="Arial"/>
          <w:b/>
          <w:sz w:val="16"/>
          <w:szCs w:val="16"/>
        </w:rPr>
      </w:pPr>
      <w:bookmarkStart w:id="0" w:name="_GoBack"/>
      <w:bookmarkEnd w:id="0"/>
      <w:r>
        <w:rPr>
          <w:rFonts w:ascii="Arial" w:hAnsi="Arial" w:cs="Arial"/>
          <w:b/>
          <w:sz w:val="22"/>
          <w:szCs w:val="22"/>
        </w:rPr>
        <w:br/>
      </w:r>
      <w:bookmarkStart w:id="1" w:name="FA4"/>
      <w:bookmarkEnd w:id="1"/>
      <w:r w:rsidRPr="00D46BC3">
        <w:rPr>
          <w:rFonts w:ascii="Arial" w:hAnsi="Arial" w:cs="Arial"/>
          <w:b/>
          <w:sz w:val="16"/>
          <w:szCs w:val="16"/>
        </w:rPr>
        <w:t>Focus Area: IV. Striving towards technical and operational excellence</w:t>
      </w:r>
    </w:p>
    <w:p w:rsidR="004F30BC" w:rsidRPr="0070706A" w:rsidRDefault="004F30BC" w:rsidP="004F30BC">
      <w:pPr>
        <w:autoSpaceDE w:val="0"/>
        <w:autoSpaceDN w:val="0"/>
        <w:adjustRightInd w:val="0"/>
        <w:rPr>
          <w:rFonts w:ascii="Arial" w:hAnsi="Arial" w:cs="Arial"/>
          <w:color w:val="FF0000"/>
          <w:sz w:val="22"/>
          <w:szCs w:val="22"/>
        </w:rPr>
      </w:pPr>
    </w:p>
    <w:tbl>
      <w:tblPr>
        <w:tblStyle w:val="Tablaconcuadrcula"/>
        <w:tblW w:w="9450" w:type="dxa"/>
        <w:tblInd w:w="108" w:type="dxa"/>
        <w:tblLook w:val="04A0"/>
      </w:tblPr>
      <w:tblGrid>
        <w:gridCol w:w="9450"/>
      </w:tblGrid>
      <w:tr w:rsidR="00A3742A" w:rsidTr="00F44C3D">
        <w:tc>
          <w:tcPr>
            <w:tcW w:w="9450" w:type="dxa"/>
            <w:shd w:val="clear" w:color="auto" w:fill="D9D9D9" w:themeFill="background1" w:themeFillShade="D9"/>
          </w:tcPr>
          <w:p w:rsidR="00A3742A" w:rsidRDefault="00A3742A" w:rsidP="00FD1A7F">
            <w:pPr>
              <w:spacing w:after="100" w:afterAutospacing="1"/>
              <w:contextualSpacing/>
              <w:rPr>
                <w:rFonts w:ascii="Arial" w:hAnsi="Arial" w:cs="Arial"/>
                <w:b/>
                <w:sz w:val="20"/>
                <w:szCs w:val="20"/>
              </w:rPr>
            </w:pPr>
            <w:r>
              <w:rPr>
                <w:rFonts w:ascii="Arial" w:hAnsi="Arial" w:cs="Arial"/>
                <w:b/>
                <w:sz w:val="20"/>
                <w:szCs w:val="20"/>
              </w:rPr>
              <w:t>General Feedback</w:t>
            </w:r>
          </w:p>
          <w:p w:rsidR="00A3742A" w:rsidRDefault="00A3742A" w:rsidP="00FD1A7F">
            <w:pPr>
              <w:spacing w:after="100" w:afterAutospacing="1"/>
              <w:contextualSpacing/>
              <w:rPr>
                <w:rFonts w:ascii="Arial" w:hAnsi="Arial" w:cs="Arial"/>
                <w:sz w:val="22"/>
                <w:szCs w:val="22"/>
              </w:rPr>
            </w:pPr>
            <w:r>
              <w:rPr>
                <w:rFonts w:ascii="Arial" w:hAnsi="Arial" w:cs="Arial"/>
                <w:i/>
                <w:sz w:val="18"/>
                <w:szCs w:val="18"/>
              </w:rPr>
              <w:t>What are your thoughts on this Focus Area?</w:t>
            </w:r>
          </w:p>
        </w:tc>
      </w:tr>
      <w:tr w:rsidR="00A3742A" w:rsidRPr="00486FBB" w:rsidTr="00F44C3D">
        <w:tc>
          <w:tcPr>
            <w:tcW w:w="9450" w:type="dxa"/>
          </w:tcPr>
          <w:p w:rsidR="00264A9A" w:rsidRDefault="00264A9A" w:rsidP="00264A9A">
            <w:pPr>
              <w:spacing w:after="100" w:afterAutospacing="1"/>
              <w:contextualSpacing/>
              <w:rPr>
                <w:rFonts w:ascii="Arial" w:hAnsi="Arial" w:cs="Arial"/>
                <w:szCs w:val="18"/>
              </w:rPr>
            </w:pPr>
            <w:r w:rsidRPr="005B3F79">
              <w:rPr>
                <w:rFonts w:ascii="Arial" w:hAnsi="Arial" w:cs="Arial"/>
                <w:szCs w:val="18"/>
              </w:rPr>
              <w:t xml:space="preserve">The Business Constituency believes this focus area is vital to support ICANN’s role to coordinate, at the overall level, the global Internet’s systems of unique identifiers and ensure the stable and secure operation these systems. As the Internet grows and evolves, ICANN, its staff and the community must learn and adapt to direct and support </w:t>
            </w:r>
            <w:r w:rsidR="00030B14">
              <w:rPr>
                <w:rFonts w:ascii="Arial" w:hAnsi="Arial" w:cs="Arial"/>
                <w:szCs w:val="18"/>
              </w:rPr>
              <w:t xml:space="preserve">changes in a structured, </w:t>
            </w:r>
            <w:r w:rsidR="00030B14" w:rsidRPr="00030B14">
              <w:rPr>
                <w:rFonts w:ascii="Arial" w:hAnsi="Arial" w:cs="Arial"/>
                <w:szCs w:val="18"/>
              </w:rPr>
              <w:t>organiz</w:t>
            </w:r>
            <w:r w:rsidRPr="00030B14">
              <w:rPr>
                <w:rFonts w:ascii="Arial" w:hAnsi="Arial" w:cs="Arial"/>
                <w:szCs w:val="18"/>
              </w:rPr>
              <w:t>ed</w:t>
            </w:r>
            <w:r w:rsidRPr="005B3F79">
              <w:rPr>
                <w:rFonts w:ascii="Arial" w:hAnsi="Arial" w:cs="Arial"/>
                <w:szCs w:val="18"/>
              </w:rPr>
              <w:t xml:space="preserve"> and predictable manner.</w:t>
            </w:r>
          </w:p>
          <w:p w:rsidR="00AF6D8D" w:rsidRDefault="00AF6D8D" w:rsidP="00264A9A">
            <w:pPr>
              <w:spacing w:after="100" w:afterAutospacing="1"/>
              <w:contextualSpacing/>
              <w:rPr>
                <w:rFonts w:ascii="Arial" w:hAnsi="Arial" w:cs="Arial"/>
                <w:szCs w:val="18"/>
              </w:rPr>
            </w:pPr>
          </w:p>
          <w:p w:rsidR="00AF6D8D" w:rsidRPr="005B3F79" w:rsidRDefault="00AF6D8D" w:rsidP="00264A9A">
            <w:pPr>
              <w:spacing w:after="100" w:afterAutospacing="1"/>
              <w:contextualSpacing/>
              <w:rPr>
                <w:rFonts w:ascii="Arial" w:hAnsi="Arial" w:cs="Arial"/>
                <w:szCs w:val="18"/>
              </w:rPr>
            </w:pPr>
            <w:r>
              <w:rPr>
                <w:rFonts w:ascii="Arial" w:hAnsi="Arial" w:cs="Arial"/>
                <w:sz w:val="18"/>
                <w:szCs w:val="18"/>
              </w:rPr>
              <w:t xml:space="preserve">BC also notes that IANA has been dropped from the title of the focus area but management of IANA function should remain a key strategic objective.   </w:t>
            </w:r>
          </w:p>
          <w:p w:rsidR="00A3742A" w:rsidRPr="00486FBB" w:rsidRDefault="00A3742A" w:rsidP="00FD1A7F">
            <w:pPr>
              <w:spacing w:after="100" w:afterAutospacing="1"/>
              <w:contextualSpacing/>
              <w:rPr>
                <w:rFonts w:ascii="Arial" w:hAnsi="Arial" w:cs="Arial"/>
                <w:sz w:val="18"/>
                <w:szCs w:val="18"/>
              </w:rPr>
            </w:pPr>
          </w:p>
        </w:tc>
      </w:tr>
    </w:tbl>
    <w:p w:rsidR="00A3742A" w:rsidRPr="00486FBB" w:rsidRDefault="00A3742A" w:rsidP="00A3742A">
      <w:pPr>
        <w:spacing w:after="100" w:afterAutospacing="1"/>
        <w:contextualSpacing/>
        <w:rPr>
          <w:rFonts w:ascii="Arial" w:hAnsi="Arial" w:cs="Arial"/>
          <w:sz w:val="18"/>
          <w:szCs w:val="18"/>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3150"/>
        <w:gridCol w:w="3150"/>
        <w:gridCol w:w="3150"/>
      </w:tblGrid>
      <w:tr w:rsidR="00264A9A" w:rsidRPr="005B3F79" w:rsidTr="00305D3B">
        <w:tc>
          <w:tcPr>
            <w:tcW w:w="3150" w:type="dxa"/>
            <w:shd w:val="clear" w:color="auto" w:fill="D9D9D9"/>
          </w:tcPr>
          <w:p w:rsidR="00264A9A" w:rsidRPr="005B3F79" w:rsidRDefault="00264A9A" w:rsidP="00305D3B">
            <w:pPr>
              <w:spacing w:after="100" w:afterAutospacing="1"/>
              <w:contextualSpacing/>
              <w:rPr>
                <w:rFonts w:ascii="Arial" w:hAnsi="Arial" w:cs="Arial"/>
                <w:b/>
                <w:szCs w:val="20"/>
              </w:rPr>
            </w:pPr>
            <w:r w:rsidRPr="005B3F79">
              <w:rPr>
                <w:rFonts w:ascii="Arial" w:hAnsi="Arial" w:cs="Arial"/>
                <w:b/>
                <w:szCs w:val="20"/>
              </w:rPr>
              <w:t>Focus Area Goals</w:t>
            </w:r>
          </w:p>
          <w:p w:rsidR="00264A9A" w:rsidRPr="005B3F79" w:rsidRDefault="00264A9A" w:rsidP="00305D3B">
            <w:pPr>
              <w:rPr>
                <w:rFonts w:ascii="Arial" w:eastAsia="Times New Roman" w:hAnsi="Arial"/>
                <w:szCs w:val="20"/>
              </w:rPr>
            </w:pPr>
            <w:r w:rsidRPr="005B3F79">
              <w:rPr>
                <w:rFonts w:ascii="Arial" w:eastAsia="Times New Roman" w:hAnsi="Arial" w:cs="Arial"/>
                <w:i/>
                <w:iCs/>
                <w:color w:val="222222"/>
                <w:szCs w:val="18"/>
                <w:shd w:val="clear" w:color="auto" w:fill="D9D9D9"/>
              </w:rPr>
              <w:t>As listed in the Focus Area section of the draft</w:t>
            </w:r>
          </w:p>
          <w:p w:rsidR="00264A9A" w:rsidRPr="005B3F79" w:rsidRDefault="00264A9A" w:rsidP="00305D3B">
            <w:pPr>
              <w:spacing w:after="100" w:afterAutospacing="1"/>
              <w:contextualSpacing/>
              <w:rPr>
                <w:rFonts w:ascii="Arial" w:hAnsi="Arial" w:cs="Arial"/>
                <w:i/>
                <w:szCs w:val="18"/>
              </w:rPr>
            </w:pPr>
          </w:p>
        </w:tc>
        <w:tc>
          <w:tcPr>
            <w:tcW w:w="3150" w:type="dxa"/>
            <w:shd w:val="clear" w:color="auto" w:fill="D9D9D9"/>
          </w:tcPr>
          <w:p w:rsidR="00264A9A" w:rsidRPr="005B3F79" w:rsidRDefault="00264A9A" w:rsidP="00305D3B">
            <w:pPr>
              <w:spacing w:after="100" w:afterAutospacing="1"/>
              <w:contextualSpacing/>
              <w:rPr>
                <w:rFonts w:ascii="Arial" w:hAnsi="Arial" w:cs="Arial"/>
                <w:b/>
                <w:szCs w:val="20"/>
              </w:rPr>
            </w:pPr>
            <w:r w:rsidRPr="005B3F79">
              <w:rPr>
                <w:rFonts w:ascii="Arial" w:hAnsi="Arial" w:cs="Arial"/>
                <w:b/>
                <w:szCs w:val="20"/>
              </w:rPr>
              <w:t>Outcomes</w:t>
            </w:r>
          </w:p>
          <w:p w:rsidR="00264A9A" w:rsidRPr="005B3F79" w:rsidRDefault="00264A9A" w:rsidP="00305D3B">
            <w:pPr>
              <w:spacing w:after="100" w:afterAutospacing="1"/>
              <w:contextualSpacing/>
              <w:rPr>
                <w:rFonts w:ascii="Arial" w:hAnsi="Arial" w:cs="Arial"/>
                <w:b/>
                <w:szCs w:val="20"/>
              </w:rPr>
            </w:pPr>
            <w:r w:rsidRPr="005B3F79">
              <w:rPr>
                <w:rFonts w:ascii="Arial" w:hAnsi="Arial" w:cs="Arial"/>
                <w:i/>
                <w:szCs w:val="18"/>
              </w:rPr>
              <w:t>What are the specific outcomes or achievements we should target for this effort?</w:t>
            </w:r>
          </w:p>
        </w:tc>
        <w:tc>
          <w:tcPr>
            <w:tcW w:w="3150" w:type="dxa"/>
            <w:shd w:val="clear" w:color="auto" w:fill="D9D9D9"/>
          </w:tcPr>
          <w:p w:rsidR="00264A9A" w:rsidRPr="005B3F79" w:rsidRDefault="00264A9A" w:rsidP="00305D3B">
            <w:pPr>
              <w:spacing w:after="100" w:afterAutospacing="1"/>
              <w:contextualSpacing/>
              <w:rPr>
                <w:rFonts w:ascii="Arial" w:hAnsi="Arial" w:cs="Arial"/>
                <w:b/>
                <w:szCs w:val="20"/>
              </w:rPr>
            </w:pPr>
            <w:r w:rsidRPr="005B3F79">
              <w:rPr>
                <w:rFonts w:ascii="Arial" w:hAnsi="Arial" w:cs="Arial"/>
                <w:b/>
                <w:szCs w:val="20"/>
              </w:rPr>
              <w:t>Measures</w:t>
            </w:r>
          </w:p>
          <w:p w:rsidR="00264A9A" w:rsidRPr="005B3F79" w:rsidRDefault="00264A9A" w:rsidP="00305D3B">
            <w:pPr>
              <w:spacing w:after="100" w:afterAutospacing="1"/>
              <w:contextualSpacing/>
              <w:rPr>
                <w:rFonts w:ascii="Arial" w:hAnsi="Arial" w:cs="Arial"/>
                <w:b/>
                <w:szCs w:val="20"/>
              </w:rPr>
            </w:pPr>
            <w:r w:rsidRPr="005B3F79">
              <w:rPr>
                <w:rFonts w:ascii="Arial" w:hAnsi="Arial" w:cs="Arial"/>
                <w:i/>
                <w:szCs w:val="18"/>
              </w:rPr>
              <w:t>What quantitative / qualitative elements should we consider in measuring progress / results?</w:t>
            </w:r>
          </w:p>
        </w:tc>
      </w:tr>
      <w:tr w:rsidR="00264A9A" w:rsidRPr="005B3F79" w:rsidTr="00305D3B">
        <w:tc>
          <w:tcPr>
            <w:tcW w:w="3150" w:type="dxa"/>
          </w:tcPr>
          <w:p w:rsidR="00264A9A" w:rsidRPr="005B3F79" w:rsidRDefault="00264A9A" w:rsidP="00305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Cs w:val="18"/>
              </w:rPr>
            </w:pPr>
            <w:r w:rsidRPr="005B3F79">
              <w:rPr>
                <w:rFonts w:ascii="Arial" w:eastAsia="Times New Roman" w:hAnsi="Arial" w:cs="Arial"/>
                <w:color w:val="000000"/>
                <w:szCs w:val="18"/>
              </w:rPr>
              <w:t xml:space="preserve">Improve the </w:t>
            </w:r>
            <w:r w:rsidRPr="005B3F79">
              <w:rPr>
                <w:rFonts w:ascii="Arial" w:eastAsia="Times New Roman" w:hAnsi="Arial" w:cs="Arial"/>
                <w:color w:val="000000"/>
                <w:szCs w:val="18"/>
                <w:u w:val="single"/>
              </w:rPr>
              <w:t>technical sophistication</w:t>
            </w:r>
            <w:r w:rsidRPr="005B3F79">
              <w:rPr>
                <w:rFonts w:ascii="Arial" w:eastAsia="Times New Roman" w:hAnsi="Arial" w:cs="Arial"/>
                <w:color w:val="000000"/>
                <w:szCs w:val="18"/>
              </w:rPr>
              <w:t xml:space="preserve"> of ICANN staff and stakeholders, and ensure structured coordination of ICANN’s technical resources.</w:t>
            </w:r>
          </w:p>
        </w:tc>
        <w:tc>
          <w:tcPr>
            <w:tcW w:w="3150" w:type="dxa"/>
          </w:tcPr>
          <w:p w:rsidR="00264A9A" w:rsidRPr="005B3F79" w:rsidRDefault="00264A9A" w:rsidP="00305D3B">
            <w:pPr>
              <w:numPr>
                <w:ilvl w:val="0"/>
                <w:numId w:val="2"/>
              </w:numPr>
              <w:spacing w:after="100" w:afterAutospacing="1"/>
              <w:ind w:left="279" w:hanging="279"/>
              <w:contextualSpacing/>
              <w:rPr>
                <w:rFonts w:ascii="Arial" w:hAnsi="Arial" w:cs="Arial"/>
                <w:szCs w:val="18"/>
              </w:rPr>
            </w:pPr>
            <w:r w:rsidRPr="005B3F79">
              <w:rPr>
                <w:rFonts w:ascii="Arial" w:hAnsi="Arial" w:cs="Arial"/>
                <w:szCs w:val="18"/>
              </w:rPr>
              <w:t>Continuous improvement of systems, processes, and people.</w:t>
            </w:r>
          </w:p>
          <w:p w:rsidR="00264A9A" w:rsidRPr="005B3F79" w:rsidRDefault="00264A9A" w:rsidP="00305D3B">
            <w:pPr>
              <w:numPr>
                <w:ilvl w:val="0"/>
                <w:numId w:val="2"/>
              </w:numPr>
              <w:spacing w:after="100" w:afterAutospacing="1"/>
              <w:ind w:left="279" w:hanging="279"/>
              <w:contextualSpacing/>
              <w:rPr>
                <w:rFonts w:ascii="Arial" w:hAnsi="Arial" w:cs="Arial"/>
                <w:szCs w:val="18"/>
              </w:rPr>
            </w:pPr>
            <w:r w:rsidRPr="005B3F79">
              <w:rPr>
                <w:rFonts w:ascii="Arial" w:hAnsi="Arial" w:cs="Arial"/>
                <w:szCs w:val="18"/>
              </w:rPr>
              <w:t>Support of operational growth and evolution, underpinned by technology (i.e. minimum effort in, maximum value out).</w:t>
            </w:r>
          </w:p>
          <w:p w:rsidR="00264A9A" w:rsidRPr="005B3F79" w:rsidRDefault="00264A9A" w:rsidP="00305D3B">
            <w:pPr>
              <w:rPr>
                <w:rFonts w:ascii="Arial" w:hAnsi="Arial" w:cs="Arial"/>
                <w:i/>
                <w:szCs w:val="18"/>
              </w:rPr>
            </w:pPr>
            <w:r w:rsidRPr="005B3F79">
              <w:rPr>
                <w:rFonts w:ascii="Arial" w:hAnsi="Arial" w:cs="Arial"/>
                <w:i/>
                <w:szCs w:val="18"/>
              </w:rPr>
              <w:t xml:space="preserve">Note: the level of sophistication required will differ between ICANN staff as well as stakeholders.  This should be balanced by the need to perform specific roles and the level of knowledge required to manage governance </w:t>
            </w:r>
            <w:r w:rsidRPr="005B3F79">
              <w:rPr>
                <w:rFonts w:ascii="Arial" w:hAnsi="Arial" w:cs="Arial"/>
                <w:i/>
                <w:szCs w:val="18"/>
              </w:rPr>
              <w:lastRenderedPageBreak/>
              <w:t>aspects and future developments/innovation.</w:t>
            </w:r>
          </w:p>
          <w:p w:rsidR="00264A9A" w:rsidRPr="005B3F79" w:rsidRDefault="00264A9A" w:rsidP="00305D3B">
            <w:pPr>
              <w:spacing w:after="100" w:afterAutospacing="1"/>
              <w:rPr>
                <w:rFonts w:ascii="Arial" w:hAnsi="Arial" w:cs="Arial"/>
                <w:i/>
                <w:szCs w:val="18"/>
              </w:rPr>
            </w:pPr>
          </w:p>
        </w:tc>
        <w:tc>
          <w:tcPr>
            <w:tcW w:w="3150" w:type="dxa"/>
          </w:tcPr>
          <w:p w:rsidR="00264A9A" w:rsidRPr="005B3F79" w:rsidRDefault="00264A9A" w:rsidP="00305D3B">
            <w:pPr>
              <w:numPr>
                <w:ilvl w:val="0"/>
                <w:numId w:val="1"/>
              </w:numPr>
              <w:spacing w:after="100" w:afterAutospacing="1"/>
              <w:ind w:left="248" w:hanging="248"/>
              <w:contextualSpacing/>
              <w:rPr>
                <w:rFonts w:ascii="Arial" w:hAnsi="Arial" w:cs="Arial"/>
                <w:szCs w:val="18"/>
              </w:rPr>
            </w:pPr>
            <w:r w:rsidRPr="005B3F79">
              <w:rPr>
                <w:rFonts w:ascii="Arial" w:hAnsi="Arial" w:cs="Arial"/>
                <w:szCs w:val="18"/>
              </w:rPr>
              <w:lastRenderedPageBreak/>
              <w:t xml:space="preserve">Operational performance against SLAs. </w:t>
            </w:r>
          </w:p>
          <w:p w:rsidR="00264A9A" w:rsidRPr="005B3F79" w:rsidRDefault="00264A9A" w:rsidP="00305D3B">
            <w:pPr>
              <w:numPr>
                <w:ilvl w:val="0"/>
                <w:numId w:val="1"/>
              </w:numPr>
              <w:spacing w:after="100" w:afterAutospacing="1"/>
              <w:ind w:left="248" w:hanging="248"/>
              <w:contextualSpacing/>
              <w:rPr>
                <w:rFonts w:ascii="Arial" w:hAnsi="Arial" w:cs="Arial"/>
                <w:szCs w:val="18"/>
              </w:rPr>
            </w:pPr>
            <w:r w:rsidRPr="005B3F79">
              <w:rPr>
                <w:rFonts w:ascii="Arial" w:hAnsi="Arial" w:cs="Arial"/>
                <w:szCs w:val="18"/>
              </w:rPr>
              <w:t>Usage of educational tools and feedback regarding same.</w:t>
            </w:r>
          </w:p>
          <w:p w:rsidR="00264A9A" w:rsidRPr="005B3F79" w:rsidRDefault="00264A9A" w:rsidP="00305D3B">
            <w:pPr>
              <w:numPr>
                <w:ilvl w:val="0"/>
                <w:numId w:val="1"/>
              </w:numPr>
              <w:spacing w:after="100" w:afterAutospacing="1"/>
              <w:ind w:left="248" w:hanging="248"/>
              <w:contextualSpacing/>
              <w:rPr>
                <w:rFonts w:ascii="Arial" w:hAnsi="Arial" w:cs="Arial"/>
                <w:szCs w:val="18"/>
              </w:rPr>
            </w:pPr>
            <w:r w:rsidRPr="005B3F79">
              <w:rPr>
                <w:rFonts w:ascii="Arial" w:hAnsi="Arial" w:cs="Arial"/>
                <w:szCs w:val="18"/>
              </w:rPr>
              <w:t>Adoption of standards and best practices (</w:t>
            </w:r>
            <w:proofErr w:type="spellStart"/>
            <w:r w:rsidRPr="005B3F79">
              <w:rPr>
                <w:rFonts w:ascii="Arial" w:hAnsi="Arial" w:cs="Arial"/>
                <w:szCs w:val="18"/>
              </w:rPr>
              <w:t>e.g</w:t>
            </w:r>
            <w:proofErr w:type="spellEnd"/>
            <w:r w:rsidRPr="005B3F79">
              <w:rPr>
                <w:rFonts w:ascii="Arial" w:hAnsi="Arial" w:cs="Arial"/>
                <w:szCs w:val="18"/>
              </w:rPr>
              <w:t xml:space="preserve"> DNSSEC). </w:t>
            </w:r>
          </w:p>
          <w:p w:rsidR="00264A9A" w:rsidRPr="005B3F79" w:rsidRDefault="00264A9A" w:rsidP="00305D3B">
            <w:pPr>
              <w:numPr>
                <w:ilvl w:val="0"/>
                <w:numId w:val="1"/>
              </w:numPr>
              <w:spacing w:after="100" w:afterAutospacing="1"/>
              <w:ind w:left="248" w:hanging="248"/>
              <w:contextualSpacing/>
              <w:rPr>
                <w:rFonts w:ascii="Arial" w:hAnsi="Arial" w:cs="Arial"/>
                <w:szCs w:val="18"/>
              </w:rPr>
            </w:pPr>
            <w:r w:rsidRPr="005B3F79">
              <w:rPr>
                <w:rFonts w:ascii="Arial" w:hAnsi="Arial" w:cs="Arial"/>
                <w:szCs w:val="18"/>
              </w:rPr>
              <w:t xml:space="preserve">Identification of new solutions to improve systems, tools, processes to support priorities. </w:t>
            </w:r>
          </w:p>
          <w:p w:rsidR="00264A9A" w:rsidRPr="005B3F79" w:rsidRDefault="00264A9A" w:rsidP="00305D3B">
            <w:pPr>
              <w:numPr>
                <w:ilvl w:val="0"/>
                <w:numId w:val="1"/>
              </w:numPr>
              <w:spacing w:after="100" w:afterAutospacing="1"/>
              <w:ind w:left="248" w:hanging="248"/>
              <w:contextualSpacing/>
              <w:rPr>
                <w:rFonts w:ascii="Arial" w:hAnsi="Arial" w:cs="Arial"/>
                <w:szCs w:val="18"/>
              </w:rPr>
            </w:pPr>
            <w:r w:rsidRPr="005B3F79">
              <w:rPr>
                <w:rFonts w:ascii="Arial" w:hAnsi="Arial" w:cs="Arial"/>
                <w:szCs w:val="18"/>
              </w:rPr>
              <w:t>Post-implementation reviews, including comparisons of actual implementation against implementation plans.</w:t>
            </w:r>
          </w:p>
          <w:p w:rsidR="00264A9A" w:rsidRPr="005B3F79" w:rsidRDefault="00264A9A" w:rsidP="00305D3B">
            <w:pPr>
              <w:spacing w:after="100" w:afterAutospacing="1"/>
              <w:ind w:left="248"/>
              <w:rPr>
                <w:rFonts w:ascii="Arial" w:hAnsi="Arial" w:cs="Arial"/>
                <w:szCs w:val="18"/>
              </w:rPr>
            </w:pPr>
          </w:p>
        </w:tc>
      </w:tr>
      <w:tr w:rsidR="00264A9A" w:rsidRPr="005B3F79" w:rsidTr="00305D3B">
        <w:tc>
          <w:tcPr>
            <w:tcW w:w="3150" w:type="dxa"/>
          </w:tcPr>
          <w:p w:rsidR="00264A9A" w:rsidRPr="005B3F79" w:rsidRDefault="00264A9A" w:rsidP="00305D3B">
            <w:pPr>
              <w:spacing w:after="100" w:afterAutospacing="1"/>
              <w:contextualSpacing/>
              <w:rPr>
                <w:rFonts w:ascii="Arial" w:hAnsi="Arial" w:cs="Arial"/>
                <w:szCs w:val="18"/>
              </w:rPr>
            </w:pPr>
            <w:r w:rsidRPr="005B3F79">
              <w:rPr>
                <w:rFonts w:ascii="Arial" w:eastAsia="Times New Roman" w:hAnsi="Arial" w:cs="Arial"/>
                <w:color w:val="000000"/>
                <w:szCs w:val="18"/>
              </w:rPr>
              <w:lastRenderedPageBreak/>
              <w:t xml:space="preserve">Develop a </w:t>
            </w:r>
            <w:r w:rsidRPr="005B3F79">
              <w:rPr>
                <w:rFonts w:ascii="Arial" w:eastAsia="Times New Roman" w:hAnsi="Arial" w:cs="Arial"/>
                <w:color w:val="000000"/>
                <w:szCs w:val="18"/>
                <w:u w:val="single"/>
              </w:rPr>
              <w:t>culture of knowledge and expertise</w:t>
            </w:r>
            <w:r w:rsidRPr="005B3F79">
              <w:rPr>
                <w:rFonts w:ascii="Arial" w:eastAsia="Times New Roman" w:hAnsi="Arial" w:cs="Arial"/>
                <w:color w:val="000000"/>
                <w:szCs w:val="18"/>
              </w:rPr>
              <w:t xml:space="preserve"> by attracting top talent to staff and the community.</w:t>
            </w:r>
          </w:p>
        </w:tc>
        <w:tc>
          <w:tcPr>
            <w:tcW w:w="3150" w:type="dxa"/>
          </w:tcPr>
          <w:p w:rsidR="00264A9A" w:rsidRPr="005B3F79" w:rsidRDefault="00264A9A" w:rsidP="00305D3B">
            <w:pPr>
              <w:numPr>
                <w:ilvl w:val="0"/>
                <w:numId w:val="3"/>
              </w:numPr>
              <w:spacing w:after="100" w:afterAutospacing="1"/>
              <w:ind w:left="279" w:hanging="279"/>
              <w:contextualSpacing/>
              <w:rPr>
                <w:rFonts w:ascii="Arial" w:hAnsi="Arial" w:cs="Arial"/>
                <w:szCs w:val="18"/>
              </w:rPr>
            </w:pPr>
            <w:r w:rsidRPr="005B3F79">
              <w:rPr>
                <w:rFonts w:ascii="Arial" w:hAnsi="Arial" w:cs="Arial"/>
                <w:szCs w:val="18"/>
              </w:rPr>
              <w:t>Motivation and people development.</w:t>
            </w:r>
          </w:p>
          <w:p w:rsidR="00264A9A" w:rsidRPr="005B3F79" w:rsidRDefault="00264A9A" w:rsidP="00305D3B">
            <w:pPr>
              <w:rPr>
                <w:rFonts w:ascii="Arial" w:hAnsi="Arial" w:cs="Arial"/>
                <w:i/>
                <w:szCs w:val="18"/>
              </w:rPr>
            </w:pPr>
            <w:r w:rsidRPr="005B3F79">
              <w:rPr>
                <w:rFonts w:ascii="Arial" w:hAnsi="Arial" w:cs="Arial"/>
                <w:i/>
                <w:szCs w:val="18"/>
              </w:rPr>
              <w:t xml:space="preserve">Note: ICANN should not ignore opportunities for organic growth within the organization, through staff development, motivation and progression planning. It’s not just about attracting top </w:t>
            </w:r>
            <w:proofErr w:type="gramStart"/>
            <w:r w:rsidRPr="005B3F79">
              <w:rPr>
                <w:rFonts w:ascii="Arial" w:hAnsi="Arial" w:cs="Arial"/>
                <w:i/>
                <w:szCs w:val="18"/>
              </w:rPr>
              <w:t>talent,</w:t>
            </w:r>
            <w:proofErr w:type="gramEnd"/>
            <w:r w:rsidRPr="005B3F79">
              <w:rPr>
                <w:rFonts w:ascii="Arial" w:hAnsi="Arial" w:cs="Arial"/>
                <w:i/>
                <w:szCs w:val="18"/>
              </w:rPr>
              <w:t xml:space="preserve"> it must also be about ‘retaining’ talent. </w:t>
            </w:r>
          </w:p>
          <w:p w:rsidR="00264A9A" w:rsidRPr="005B3F79" w:rsidRDefault="00264A9A" w:rsidP="00305D3B">
            <w:pPr>
              <w:spacing w:after="100" w:afterAutospacing="1"/>
              <w:rPr>
                <w:rFonts w:ascii="Arial" w:hAnsi="Arial" w:cs="Arial"/>
                <w:i/>
                <w:szCs w:val="18"/>
              </w:rPr>
            </w:pPr>
          </w:p>
        </w:tc>
        <w:tc>
          <w:tcPr>
            <w:tcW w:w="3150" w:type="dxa"/>
          </w:tcPr>
          <w:p w:rsidR="00264A9A" w:rsidRPr="005B3F79" w:rsidRDefault="00264A9A" w:rsidP="00305D3B">
            <w:pPr>
              <w:numPr>
                <w:ilvl w:val="0"/>
                <w:numId w:val="3"/>
              </w:numPr>
              <w:spacing w:after="100" w:afterAutospacing="1"/>
              <w:ind w:left="248" w:hanging="248"/>
              <w:contextualSpacing/>
              <w:rPr>
                <w:rFonts w:ascii="Arial" w:hAnsi="Arial" w:cs="Arial"/>
                <w:szCs w:val="18"/>
              </w:rPr>
            </w:pPr>
            <w:r w:rsidRPr="005B3F79">
              <w:rPr>
                <w:rFonts w:ascii="Arial" w:hAnsi="Arial" w:cs="Arial"/>
                <w:szCs w:val="18"/>
              </w:rPr>
              <w:t>Recruitment successes.</w:t>
            </w:r>
          </w:p>
          <w:p w:rsidR="00264A9A" w:rsidRPr="005B3F79" w:rsidRDefault="00264A9A" w:rsidP="00305D3B">
            <w:pPr>
              <w:numPr>
                <w:ilvl w:val="0"/>
                <w:numId w:val="3"/>
              </w:numPr>
              <w:spacing w:after="100" w:afterAutospacing="1"/>
              <w:ind w:left="248" w:hanging="248"/>
              <w:contextualSpacing/>
              <w:rPr>
                <w:rFonts w:ascii="Arial" w:hAnsi="Arial" w:cs="Arial"/>
                <w:szCs w:val="18"/>
              </w:rPr>
            </w:pPr>
            <w:r w:rsidRPr="005B3F79">
              <w:rPr>
                <w:rFonts w:ascii="Arial" w:hAnsi="Arial" w:cs="Arial"/>
                <w:szCs w:val="18"/>
              </w:rPr>
              <w:t>Staff retention/turnover.</w:t>
            </w:r>
          </w:p>
          <w:p w:rsidR="00264A9A" w:rsidRPr="005B3F79" w:rsidRDefault="00264A9A" w:rsidP="00305D3B">
            <w:pPr>
              <w:numPr>
                <w:ilvl w:val="0"/>
                <w:numId w:val="3"/>
              </w:numPr>
              <w:spacing w:after="100" w:afterAutospacing="1"/>
              <w:ind w:left="248" w:hanging="248"/>
              <w:contextualSpacing/>
              <w:rPr>
                <w:rFonts w:ascii="Arial" w:hAnsi="Arial" w:cs="Arial"/>
                <w:szCs w:val="18"/>
              </w:rPr>
            </w:pPr>
            <w:r w:rsidRPr="005B3F79">
              <w:rPr>
                <w:rFonts w:ascii="Arial" w:hAnsi="Arial" w:cs="Arial"/>
                <w:szCs w:val="18"/>
              </w:rPr>
              <w:t xml:space="preserve">Staff informational sessions to strengthen understanding about ICANN’s functions and unique bottom up </w:t>
            </w:r>
            <w:proofErr w:type="spellStart"/>
            <w:r w:rsidRPr="005B3F79">
              <w:rPr>
                <w:rFonts w:ascii="Arial" w:hAnsi="Arial" w:cs="Arial"/>
                <w:szCs w:val="18"/>
              </w:rPr>
              <w:t>multistakeholder</w:t>
            </w:r>
            <w:proofErr w:type="spellEnd"/>
            <w:r w:rsidRPr="005B3F79">
              <w:rPr>
                <w:rFonts w:ascii="Arial" w:hAnsi="Arial" w:cs="Arial"/>
                <w:szCs w:val="18"/>
              </w:rPr>
              <w:t xml:space="preserve"> processes, including the leading role of the community, versus staff driven approach.</w:t>
            </w:r>
          </w:p>
          <w:p w:rsidR="00264A9A" w:rsidRPr="005B3F79" w:rsidRDefault="00264A9A" w:rsidP="00305D3B">
            <w:pPr>
              <w:numPr>
                <w:ilvl w:val="0"/>
                <w:numId w:val="3"/>
              </w:numPr>
              <w:spacing w:after="100" w:afterAutospacing="1"/>
              <w:ind w:left="248" w:hanging="248"/>
              <w:contextualSpacing/>
              <w:rPr>
                <w:rFonts w:ascii="Arial" w:hAnsi="Arial" w:cs="Arial"/>
                <w:szCs w:val="18"/>
              </w:rPr>
            </w:pPr>
            <w:r w:rsidRPr="005B3F79">
              <w:rPr>
                <w:rFonts w:ascii="Arial" w:hAnsi="Arial" w:cs="Arial"/>
                <w:szCs w:val="18"/>
              </w:rPr>
              <w:t>Community engagement/input (particularly new engagement).</w:t>
            </w:r>
          </w:p>
          <w:p w:rsidR="00264A9A" w:rsidRPr="005B3F79" w:rsidRDefault="00264A9A" w:rsidP="00305D3B">
            <w:pPr>
              <w:spacing w:after="100" w:afterAutospacing="1"/>
              <w:ind w:left="248"/>
              <w:rPr>
                <w:rFonts w:ascii="Arial" w:hAnsi="Arial" w:cs="Arial"/>
                <w:szCs w:val="18"/>
              </w:rPr>
            </w:pPr>
          </w:p>
        </w:tc>
      </w:tr>
      <w:tr w:rsidR="00264A9A" w:rsidRPr="005B3F79" w:rsidTr="00305D3B">
        <w:tc>
          <w:tcPr>
            <w:tcW w:w="3150" w:type="dxa"/>
          </w:tcPr>
          <w:p w:rsidR="00264A9A" w:rsidRPr="005B3F79" w:rsidRDefault="00264A9A" w:rsidP="00305D3B">
            <w:pPr>
              <w:spacing w:after="100" w:afterAutospacing="1"/>
              <w:contextualSpacing/>
              <w:rPr>
                <w:rFonts w:ascii="Arial" w:hAnsi="Arial" w:cs="Arial"/>
                <w:szCs w:val="18"/>
              </w:rPr>
            </w:pPr>
            <w:r w:rsidRPr="005B3F79">
              <w:rPr>
                <w:rFonts w:ascii="Arial" w:eastAsia="Times New Roman" w:hAnsi="Arial" w:cs="Arial"/>
                <w:color w:val="000000"/>
                <w:szCs w:val="18"/>
              </w:rPr>
              <w:t xml:space="preserve">Create </w:t>
            </w:r>
            <w:r w:rsidRPr="005B3F79">
              <w:rPr>
                <w:rFonts w:ascii="Arial" w:eastAsia="Times New Roman" w:hAnsi="Arial" w:cs="Arial"/>
                <w:color w:val="000000"/>
                <w:szCs w:val="18"/>
                <w:u w:val="single"/>
              </w:rPr>
              <w:t>role clarity</w:t>
            </w:r>
            <w:r w:rsidRPr="005B3F79">
              <w:rPr>
                <w:rFonts w:ascii="Arial" w:eastAsia="Times New Roman" w:hAnsi="Arial" w:cs="Arial"/>
                <w:color w:val="000000"/>
                <w:szCs w:val="18"/>
              </w:rPr>
              <w:t xml:space="preserve"> for the Board, staff and stakeholders.</w:t>
            </w:r>
          </w:p>
        </w:tc>
        <w:tc>
          <w:tcPr>
            <w:tcW w:w="3150" w:type="dxa"/>
          </w:tcPr>
          <w:p w:rsidR="00264A9A" w:rsidRPr="005B3F79" w:rsidRDefault="00264A9A" w:rsidP="00305D3B">
            <w:pPr>
              <w:numPr>
                <w:ilvl w:val="0"/>
                <w:numId w:val="3"/>
              </w:numPr>
              <w:spacing w:after="100" w:afterAutospacing="1"/>
              <w:ind w:left="279" w:hanging="279"/>
              <w:contextualSpacing/>
              <w:rPr>
                <w:rFonts w:ascii="Arial" w:hAnsi="Arial" w:cs="Arial"/>
                <w:szCs w:val="18"/>
              </w:rPr>
            </w:pPr>
            <w:r w:rsidRPr="005B3F79">
              <w:rPr>
                <w:rFonts w:ascii="Arial" w:hAnsi="Arial" w:cs="Arial"/>
                <w:szCs w:val="18"/>
              </w:rPr>
              <w:t>Clear roles, responsibilities and accountabilities to maximize productivity and develop optimal structures.</w:t>
            </w:r>
          </w:p>
          <w:p w:rsidR="00264A9A" w:rsidRPr="005B3F79" w:rsidRDefault="00264A9A" w:rsidP="00305D3B">
            <w:pPr>
              <w:numPr>
                <w:ilvl w:val="0"/>
                <w:numId w:val="3"/>
              </w:numPr>
              <w:spacing w:after="100" w:afterAutospacing="1"/>
              <w:ind w:left="279" w:hanging="279"/>
              <w:contextualSpacing/>
              <w:rPr>
                <w:rFonts w:ascii="Arial" w:hAnsi="Arial" w:cs="Arial"/>
                <w:szCs w:val="18"/>
              </w:rPr>
            </w:pPr>
            <w:r w:rsidRPr="005B3F79">
              <w:rPr>
                <w:rFonts w:ascii="Arial" w:hAnsi="Arial" w:cs="Arial"/>
                <w:szCs w:val="18"/>
              </w:rPr>
              <w:t>Encourage the right people to fulfill the right roles.</w:t>
            </w:r>
          </w:p>
          <w:p w:rsidR="00264A9A" w:rsidRPr="005B3F79" w:rsidRDefault="00264A9A" w:rsidP="00305D3B">
            <w:pPr>
              <w:spacing w:after="100" w:afterAutospacing="1"/>
              <w:ind w:left="279"/>
              <w:rPr>
                <w:rFonts w:ascii="Arial" w:hAnsi="Arial" w:cs="Arial"/>
                <w:szCs w:val="18"/>
              </w:rPr>
            </w:pPr>
          </w:p>
        </w:tc>
        <w:tc>
          <w:tcPr>
            <w:tcW w:w="3150" w:type="dxa"/>
          </w:tcPr>
          <w:p w:rsidR="00264A9A" w:rsidRPr="005B3F79" w:rsidRDefault="00264A9A" w:rsidP="00305D3B">
            <w:pPr>
              <w:numPr>
                <w:ilvl w:val="0"/>
                <w:numId w:val="3"/>
              </w:numPr>
              <w:spacing w:after="100" w:afterAutospacing="1"/>
              <w:ind w:left="248" w:hanging="248"/>
              <w:contextualSpacing/>
              <w:rPr>
                <w:rFonts w:ascii="Arial" w:hAnsi="Arial" w:cs="Arial"/>
                <w:szCs w:val="18"/>
              </w:rPr>
            </w:pPr>
            <w:r w:rsidRPr="005B3F79">
              <w:rPr>
                <w:rFonts w:ascii="Arial" w:hAnsi="Arial" w:cs="Arial"/>
                <w:szCs w:val="18"/>
              </w:rPr>
              <w:t>Defined roles and responsibilities.</w:t>
            </w:r>
          </w:p>
          <w:p w:rsidR="00264A9A" w:rsidRPr="005B3F79" w:rsidRDefault="00264A9A" w:rsidP="00305D3B">
            <w:pPr>
              <w:numPr>
                <w:ilvl w:val="0"/>
                <w:numId w:val="3"/>
              </w:numPr>
              <w:spacing w:after="100" w:afterAutospacing="1"/>
              <w:ind w:left="248" w:hanging="248"/>
              <w:contextualSpacing/>
              <w:rPr>
                <w:rFonts w:ascii="Arial" w:hAnsi="Arial" w:cs="Arial"/>
                <w:szCs w:val="18"/>
              </w:rPr>
            </w:pPr>
            <w:r w:rsidRPr="005B3F79">
              <w:rPr>
                <w:rFonts w:ascii="Arial" w:hAnsi="Arial" w:cs="Arial"/>
                <w:szCs w:val="18"/>
              </w:rPr>
              <w:t>Strengthen the understanding of the staff at all levels about the roles and functions performed by the multi stakeholder participants in the Internet and within ICANN.</w:t>
            </w:r>
          </w:p>
          <w:p w:rsidR="00264A9A" w:rsidRPr="005B3F79" w:rsidRDefault="00264A9A" w:rsidP="00305D3B">
            <w:pPr>
              <w:spacing w:after="100" w:afterAutospacing="1"/>
              <w:ind w:left="248"/>
              <w:rPr>
                <w:rFonts w:ascii="Arial" w:hAnsi="Arial" w:cs="Arial"/>
                <w:szCs w:val="18"/>
              </w:rPr>
            </w:pPr>
          </w:p>
        </w:tc>
      </w:tr>
      <w:tr w:rsidR="00264A9A" w:rsidRPr="005B3F79" w:rsidTr="00305D3B">
        <w:tc>
          <w:tcPr>
            <w:tcW w:w="3150" w:type="dxa"/>
          </w:tcPr>
          <w:p w:rsidR="00264A9A" w:rsidRPr="005B3F79" w:rsidRDefault="00264A9A" w:rsidP="00305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Cs w:val="18"/>
              </w:rPr>
            </w:pPr>
            <w:r w:rsidRPr="005B3F79">
              <w:rPr>
                <w:rFonts w:ascii="Arial" w:eastAsia="Times New Roman" w:hAnsi="Arial" w:cs="Arial"/>
                <w:color w:val="000000"/>
                <w:szCs w:val="18"/>
              </w:rPr>
              <w:t xml:space="preserve">Ensure ICANN’s </w:t>
            </w:r>
            <w:r w:rsidRPr="005B3F79">
              <w:rPr>
                <w:rFonts w:ascii="Arial" w:eastAsia="Times New Roman" w:hAnsi="Arial" w:cs="Arial"/>
                <w:color w:val="000000"/>
                <w:szCs w:val="18"/>
                <w:u w:val="single"/>
              </w:rPr>
              <w:t>long-term financial stability and sustainability</w:t>
            </w:r>
            <w:r w:rsidRPr="005B3F79">
              <w:rPr>
                <w:rFonts w:ascii="Arial" w:eastAsia="Times New Roman" w:hAnsi="Arial" w:cs="Arial"/>
                <w:color w:val="000000"/>
                <w:szCs w:val="18"/>
              </w:rPr>
              <w:t>.</w:t>
            </w:r>
          </w:p>
        </w:tc>
        <w:tc>
          <w:tcPr>
            <w:tcW w:w="3150" w:type="dxa"/>
          </w:tcPr>
          <w:p w:rsidR="00264A9A" w:rsidRPr="005B3F79" w:rsidRDefault="00264A9A" w:rsidP="00305D3B">
            <w:pPr>
              <w:numPr>
                <w:ilvl w:val="0"/>
                <w:numId w:val="3"/>
              </w:numPr>
              <w:spacing w:after="100" w:afterAutospacing="1"/>
              <w:ind w:left="279" w:hanging="279"/>
              <w:contextualSpacing/>
              <w:rPr>
                <w:rFonts w:ascii="Arial" w:hAnsi="Arial" w:cs="Arial"/>
                <w:szCs w:val="18"/>
              </w:rPr>
            </w:pPr>
            <w:r w:rsidRPr="005B3F79">
              <w:rPr>
                <w:rFonts w:ascii="Arial" w:hAnsi="Arial" w:cs="Arial"/>
                <w:szCs w:val="18"/>
              </w:rPr>
              <w:t>Stable foundation with forward-looking approach and capabilities.</w:t>
            </w:r>
          </w:p>
          <w:p w:rsidR="00264A9A" w:rsidRPr="005B3F79" w:rsidRDefault="00264A9A" w:rsidP="00305D3B">
            <w:pPr>
              <w:numPr>
                <w:ilvl w:val="0"/>
                <w:numId w:val="3"/>
              </w:numPr>
              <w:spacing w:after="100" w:afterAutospacing="1"/>
              <w:ind w:left="279" w:hanging="279"/>
              <w:contextualSpacing/>
              <w:rPr>
                <w:rFonts w:ascii="Arial" w:hAnsi="Arial" w:cs="Arial"/>
                <w:szCs w:val="18"/>
              </w:rPr>
            </w:pPr>
            <w:r w:rsidRPr="005B3F79">
              <w:rPr>
                <w:rFonts w:ascii="Arial" w:hAnsi="Arial" w:cs="Arial"/>
                <w:szCs w:val="18"/>
              </w:rPr>
              <w:t>Support operational growth and evolution.</w:t>
            </w:r>
          </w:p>
          <w:p w:rsidR="00264A9A" w:rsidRPr="005B3F79" w:rsidRDefault="00264A9A" w:rsidP="00305D3B">
            <w:pPr>
              <w:numPr>
                <w:ilvl w:val="0"/>
                <w:numId w:val="3"/>
              </w:numPr>
              <w:spacing w:after="100" w:afterAutospacing="1"/>
              <w:ind w:left="279" w:hanging="279"/>
              <w:contextualSpacing/>
              <w:rPr>
                <w:rFonts w:ascii="Arial" w:hAnsi="Arial" w:cs="Arial"/>
                <w:szCs w:val="18"/>
              </w:rPr>
            </w:pPr>
            <w:r w:rsidRPr="005B3F79">
              <w:rPr>
                <w:rFonts w:ascii="Arial" w:hAnsi="Arial" w:cs="Arial"/>
                <w:szCs w:val="18"/>
              </w:rPr>
              <w:t>Maintain secure and stable operations.</w:t>
            </w:r>
          </w:p>
          <w:p w:rsidR="00264A9A" w:rsidRPr="005B3F79" w:rsidRDefault="00264A9A" w:rsidP="00305D3B">
            <w:pPr>
              <w:spacing w:after="100" w:afterAutospacing="1"/>
              <w:ind w:left="279"/>
              <w:rPr>
                <w:rFonts w:ascii="Arial" w:hAnsi="Arial" w:cs="Arial"/>
                <w:szCs w:val="18"/>
              </w:rPr>
            </w:pPr>
          </w:p>
        </w:tc>
        <w:tc>
          <w:tcPr>
            <w:tcW w:w="3150" w:type="dxa"/>
          </w:tcPr>
          <w:p w:rsidR="00264A9A" w:rsidRPr="005B3F79" w:rsidRDefault="00264A9A" w:rsidP="00305D3B">
            <w:pPr>
              <w:numPr>
                <w:ilvl w:val="0"/>
                <w:numId w:val="3"/>
              </w:numPr>
              <w:spacing w:after="100" w:afterAutospacing="1"/>
              <w:ind w:left="248" w:hanging="248"/>
              <w:contextualSpacing/>
              <w:rPr>
                <w:rFonts w:ascii="Arial" w:hAnsi="Arial" w:cs="Arial"/>
                <w:szCs w:val="18"/>
              </w:rPr>
            </w:pPr>
            <w:r w:rsidRPr="005B3F79">
              <w:rPr>
                <w:rFonts w:ascii="Arial" w:hAnsi="Arial" w:cs="Arial"/>
                <w:szCs w:val="18"/>
              </w:rPr>
              <w:t>Financial plans for medium-long term, aligned to operational plans and strategy.</w:t>
            </w:r>
          </w:p>
          <w:p w:rsidR="00264A9A" w:rsidRPr="005B3F79" w:rsidRDefault="00264A9A" w:rsidP="00305D3B">
            <w:pPr>
              <w:numPr>
                <w:ilvl w:val="0"/>
                <w:numId w:val="3"/>
              </w:numPr>
              <w:spacing w:after="100" w:afterAutospacing="1"/>
              <w:ind w:left="248" w:hanging="248"/>
              <w:contextualSpacing/>
              <w:rPr>
                <w:rFonts w:ascii="Arial" w:hAnsi="Arial" w:cs="Arial"/>
                <w:szCs w:val="18"/>
              </w:rPr>
            </w:pPr>
            <w:r w:rsidRPr="005B3F79">
              <w:rPr>
                <w:rFonts w:ascii="Arial" w:hAnsi="Arial" w:cs="Arial"/>
                <w:szCs w:val="18"/>
              </w:rPr>
              <w:t>Improve support to the organizational structures, such as Constituencies/SGs/and GAC.</w:t>
            </w:r>
          </w:p>
          <w:p w:rsidR="00264A9A" w:rsidRPr="005B3F79" w:rsidRDefault="00264A9A" w:rsidP="00305D3B">
            <w:pPr>
              <w:numPr>
                <w:ilvl w:val="0"/>
                <w:numId w:val="3"/>
              </w:numPr>
              <w:spacing w:after="100" w:afterAutospacing="1"/>
              <w:ind w:left="248" w:hanging="248"/>
              <w:contextualSpacing/>
              <w:rPr>
                <w:rFonts w:ascii="Arial" w:hAnsi="Arial" w:cs="Arial"/>
                <w:szCs w:val="18"/>
              </w:rPr>
            </w:pPr>
            <w:r w:rsidRPr="005B3F79">
              <w:rPr>
                <w:rFonts w:ascii="Arial" w:hAnsi="Arial" w:cs="Arial"/>
                <w:szCs w:val="18"/>
              </w:rPr>
              <w:lastRenderedPageBreak/>
              <w:t>Positive balance sheet.</w:t>
            </w:r>
          </w:p>
          <w:p w:rsidR="00264A9A" w:rsidRPr="005B3F79" w:rsidRDefault="00264A9A" w:rsidP="00305D3B">
            <w:pPr>
              <w:numPr>
                <w:ilvl w:val="0"/>
                <w:numId w:val="3"/>
              </w:numPr>
              <w:spacing w:after="100" w:afterAutospacing="1"/>
              <w:ind w:left="248" w:hanging="248"/>
              <w:contextualSpacing/>
              <w:rPr>
                <w:rFonts w:ascii="Arial" w:hAnsi="Arial" w:cs="Arial"/>
                <w:szCs w:val="18"/>
              </w:rPr>
            </w:pPr>
            <w:r w:rsidRPr="005B3F79">
              <w:rPr>
                <w:rFonts w:ascii="Arial" w:hAnsi="Arial" w:cs="Arial"/>
                <w:szCs w:val="18"/>
              </w:rPr>
              <w:t>Periodic review of progress against plans.</w:t>
            </w:r>
          </w:p>
        </w:tc>
      </w:tr>
      <w:tr w:rsidR="00264A9A" w:rsidRPr="005B3F79" w:rsidTr="00305D3B">
        <w:tc>
          <w:tcPr>
            <w:tcW w:w="3150" w:type="dxa"/>
          </w:tcPr>
          <w:p w:rsidR="00264A9A" w:rsidRPr="005B3F79" w:rsidRDefault="00264A9A" w:rsidP="00305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Cs w:val="18"/>
              </w:rPr>
            </w:pPr>
            <w:r w:rsidRPr="005B3F79">
              <w:rPr>
                <w:rFonts w:ascii="Arial" w:eastAsia="Times New Roman" w:hAnsi="Arial" w:cs="Arial"/>
                <w:color w:val="000000"/>
                <w:szCs w:val="18"/>
              </w:rPr>
              <w:lastRenderedPageBreak/>
              <w:t xml:space="preserve">Ensure a strong linkage between ICANN’s </w:t>
            </w:r>
            <w:r w:rsidRPr="005B3F79">
              <w:rPr>
                <w:rFonts w:ascii="Arial" w:eastAsia="Times New Roman" w:hAnsi="Arial" w:cs="Arial"/>
                <w:color w:val="000000"/>
                <w:szCs w:val="18"/>
                <w:u w:val="single"/>
              </w:rPr>
              <w:t>Strategic Plan</w:t>
            </w:r>
            <w:r w:rsidRPr="005B3F79">
              <w:rPr>
                <w:rFonts w:ascii="Arial" w:eastAsia="Times New Roman" w:hAnsi="Arial" w:cs="Arial"/>
                <w:color w:val="000000"/>
                <w:szCs w:val="18"/>
              </w:rPr>
              <w:t xml:space="preserve">, </w:t>
            </w:r>
            <w:r w:rsidRPr="005B3F79">
              <w:rPr>
                <w:rFonts w:ascii="Arial" w:eastAsia="Times New Roman" w:hAnsi="Arial" w:cs="Arial"/>
                <w:color w:val="000000"/>
                <w:szCs w:val="18"/>
                <w:u w:val="single"/>
              </w:rPr>
              <w:t>Operating Plan (with measurable objectives), and Budget</w:t>
            </w:r>
            <w:r w:rsidRPr="005B3F79">
              <w:rPr>
                <w:rFonts w:ascii="Arial" w:eastAsia="Times New Roman" w:hAnsi="Arial" w:cs="Arial"/>
                <w:color w:val="000000"/>
                <w:szCs w:val="18"/>
              </w:rPr>
              <w:t xml:space="preserve">. </w:t>
            </w:r>
          </w:p>
        </w:tc>
        <w:tc>
          <w:tcPr>
            <w:tcW w:w="3150" w:type="dxa"/>
          </w:tcPr>
          <w:p w:rsidR="00264A9A" w:rsidRPr="005B3F79" w:rsidRDefault="00264A9A" w:rsidP="00305D3B">
            <w:pPr>
              <w:numPr>
                <w:ilvl w:val="0"/>
                <w:numId w:val="3"/>
              </w:numPr>
              <w:spacing w:after="100" w:afterAutospacing="1"/>
              <w:ind w:left="279" w:hanging="279"/>
              <w:contextualSpacing/>
              <w:rPr>
                <w:rFonts w:ascii="Arial" w:hAnsi="Arial" w:cs="Arial"/>
                <w:szCs w:val="18"/>
              </w:rPr>
            </w:pPr>
            <w:r w:rsidRPr="005B3F79">
              <w:rPr>
                <w:rFonts w:ascii="Arial" w:hAnsi="Arial" w:cs="Arial"/>
                <w:szCs w:val="18"/>
              </w:rPr>
              <w:t>Ensure that staff and community efforts align with the operating plans, budget and overall strategy.</w:t>
            </w:r>
          </w:p>
        </w:tc>
        <w:tc>
          <w:tcPr>
            <w:tcW w:w="3150" w:type="dxa"/>
          </w:tcPr>
          <w:p w:rsidR="00264A9A" w:rsidRPr="005B3F79" w:rsidRDefault="00264A9A" w:rsidP="00305D3B">
            <w:pPr>
              <w:numPr>
                <w:ilvl w:val="0"/>
                <w:numId w:val="3"/>
              </w:numPr>
              <w:spacing w:after="100" w:afterAutospacing="1"/>
              <w:ind w:left="248" w:hanging="248"/>
              <w:contextualSpacing/>
              <w:rPr>
                <w:rFonts w:ascii="Arial" w:hAnsi="Arial" w:cs="Arial"/>
                <w:szCs w:val="18"/>
              </w:rPr>
            </w:pPr>
            <w:r w:rsidRPr="005B3F79">
              <w:rPr>
                <w:rFonts w:ascii="Arial" w:hAnsi="Arial" w:cs="Arial"/>
                <w:szCs w:val="18"/>
              </w:rPr>
              <w:t xml:space="preserve">Periodic reporting of progress against strategic plan.  </w:t>
            </w:r>
          </w:p>
          <w:p w:rsidR="00264A9A" w:rsidRPr="005B3F79" w:rsidRDefault="00264A9A" w:rsidP="00305D3B">
            <w:pPr>
              <w:numPr>
                <w:ilvl w:val="0"/>
                <w:numId w:val="3"/>
              </w:numPr>
              <w:spacing w:after="100" w:afterAutospacing="1"/>
              <w:ind w:left="248" w:hanging="248"/>
              <w:contextualSpacing/>
              <w:rPr>
                <w:rFonts w:ascii="Arial" w:hAnsi="Arial" w:cs="Arial"/>
                <w:szCs w:val="18"/>
              </w:rPr>
            </w:pPr>
            <w:r w:rsidRPr="005B3F79">
              <w:rPr>
                <w:rFonts w:ascii="Arial" w:hAnsi="Arial" w:cs="Arial"/>
                <w:szCs w:val="18"/>
              </w:rPr>
              <w:t>Transparent processes defined, documented and followed to achieve goals.</w:t>
            </w:r>
          </w:p>
        </w:tc>
      </w:tr>
    </w:tbl>
    <w:p w:rsidR="00264A9A" w:rsidRDefault="00264A9A" w:rsidP="00264A9A"/>
    <w:p w:rsidR="00264A9A" w:rsidRDefault="00264A9A" w:rsidP="00264A9A"/>
    <w:p w:rsidR="00264A9A" w:rsidRDefault="00264A9A" w:rsidP="00264A9A"/>
    <w:p w:rsidR="00264A9A" w:rsidRDefault="00264A9A" w:rsidP="00264A9A"/>
    <w:p w:rsidR="00264A9A" w:rsidRDefault="00264A9A" w:rsidP="00264A9A">
      <w:r>
        <w:t>Authored by Martin Sutton on behalf of the Business Constituency</w:t>
      </w:r>
      <w:proofErr w:type="gramStart"/>
      <w:r>
        <w:t xml:space="preserve">, </w:t>
      </w:r>
      <w:r w:rsidRPr="00C323A3">
        <w:rPr>
          <w:b/>
        </w:rPr>
        <w:t>,</w:t>
      </w:r>
      <w:proofErr w:type="gramEnd"/>
      <w:r>
        <w:t xml:space="preserve"> posted for member comment on 18</w:t>
      </w:r>
      <w:r w:rsidRPr="00C323A3">
        <w:rPr>
          <w:vertAlign w:val="superscript"/>
        </w:rPr>
        <w:t>th</w:t>
      </w:r>
      <w:r>
        <w:t xml:space="preserve"> January 2014. </w:t>
      </w:r>
      <w:proofErr w:type="gramStart"/>
      <w:r>
        <w:t>BC Member comments incorporated by Chris Chaplow on 31 January 2014.</w:t>
      </w:r>
      <w:proofErr w:type="gramEnd"/>
      <w:r>
        <w:t xml:space="preserve"> </w:t>
      </w:r>
    </w:p>
    <w:p w:rsidR="00A3742A" w:rsidRDefault="00A3742A" w:rsidP="00A3742A">
      <w:pPr>
        <w:rPr>
          <w:rFonts w:ascii="Arial" w:hAnsi="Arial" w:cs="Arial"/>
          <w:color w:val="4F81BD" w:themeColor="accent1"/>
          <w:sz w:val="22"/>
          <w:szCs w:val="22"/>
        </w:rPr>
      </w:pPr>
    </w:p>
    <w:sectPr w:rsidR="00A3742A" w:rsidSect="00F44C3D">
      <w:headerReference w:type="default" r:id="rId7"/>
      <w:pgSz w:w="12240" w:h="15840"/>
      <w:pgMar w:top="1440" w:right="81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637" w:rsidRDefault="005A4637" w:rsidP="00F44C3D">
      <w:r>
        <w:separator/>
      </w:r>
    </w:p>
  </w:endnote>
  <w:endnote w:type="continuationSeparator" w:id="0">
    <w:p w:rsidR="005A4637" w:rsidRDefault="005A4637" w:rsidP="00F44C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637" w:rsidRDefault="005A4637" w:rsidP="00F44C3D">
      <w:r>
        <w:separator/>
      </w:r>
    </w:p>
  </w:footnote>
  <w:footnote w:type="continuationSeparator" w:id="0">
    <w:p w:rsidR="005A4637" w:rsidRDefault="005A4637" w:rsidP="00F44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D7" w:rsidRDefault="005279D7" w:rsidP="00F44C3D">
    <w:pPr>
      <w:pStyle w:val="Encabezado"/>
      <w:tabs>
        <w:tab w:val="clear" w:pos="4320"/>
        <w:tab w:val="clear" w:pos="8640"/>
        <w:tab w:val="left" w:pos="1216"/>
      </w:tabs>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7560"/>
    </w:tblGrid>
    <w:tr w:rsidR="005279D7" w:rsidRPr="00A40E8D" w:rsidTr="00FD1A7F">
      <w:tc>
        <w:tcPr>
          <w:tcW w:w="1998" w:type="dxa"/>
        </w:tcPr>
        <w:p w:rsidR="005279D7" w:rsidRDefault="005279D7" w:rsidP="00FD1A7F">
          <w:pPr>
            <w:rPr>
              <w:rFonts w:ascii="Arial" w:hAnsi="Arial" w:cs="Arial"/>
              <w:b/>
              <w:sz w:val="28"/>
              <w:szCs w:val="28"/>
            </w:rPr>
          </w:pPr>
          <w:r>
            <w:rPr>
              <w:rFonts w:ascii="Arial" w:hAnsi="Arial" w:cs="Arial"/>
              <w:b/>
              <w:noProof/>
              <w:lang w:val="es-ES" w:eastAsia="es-ES"/>
            </w:rPr>
            <w:drawing>
              <wp:inline distT="0" distB="0" distL="0" distR="0">
                <wp:extent cx="571500" cy="457200"/>
                <wp:effectExtent l="0" t="0" r="12700" b="0"/>
                <wp:docPr id="4" name="Picture 4" descr="Steelhead:XPLANE:Clients:ICANN:_Misc materials:icann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elhead:XPLANE:Clients:ICANN:_Misc materials:icannlogo_small.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inline>
            </w:drawing>
          </w:r>
        </w:p>
      </w:tc>
      <w:tc>
        <w:tcPr>
          <w:tcW w:w="7560" w:type="dxa"/>
          <w:vAlign w:val="center"/>
        </w:tcPr>
        <w:p w:rsidR="005279D7" w:rsidRDefault="005279D7" w:rsidP="00FD1A7F">
          <w:pPr>
            <w:jc w:val="center"/>
            <w:rPr>
              <w:rFonts w:ascii="Arial" w:hAnsi="Arial" w:cs="Arial"/>
              <w:b/>
            </w:rPr>
          </w:pPr>
          <w:r w:rsidRPr="00BC6153">
            <w:rPr>
              <w:rFonts w:ascii="Arial" w:hAnsi="Arial" w:cs="Arial"/>
              <w:b/>
            </w:rPr>
            <w:t>Public Comments requested</w:t>
          </w:r>
          <w:r>
            <w:rPr>
              <w:rFonts w:ascii="Arial" w:hAnsi="Arial" w:cs="Arial"/>
              <w:b/>
            </w:rPr>
            <w:t>:</w:t>
          </w:r>
        </w:p>
        <w:p w:rsidR="005279D7" w:rsidRDefault="005279D7" w:rsidP="00FD1A7F">
          <w:pPr>
            <w:jc w:val="center"/>
            <w:rPr>
              <w:rFonts w:ascii="Arial" w:hAnsi="Arial" w:cs="Arial"/>
              <w:b/>
            </w:rPr>
          </w:pPr>
          <w:r w:rsidRPr="00BC6153">
            <w:rPr>
              <w:rFonts w:ascii="Arial" w:hAnsi="Arial" w:cs="Arial"/>
              <w:b/>
            </w:rPr>
            <w:t xml:space="preserve"> </w:t>
          </w:r>
          <w:r>
            <w:rPr>
              <w:rFonts w:ascii="Arial" w:hAnsi="Arial" w:cs="Arial"/>
              <w:b/>
            </w:rPr>
            <w:t xml:space="preserve">ICANN’s Draft </w:t>
          </w:r>
          <w:r w:rsidRPr="00A40E8D">
            <w:rPr>
              <w:rFonts w:ascii="Arial" w:hAnsi="Arial" w:cs="Arial"/>
              <w:b/>
            </w:rPr>
            <w:t>Vision</w:t>
          </w:r>
          <w:r>
            <w:rPr>
              <w:rFonts w:ascii="Arial" w:hAnsi="Arial" w:cs="Arial"/>
              <w:b/>
            </w:rPr>
            <w:t>, Mission &amp; Focus Areas</w:t>
          </w:r>
        </w:p>
        <w:p w:rsidR="005279D7" w:rsidRPr="00A40E8D" w:rsidRDefault="005279D7" w:rsidP="00FD1A7F">
          <w:pPr>
            <w:jc w:val="center"/>
            <w:rPr>
              <w:rFonts w:ascii="Arial" w:hAnsi="Arial" w:cs="Arial"/>
              <w:b/>
            </w:rPr>
          </w:pPr>
          <w:r>
            <w:rPr>
              <w:rFonts w:ascii="Arial" w:hAnsi="Arial" w:cs="Arial"/>
              <w:b/>
            </w:rPr>
            <w:t>for a</w:t>
          </w:r>
          <w:r w:rsidRPr="00A40E8D">
            <w:rPr>
              <w:rFonts w:ascii="Arial" w:hAnsi="Arial" w:cs="Arial"/>
              <w:b/>
            </w:rPr>
            <w:t xml:space="preserve"> Five-Year Strategic Plan</w:t>
          </w:r>
        </w:p>
        <w:p w:rsidR="005279D7" w:rsidRPr="00A40E8D" w:rsidRDefault="005279D7" w:rsidP="00FD1A7F">
          <w:pPr>
            <w:jc w:val="center"/>
            <w:rPr>
              <w:rFonts w:ascii="Arial" w:hAnsi="Arial" w:cs="Arial"/>
              <w:sz w:val="20"/>
              <w:szCs w:val="20"/>
            </w:rPr>
          </w:pPr>
          <w:r>
            <w:rPr>
              <w:rFonts w:ascii="Arial" w:hAnsi="Arial" w:cs="Arial"/>
              <w:sz w:val="20"/>
              <w:szCs w:val="20"/>
            </w:rPr>
            <w:t>28 October</w:t>
          </w:r>
          <w:r w:rsidRPr="00A40E8D">
            <w:rPr>
              <w:rFonts w:ascii="Arial" w:hAnsi="Arial" w:cs="Arial"/>
              <w:sz w:val="20"/>
              <w:szCs w:val="20"/>
            </w:rPr>
            <w:t xml:space="preserve"> 2013</w:t>
          </w:r>
        </w:p>
      </w:tc>
    </w:tr>
  </w:tbl>
  <w:p w:rsidR="005279D7" w:rsidRDefault="005279D7" w:rsidP="00F44C3D">
    <w:pPr>
      <w:pStyle w:val="Encabezado"/>
      <w:tabs>
        <w:tab w:val="clear" w:pos="4320"/>
        <w:tab w:val="clear" w:pos="8640"/>
        <w:tab w:val="left" w:pos="1216"/>
      </w:tabs>
    </w:pPr>
  </w:p>
  <w:p w:rsidR="005279D7" w:rsidRDefault="005279D7" w:rsidP="00F44C3D">
    <w:pPr>
      <w:pStyle w:val="Encabezado"/>
    </w:pPr>
  </w:p>
  <w:p w:rsidR="005279D7" w:rsidRDefault="005279D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D08E3"/>
    <w:multiLevelType w:val="hybridMultilevel"/>
    <w:tmpl w:val="C550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AE52CC"/>
    <w:multiLevelType w:val="hybridMultilevel"/>
    <w:tmpl w:val="501A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AF74FF"/>
    <w:multiLevelType w:val="hybridMultilevel"/>
    <w:tmpl w:val="82962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317920"/>
    <w:multiLevelType w:val="hybridMultilevel"/>
    <w:tmpl w:val="37C4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A3742A"/>
    <w:rsid w:val="00030B14"/>
    <w:rsid w:val="0005031E"/>
    <w:rsid w:val="00094E6E"/>
    <w:rsid w:val="000C25D4"/>
    <w:rsid w:val="000F4C20"/>
    <w:rsid w:val="001A7697"/>
    <w:rsid w:val="00264A9A"/>
    <w:rsid w:val="003362E4"/>
    <w:rsid w:val="00382FA0"/>
    <w:rsid w:val="003E3C58"/>
    <w:rsid w:val="004D5B8D"/>
    <w:rsid w:val="004F30BC"/>
    <w:rsid w:val="0050260D"/>
    <w:rsid w:val="005279D7"/>
    <w:rsid w:val="005A4637"/>
    <w:rsid w:val="0067286A"/>
    <w:rsid w:val="0070706A"/>
    <w:rsid w:val="00741A21"/>
    <w:rsid w:val="0078714F"/>
    <w:rsid w:val="00841646"/>
    <w:rsid w:val="008A7F61"/>
    <w:rsid w:val="00906BE6"/>
    <w:rsid w:val="00931225"/>
    <w:rsid w:val="00970633"/>
    <w:rsid w:val="00A3742A"/>
    <w:rsid w:val="00AF6D8D"/>
    <w:rsid w:val="00BA7C48"/>
    <w:rsid w:val="00BD6904"/>
    <w:rsid w:val="00CA1E13"/>
    <w:rsid w:val="00CB1B94"/>
    <w:rsid w:val="00D46BC3"/>
    <w:rsid w:val="00E1281D"/>
    <w:rsid w:val="00ED17E9"/>
    <w:rsid w:val="00F14F75"/>
    <w:rsid w:val="00F44C3D"/>
    <w:rsid w:val="00F67768"/>
    <w:rsid w:val="00F94048"/>
    <w:rsid w:val="00FB5440"/>
    <w:rsid w:val="00FD1A7F"/>
    <w:rsid w:val="00FE2B25"/>
    <w:rsid w:val="00FF0F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4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37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44C3D"/>
    <w:pPr>
      <w:tabs>
        <w:tab w:val="center" w:pos="4320"/>
        <w:tab w:val="right" w:pos="8640"/>
      </w:tabs>
    </w:pPr>
  </w:style>
  <w:style w:type="character" w:customStyle="1" w:styleId="EncabezadoCar">
    <w:name w:val="Encabezado Car"/>
    <w:basedOn w:val="Fuentedeprrafopredeter"/>
    <w:link w:val="Encabezado"/>
    <w:uiPriority w:val="99"/>
    <w:rsid w:val="00F44C3D"/>
  </w:style>
  <w:style w:type="paragraph" w:styleId="Piedepgina">
    <w:name w:val="footer"/>
    <w:basedOn w:val="Normal"/>
    <w:link w:val="PiedepginaCar"/>
    <w:uiPriority w:val="99"/>
    <w:unhideWhenUsed/>
    <w:rsid w:val="00F44C3D"/>
    <w:pPr>
      <w:tabs>
        <w:tab w:val="center" w:pos="4320"/>
        <w:tab w:val="right" w:pos="8640"/>
      </w:tabs>
    </w:pPr>
  </w:style>
  <w:style w:type="character" w:customStyle="1" w:styleId="PiedepginaCar">
    <w:name w:val="Pie de página Car"/>
    <w:basedOn w:val="Fuentedeprrafopredeter"/>
    <w:link w:val="Piedepgina"/>
    <w:uiPriority w:val="99"/>
    <w:rsid w:val="00F44C3D"/>
  </w:style>
  <w:style w:type="paragraph" w:styleId="Textodeglobo">
    <w:name w:val="Balloon Text"/>
    <w:basedOn w:val="Normal"/>
    <w:link w:val="TextodegloboCar"/>
    <w:uiPriority w:val="99"/>
    <w:semiHidden/>
    <w:unhideWhenUsed/>
    <w:rsid w:val="00F44C3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44C3D"/>
    <w:rPr>
      <w:rFonts w:ascii="Lucida Grande" w:hAnsi="Lucida Grande" w:cs="Lucida Grande"/>
      <w:sz w:val="18"/>
      <w:szCs w:val="18"/>
    </w:rPr>
  </w:style>
  <w:style w:type="character" w:styleId="Refdecomentario">
    <w:name w:val="annotation reference"/>
    <w:basedOn w:val="Fuentedeprrafopredeter"/>
    <w:uiPriority w:val="99"/>
    <w:semiHidden/>
    <w:unhideWhenUsed/>
    <w:rsid w:val="00F44C3D"/>
    <w:rPr>
      <w:sz w:val="18"/>
      <w:szCs w:val="18"/>
    </w:rPr>
  </w:style>
  <w:style w:type="paragraph" w:styleId="Textocomentario">
    <w:name w:val="annotation text"/>
    <w:basedOn w:val="Normal"/>
    <w:link w:val="TextocomentarioCar"/>
    <w:uiPriority w:val="99"/>
    <w:semiHidden/>
    <w:unhideWhenUsed/>
    <w:rsid w:val="00F44C3D"/>
  </w:style>
  <w:style w:type="character" w:customStyle="1" w:styleId="TextocomentarioCar">
    <w:name w:val="Texto comentario Car"/>
    <w:basedOn w:val="Fuentedeprrafopredeter"/>
    <w:link w:val="Textocomentario"/>
    <w:uiPriority w:val="99"/>
    <w:semiHidden/>
    <w:rsid w:val="00F44C3D"/>
  </w:style>
  <w:style w:type="character" w:styleId="Hipervnculo">
    <w:name w:val="Hyperlink"/>
    <w:basedOn w:val="Fuentedeprrafopredeter"/>
    <w:uiPriority w:val="99"/>
    <w:unhideWhenUsed/>
    <w:rsid w:val="008A7F61"/>
    <w:rPr>
      <w:color w:val="0000FF" w:themeColor="hyperlink"/>
      <w:u w:val="single"/>
    </w:rPr>
  </w:style>
  <w:style w:type="paragraph" w:customStyle="1" w:styleId="Default">
    <w:name w:val="Default"/>
    <w:rsid w:val="0070706A"/>
    <w:pPr>
      <w:autoSpaceDE w:val="0"/>
      <w:autoSpaceDN w:val="0"/>
      <w:adjustRightInd w:val="0"/>
    </w:pPr>
    <w:rPr>
      <w:rFonts w:ascii="Arial" w:hAnsi="Arial" w:cs="Arial"/>
      <w:color w:val="000000"/>
      <w:lang w:val="en-GB"/>
    </w:rPr>
  </w:style>
  <w:style w:type="paragraph" w:styleId="Prrafodelista">
    <w:name w:val="List Paragraph"/>
    <w:basedOn w:val="Normal"/>
    <w:uiPriority w:val="34"/>
    <w:qFormat/>
    <w:rsid w:val="00BA7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4C3D"/>
    <w:pPr>
      <w:tabs>
        <w:tab w:val="center" w:pos="4320"/>
        <w:tab w:val="right" w:pos="8640"/>
      </w:tabs>
    </w:pPr>
  </w:style>
  <w:style w:type="character" w:customStyle="1" w:styleId="HeaderChar">
    <w:name w:val="Header Char"/>
    <w:basedOn w:val="DefaultParagraphFont"/>
    <w:link w:val="Header"/>
    <w:uiPriority w:val="99"/>
    <w:rsid w:val="00F44C3D"/>
  </w:style>
  <w:style w:type="paragraph" w:styleId="Footer">
    <w:name w:val="footer"/>
    <w:basedOn w:val="Normal"/>
    <w:link w:val="FooterChar"/>
    <w:uiPriority w:val="99"/>
    <w:unhideWhenUsed/>
    <w:rsid w:val="00F44C3D"/>
    <w:pPr>
      <w:tabs>
        <w:tab w:val="center" w:pos="4320"/>
        <w:tab w:val="right" w:pos="8640"/>
      </w:tabs>
    </w:pPr>
  </w:style>
  <w:style w:type="character" w:customStyle="1" w:styleId="FooterChar">
    <w:name w:val="Footer Char"/>
    <w:basedOn w:val="DefaultParagraphFont"/>
    <w:link w:val="Footer"/>
    <w:uiPriority w:val="99"/>
    <w:rsid w:val="00F44C3D"/>
  </w:style>
  <w:style w:type="paragraph" w:styleId="BalloonText">
    <w:name w:val="Balloon Text"/>
    <w:basedOn w:val="Normal"/>
    <w:link w:val="BalloonTextChar"/>
    <w:uiPriority w:val="99"/>
    <w:semiHidden/>
    <w:unhideWhenUsed/>
    <w:rsid w:val="00F44C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C3D"/>
    <w:rPr>
      <w:rFonts w:ascii="Lucida Grande" w:hAnsi="Lucida Grande" w:cs="Lucida Grande"/>
      <w:sz w:val="18"/>
      <w:szCs w:val="18"/>
    </w:rPr>
  </w:style>
  <w:style w:type="character" w:styleId="CommentReference">
    <w:name w:val="annotation reference"/>
    <w:basedOn w:val="DefaultParagraphFont"/>
    <w:uiPriority w:val="99"/>
    <w:semiHidden/>
    <w:unhideWhenUsed/>
    <w:rsid w:val="00F44C3D"/>
    <w:rPr>
      <w:sz w:val="18"/>
      <w:szCs w:val="18"/>
    </w:rPr>
  </w:style>
  <w:style w:type="paragraph" w:styleId="CommentText">
    <w:name w:val="annotation text"/>
    <w:basedOn w:val="Normal"/>
    <w:link w:val="CommentTextChar"/>
    <w:uiPriority w:val="99"/>
    <w:semiHidden/>
    <w:unhideWhenUsed/>
    <w:rsid w:val="00F44C3D"/>
  </w:style>
  <w:style w:type="character" w:customStyle="1" w:styleId="CommentTextChar">
    <w:name w:val="Comment Text Char"/>
    <w:basedOn w:val="DefaultParagraphFont"/>
    <w:link w:val="CommentText"/>
    <w:uiPriority w:val="99"/>
    <w:semiHidden/>
    <w:rsid w:val="00F44C3D"/>
  </w:style>
  <w:style w:type="character" w:styleId="Hyperlink">
    <w:name w:val="Hyperlink"/>
    <w:basedOn w:val="DefaultParagraphFont"/>
    <w:uiPriority w:val="99"/>
    <w:unhideWhenUsed/>
    <w:rsid w:val="008A7F61"/>
    <w:rPr>
      <w:color w:val="0000FF" w:themeColor="hyperlink"/>
      <w:u w:val="single"/>
    </w:rPr>
  </w:style>
  <w:style w:type="paragraph" w:customStyle="1" w:styleId="Default">
    <w:name w:val="Default"/>
    <w:rsid w:val="0070706A"/>
    <w:pPr>
      <w:autoSpaceDE w:val="0"/>
      <w:autoSpaceDN w:val="0"/>
      <w:adjustRightInd w:val="0"/>
    </w:pPr>
    <w:rPr>
      <w:rFonts w:ascii="Arial" w:hAnsi="Arial" w:cs="Arial"/>
      <w:color w:val="000000"/>
      <w:lang w:val="en-GB"/>
    </w:rPr>
  </w:style>
  <w:style w:type="paragraph" w:styleId="ListParagraph">
    <w:name w:val="List Paragraph"/>
    <w:basedOn w:val="Normal"/>
    <w:uiPriority w:val="34"/>
    <w:qFormat/>
    <w:rsid w:val="00BA7C48"/>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3</Pages>
  <Words>618</Words>
  <Characters>3401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keywords>NOT-APPL</cp:keywords>
  <dc:description>NOT-APPL</dc:description>
  <cp:lastModifiedBy>Chris Chaplow</cp:lastModifiedBy>
  <cp:revision>22</cp:revision>
  <dcterms:created xsi:type="dcterms:W3CDTF">2014-01-06T17:54:00Z</dcterms:created>
  <dcterms:modified xsi:type="dcterms:W3CDTF">2014-01-31T18:37:00Z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