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D3" w:rsidRPr="006942D7" w:rsidRDefault="007564D3" w:rsidP="007564D3">
      <w:pPr>
        <w:widowControl w:val="0"/>
        <w:autoSpaceDE w:val="0"/>
        <w:autoSpaceDN w:val="0"/>
        <w:adjustRightInd w:val="0"/>
        <w:spacing w:line="360" w:lineRule="auto"/>
        <w:rPr>
          <w:rFonts w:ascii="Calibri" w:hAnsi="Calibri" w:cs="Verdana"/>
          <w:b/>
          <w:sz w:val="22"/>
          <w:szCs w:val="42"/>
        </w:rPr>
      </w:pPr>
      <w:r>
        <w:rPr>
          <w:rFonts w:ascii="Calibri" w:hAnsi="Calibri" w:cs="Verdana"/>
          <w:b/>
          <w:sz w:val="22"/>
          <w:szCs w:val="42"/>
        </w:rPr>
        <w:t xml:space="preserve">Stakeholder Group / </w:t>
      </w:r>
      <w:r w:rsidRPr="006942D7">
        <w:rPr>
          <w:rFonts w:ascii="Calibri" w:hAnsi="Calibri" w:cs="Verdana"/>
          <w:b/>
          <w:sz w:val="22"/>
          <w:szCs w:val="42"/>
        </w:rPr>
        <w:t xml:space="preserve">Constituency Input Template </w:t>
      </w:r>
    </w:p>
    <w:p w:rsidR="007564D3" w:rsidRPr="006942D7" w:rsidRDefault="007564D3" w:rsidP="007564D3">
      <w:pPr>
        <w:widowControl w:val="0"/>
        <w:pBdr>
          <w:bottom w:val="single" w:sz="4" w:space="1" w:color="auto"/>
        </w:pBdr>
        <w:autoSpaceDE w:val="0"/>
        <w:autoSpaceDN w:val="0"/>
        <w:adjustRightInd w:val="0"/>
        <w:spacing w:line="360" w:lineRule="auto"/>
        <w:rPr>
          <w:rFonts w:ascii="Calibri" w:hAnsi="Calibri" w:cs="Verdana"/>
          <w:b/>
          <w:sz w:val="22"/>
          <w:szCs w:val="42"/>
        </w:rPr>
      </w:pPr>
      <w:r>
        <w:rPr>
          <w:rFonts w:ascii="Calibri" w:hAnsi="Calibri" w:cs="Verdana"/>
          <w:b/>
          <w:sz w:val="22"/>
          <w:szCs w:val="42"/>
        </w:rPr>
        <w:t>Inter-</w:t>
      </w:r>
      <w:r w:rsidR="00D5793F">
        <w:rPr>
          <w:rFonts w:ascii="Calibri" w:hAnsi="Calibri" w:cs="Verdana"/>
          <w:b/>
          <w:sz w:val="22"/>
          <w:szCs w:val="42"/>
        </w:rPr>
        <w:t>Registrar Transfer Policy Part D</w:t>
      </w:r>
      <w:r>
        <w:rPr>
          <w:rFonts w:ascii="Calibri" w:hAnsi="Calibri" w:cs="Verdana"/>
          <w:b/>
          <w:sz w:val="22"/>
          <w:szCs w:val="42"/>
        </w:rPr>
        <w:t xml:space="preserve"> Policy Development Process</w:t>
      </w:r>
    </w:p>
    <w:p w:rsidR="007564D3" w:rsidRDefault="007564D3" w:rsidP="007564D3">
      <w:pPr>
        <w:widowControl w:val="0"/>
        <w:autoSpaceDE w:val="0"/>
        <w:autoSpaceDN w:val="0"/>
        <w:adjustRightInd w:val="0"/>
        <w:spacing w:line="360" w:lineRule="auto"/>
        <w:rPr>
          <w:rFonts w:ascii="Calibri" w:hAnsi="Calibri" w:cs="Verdana"/>
          <w:sz w:val="22"/>
        </w:rPr>
      </w:pPr>
    </w:p>
    <w:p w:rsidR="007564D3" w:rsidRPr="00E971FB" w:rsidRDefault="007564D3" w:rsidP="007564D3">
      <w:pPr>
        <w:widowControl w:val="0"/>
        <w:autoSpaceDE w:val="0"/>
        <w:autoSpaceDN w:val="0"/>
        <w:adjustRightInd w:val="0"/>
        <w:spacing w:line="360" w:lineRule="auto"/>
        <w:rPr>
          <w:rFonts w:ascii="Calibri" w:hAnsi="Calibri" w:cs="Verdana"/>
          <w:sz w:val="22"/>
        </w:rPr>
      </w:pPr>
      <w:r w:rsidRPr="00E971FB">
        <w:rPr>
          <w:rFonts w:ascii="Calibri" w:hAnsi="Calibri" w:cs="Verdana"/>
          <w:sz w:val="22"/>
        </w:rPr>
        <w:t xml:space="preserve">PLEASE SUBMIT YOUR RESPONSE AT THE LATEST </w:t>
      </w:r>
      <w:r w:rsidRPr="00E971FB">
        <w:rPr>
          <w:rFonts w:ascii="Calibri" w:hAnsi="Calibri" w:cs="Verdana"/>
          <w:b/>
          <w:sz w:val="22"/>
        </w:rPr>
        <w:t xml:space="preserve">BY </w:t>
      </w:r>
      <w:r w:rsidR="00B67F9D">
        <w:rPr>
          <w:rFonts w:ascii="Calibri" w:hAnsi="Calibri" w:cs="Verdana"/>
          <w:b/>
          <w:sz w:val="22"/>
        </w:rPr>
        <w:t>Friday 19 April</w:t>
      </w:r>
      <w:r w:rsidR="00AC0A53">
        <w:rPr>
          <w:rFonts w:ascii="Calibri" w:hAnsi="Calibri" w:cs="Verdana"/>
          <w:b/>
          <w:sz w:val="22"/>
        </w:rPr>
        <w:t xml:space="preserve"> 2013</w:t>
      </w:r>
      <w:r w:rsidRPr="00E971FB">
        <w:rPr>
          <w:rFonts w:ascii="Calibri" w:hAnsi="Calibri" w:cs="Verdana"/>
          <w:sz w:val="22"/>
        </w:rPr>
        <w:t xml:space="preserve"> TO THE GNSO SECRETARIAT (</w:t>
      </w:r>
      <w:hyperlink r:id="rId7" w:history="1">
        <w:r w:rsidRPr="00E971FB">
          <w:rPr>
            <w:rStyle w:val="Hipervnculo"/>
            <w:rFonts w:ascii="Calibri" w:hAnsi="Calibri"/>
            <w:sz w:val="22"/>
          </w:rPr>
          <w:t>gnso.secretariat@gnso.icann.org</w:t>
        </w:r>
      </w:hyperlink>
      <w:r>
        <w:rPr>
          <w:rFonts w:ascii="Calibri" w:hAnsi="Calibri" w:cs="Verdana"/>
          <w:sz w:val="22"/>
        </w:rPr>
        <w:t>), which</w:t>
      </w:r>
      <w:r w:rsidRPr="00E971FB">
        <w:rPr>
          <w:rFonts w:ascii="Calibri" w:hAnsi="Calibri" w:cs="Verdana"/>
          <w:sz w:val="22"/>
        </w:rPr>
        <w:t xml:space="preserve"> will forward your statement to the </w:t>
      </w:r>
      <w:r w:rsidR="00AC0A53">
        <w:rPr>
          <w:rFonts w:ascii="Calibri" w:hAnsi="Calibri" w:cs="Verdana"/>
          <w:sz w:val="22"/>
        </w:rPr>
        <w:t>IRTP Part D</w:t>
      </w:r>
      <w:r>
        <w:rPr>
          <w:rFonts w:ascii="Calibri" w:hAnsi="Calibri" w:cs="Verdana"/>
          <w:sz w:val="22"/>
        </w:rPr>
        <w:t xml:space="preserve"> </w:t>
      </w:r>
      <w:r w:rsidRPr="00E971FB">
        <w:rPr>
          <w:rFonts w:ascii="Calibri" w:hAnsi="Calibri" w:cs="Verdana"/>
          <w:sz w:val="22"/>
        </w:rPr>
        <w:t>Working Group</w:t>
      </w:r>
      <w:r w:rsidR="00480FC8">
        <w:rPr>
          <w:rFonts w:ascii="Calibri" w:hAnsi="Calibri" w:cs="Verdana"/>
          <w:sz w:val="22"/>
        </w:rPr>
        <w:t xml:space="preserve">. </w:t>
      </w:r>
    </w:p>
    <w:p w:rsidR="007564D3" w:rsidRDefault="007564D3" w:rsidP="007564D3">
      <w:pPr>
        <w:widowControl w:val="0"/>
        <w:autoSpaceDE w:val="0"/>
        <w:autoSpaceDN w:val="0"/>
        <w:adjustRightInd w:val="0"/>
        <w:spacing w:line="360" w:lineRule="auto"/>
        <w:rPr>
          <w:rFonts w:ascii="Calibri" w:hAnsi="Calibri" w:cs="Verdana"/>
          <w:sz w:val="22"/>
        </w:rPr>
      </w:pPr>
    </w:p>
    <w:p w:rsidR="007564D3" w:rsidRPr="00E566A5" w:rsidRDefault="007564D3" w:rsidP="007564D3">
      <w:pPr>
        <w:widowControl w:val="0"/>
        <w:autoSpaceDE w:val="0"/>
        <w:autoSpaceDN w:val="0"/>
        <w:adjustRightInd w:val="0"/>
        <w:spacing w:line="360" w:lineRule="auto"/>
        <w:rPr>
          <w:rFonts w:ascii="Calibri" w:hAnsi="Calibri" w:cs="Verdana"/>
          <w:sz w:val="22"/>
        </w:rPr>
      </w:pPr>
      <w:r w:rsidRPr="006942D7">
        <w:rPr>
          <w:rFonts w:ascii="Calibri" w:hAnsi="Calibri" w:cs="Verdana"/>
          <w:sz w:val="22"/>
        </w:rPr>
        <w:t xml:space="preserve">The GNSO Council has formed a </w:t>
      </w:r>
      <w:hyperlink r:id="rId8" w:history="1">
        <w:r w:rsidRPr="00480FC8">
          <w:rPr>
            <w:rStyle w:val="Hipervnculo"/>
            <w:rFonts w:ascii="Calibri" w:hAnsi="Calibri" w:cs="Verdana"/>
            <w:sz w:val="22"/>
          </w:rPr>
          <w:t>Working Group</w:t>
        </w:r>
      </w:hyperlink>
      <w:r w:rsidRPr="006942D7">
        <w:rPr>
          <w:rFonts w:ascii="Calibri" w:hAnsi="Calibri" w:cs="Verdana"/>
          <w:sz w:val="22"/>
        </w:rPr>
        <w:t xml:space="preserve"> of interested stakeholders and </w:t>
      </w:r>
      <w:r>
        <w:rPr>
          <w:rFonts w:ascii="Calibri" w:hAnsi="Calibri" w:cs="Verdana"/>
          <w:sz w:val="22"/>
        </w:rPr>
        <w:t xml:space="preserve">Stakeholder Group / </w:t>
      </w:r>
      <w:r w:rsidRPr="006942D7">
        <w:rPr>
          <w:rFonts w:ascii="Calibri" w:hAnsi="Calibri" w:cs="Verdana"/>
          <w:sz w:val="22"/>
        </w:rPr>
        <w:t xml:space="preserve">Constituency representatives, to collaborate broadly with knowledgeable individuals and organizations, in order to consider recommendations for </w:t>
      </w:r>
      <w:r>
        <w:rPr>
          <w:rFonts w:ascii="Calibri" w:hAnsi="Calibri" w:cs="Verdana"/>
          <w:sz w:val="22"/>
        </w:rPr>
        <w:t xml:space="preserve">a </w:t>
      </w:r>
      <w:r w:rsidR="00B67F9D">
        <w:rPr>
          <w:rFonts w:ascii="Calibri" w:hAnsi="Calibri" w:cs="Verdana"/>
          <w:sz w:val="22"/>
        </w:rPr>
        <w:t xml:space="preserve">number of issues related to the </w:t>
      </w:r>
      <w:hyperlink r:id="rId9" w:history="1">
        <w:r w:rsidR="00B67F9D" w:rsidRPr="00FE1061">
          <w:rPr>
            <w:rStyle w:val="Hipervnculo"/>
            <w:rFonts w:ascii="Calibri" w:hAnsi="Calibri" w:cs="Calibri"/>
            <w:sz w:val="22"/>
            <w:szCs w:val="22"/>
          </w:rPr>
          <w:t>Inter-Registrar Transfer Policy (IRTP)</w:t>
        </w:r>
      </w:hyperlink>
      <w:r w:rsidR="00B67F9D">
        <w:rPr>
          <w:rFonts w:ascii="Calibri" w:hAnsi="Calibri" w:cs="Calibri"/>
          <w:sz w:val="22"/>
          <w:szCs w:val="22"/>
        </w:rPr>
        <w:t>.</w:t>
      </w:r>
      <w:r w:rsidR="00E566A5">
        <w:rPr>
          <w:rFonts w:ascii="Calibri" w:hAnsi="Calibri" w:cs="Calibri"/>
          <w:sz w:val="22"/>
          <w:szCs w:val="22"/>
        </w:rPr>
        <w:t xml:space="preserve"> </w:t>
      </w:r>
      <w:r w:rsidR="00E566A5" w:rsidRPr="00E566A5">
        <w:rPr>
          <w:rFonts w:ascii="Calibri" w:hAnsi="Calibri" w:cs="Verdana"/>
          <w:sz w:val="22"/>
        </w:rPr>
        <w:t>The IRTP is a consensus policy that was adopted by the GNSO Council in 2004</w:t>
      </w:r>
      <w:r w:rsidR="009450EF">
        <w:rPr>
          <w:rFonts w:ascii="Calibri" w:hAnsi="Calibri" w:cs="Verdana"/>
          <w:sz w:val="22"/>
        </w:rPr>
        <w:t>,</w:t>
      </w:r>
      <w:r w:rsidR="00E566A5" w:rsidRPr="00E566A5">
        <w:rPr>
          <w:rFonts w:ascii="Calibri" w:hAnsi="Calibri" w:cs="Verdana"/>
          <w:sz w:val="22"/>
        </w:rPr>
        <w:t xml:space="preserve"> </w:t>
      </w:r>
      <w:r w:rsidR="00E566A5" w:rsidRPr="00E566A5">
        <w:rPr>
          <w:rFonts w:ascii="Calibri" w:hAnsi="Calibri" w:cs="Verdana"/>
          <w:iCs/>
          <w:sz w:val="22"/>
        </w:rPr>
        <w:t>which aims to provide a straightforward procedure for domain name holders to transfer their names from one ICANN-accredited registrar to another.</w:t>
      </w:r>
    </w:p>
    <w:p w:rsidR="00B67F9D" w:rsidRPr="006942D7" w:rsidRDefault="00B67F9D" w:rsidP="007564D3">
      <w:pPr>
        <w:widowControl w:val="0"/>
        <w:autoSpaceDE w:val="0"/>
        <w:autoSpaceDN w:val="0"/>
        <w:adjustRightInd w:val="0"/>
        <w:spacing w:line="360" w:lineRule="auto"/>
        <w:rPr>
          <w:rFonts w:ascii="Calibri" w:hAnsi="Calibri" w:cs="Verdana"/>
          <w:sz w:val="22"/>
        </w:rPr>
      </w:pPr>
    </w:p>
    <w:p w:rsidR="007564D3" w:rsidRDefault="007564D3" w:rsidP="007564D3">
      <w:pPr>
        <w:widowControl w:val="0"/>
        <w:autoSpaceDE w:val="0"/>
        <w:autoSpaceDN w:val="0"/>
        <w:adjustRightInd w:val="0"/>
        <w:spacing w:line="360" w:lineRule="auto"/>
        <w:rPr>
          <w:rFonts w:ascii="Calibri" w:hAnsi="Calibri" w:cs="Verdana"/>
          <w:sz w:val="22"/>
        </w:rPr>
      </w:pPr>
      <w:r w:rsidRPr="006942D7">
        <w:rPr>
          <w:rFonts w:ascii="Calibri" w:hAnsi="Calibri" w:cs="Verdana"/>
          <w:sz w:val="22"/>
        </w:rPr>
        <w:t xml:space="preserve">Part of the working group’s effort will </w:t>
      </w:r>
      <w:r>
        <w:rPr>
          <w:rFonts w:ascii="Calibri" w:hAnsi="Calibri" w:cs="Verdana"/>
          <w:sz w:val="22"/>
        </w:rPr>
        <w:t xml:space="preserve">be to </w:t>
      </w:r>
      <w:r w:rsidRPr="006942D7">
        <w:rPr>
          <w:rFonts w:ascii="Calibri" w:hAnsi="Calibri" w:cs="Verdana"/>
          <w:sz w:val="22"/>
        </w:rPr>
        <w:t xml:space="preserve">incorporate ideas and suggestions gathered from </w:t>
      </w:r>
      <w:r>
        <w:rPr>
          <w:rFonts w:ascii="Calibri" w:hAnsi="Calibri" w:cs="Verdana"/>
          <w:sz w:val="22"/>
        </w:rPr>
        <w:t xml:space="preserve">Stakeholder Groups and </w:t>
      </w:r>
      <w:r w:rsidRPr="006942D7">
        <w:rPr>
          <w:rFonts w:ascii="Calibri" w:hAnsi="Calibri" w:cs="Verdana"/>
          <w:sz w:val="22"/>
        </w:rPr>
        <w:t xml:space="preserve">Constituencies through this </w:t>
      </w:r>
      <w:r>
        <w:rPr>
          <w:rFonts w:ascii="Calibri" w:hAnsi="Calibri" w:cs="Verdana"/>
          <w:sz w:val="22"/>
        </w:rPr>
        <w:t xml:space="preserve">Stakeholder Group / </w:t>
      </w:r>
      <w:r w:rsidRPr="006942D7">
        <w:rPr>
          <w:rFonts w:ascii="Calibri" w:hAnsi="Calibri" w:cs="Verdana"/>
          <w:sz w:val="22"/>
        </w:rPr>
        <w:t>Constituency Statement.</w:t>
      </w:r>
      <w:r>
        <w:rPr>
          <w:rFonts w:ascii="Calibri" w:hAnsi="Calibri" w:cs="Verdana"/>
          <w:sz w:val="22"/>
        </w:rPr>
        <w:t xml:space="preserve"> </w:t>
      </w:r>
      <w:r w:rsidRPr="006942D7">
        <w:rPr>
          <w:rFonts w:ascii="Calibri" w:hAnsi="Calibri" w:cs="Verdana"/>
          <w:sz w:val="22"/>
        </w:rPr>
        <w:t xml:space="preserve">Inserting your </w:t>
      </w:r>
      <w:r>
        <w:rPr>
          <w:rFonts w:ascii="Calibri" w:hAnsi="Calibri" w:cs="Verdana"/>
          <w:sz w:val="22"/>
        </w:rPr>
        <w:t xml:space="preserve">Stakeholder Group’s / </w:t>
      </w:r>
      <w:r w:rsidRPr="006942D7">
        <w:rPr>
          <w:rFonts w:ascii="Calibri" w:hAnsi="Calibri" w:cs="Verdana"/>
          <w:sz w:val="22"/>
        </w:rPr>
        <w:t>Constituency’s response in this form will make it much easier for the Working Group to summarize the responses. This information is helpful to the community in understanding the points of view of various stakeholders.</w:t>
      </w:r>
      <w:r>
        <w:rPr>
          <w:rFonts w:ascii="Calibri" w:hAnsi="Calibri" w:cs="Verdana"/>
          <w:sz w:val="22"/>
        </w:rPr>
        <w:t xml:space="preserve"> However, you should feel free to add any information you deem important to inform the working group’s deliberations, even if this does not fit into any of the questions listed below.</w:t>
      </w:r>
    </w:p>
    <w:p w:rsidR="007564D3" w:rsidRPr="006942D7" w:rsidRDefault="007564D3" w:rsidP="007564D3">
      <w:pPr>
        <w:widowControl w:val="0"/>
        <w:autoSpaceDE w:val="0"/>
        <w:autoSpaceDN w:val="0"/>
        <w:adjustRightInd w:val="0"/>
        <w:spacing w:line="360" w:lineRule="auto"/>
        <w:rPr>
          <w:rFonts w:ascii="Calibri" w:hAnsi="Calibri" w:cs="Verdana"/>
          <w:sz w:val="22"/>
        </w:rPr>
      </w:pPr>
    </w:p>
    <w:p w:rsidR="007564D3" w:rsidRDefault="007564D3" w:rsidP="007564D3">
      <w:pPr>
        <w:widowControl w:val="0"/>
        <w:autoSpaceDE w:val="0"/>
        <w:autoSpaceDN w:val="0"/>
        <w:adjustRightInd w:val="0"/>
        <w:spacing w:line="360" w:lineRule="auto"/>
        <w:rPr>
          <w:rFonts w:ascii="Calibri" w:hAnsi="Calibri" w:cs="Verdana"/>
          <w:sz w:val="22"/>
        </w:rPr>
      </w:pPr>
      <w:r w:rsidRPr="006942D7">
        <w:rPr>
          <w:rFonts w:ascii="Calibri" w:hAnsi="Calibri" w:cs="Verdana"/>
          <w:sz w:val="22"/>
        </w:rPr>
        <w:t>For further background information on this issue, please review th</w:t>
      </w:r>
      <w:r>
        <w:rPr>
          <w:rFonts w:ascii="Calibri" w:hAnsi="Calibri" w:cs="Verdana"/>
          <w:sz w:val="22"/>
        </w:rPr>
        <w:t xml:space="preserve">e </w:t>
      </w:r>
      <w:hyperlink r:id="rId10" w:history="1">
        <w:r w:rsidR="00960A5B">
          <w:rPr>
            <w:rStyle w:val="Hipervnculo"/>
            <w:rFonts w:ascii="Calibri" w:hAnsi="Calibri" w:cs="Verdana"/>
            <w:sz w:val="22"/>
          </w:rPr>
          <w:t>GNSO Final Issue Report on IRTP Part D</w:t>
        </w:r>
      </w:hyperlink>
      <w:r>
        <w:rPr>
          <w:rFonts w:ascii="Calibri" w:hAnsi="Calibri" w:cs="Verdana"/>
          <w:sz w:val="22"/>
        </w:rPr>
        <w:t>.</w:t>
      </w:r>
      <w:r w:rsidR="00480FC8">
        <w:rPr>
          <w:rFonts w:ascii="Calibri" w:hAnsi="Calibri" w:cs="Verdana"/>
          <w:sz w:val="22"/>
        </w:rPr>
        <w:t xml:space="preserve"> The Working Group </w:t>
      </w:r>
      <w:hyperlink r:id="rId11" w:history="1">
        <w:r w:rsidR="00480FC8" w:rsidRPr="00480FC8">
          <w:rPr>
            <w:rStyle w:val="Hipervnculo"/>
            <w:rFonts w:ascii="Calibri" w:hAnsi="Calibri" w:cs="Verdana"/>
            <w:sz w:val="22"/>
          </w:rPr>
          <w:t>Charter can be found here</w:t>
        </w:r>
      </w:hyperlink>
      <w:r w:rsidR="00480FC8">
        <w:rPr>
          <w:rFonts w:ascii="Calibri" w:hAnsi="Calibri" w:cs="Verdana"/>
          <w:sz w:val="22"/>
        </w:rPr>
        <w:t>.</w:t>
      </w:r>
    </w:p>
    <w:p w:rsidR="007564D3" w:rsidRDefault="007564D3" w:rsidP="007564D3">
      <w:pPr>
        <w:widowControl w:val="0"/>
        <w:autoSpaceDE w:val="0"/>
        <w:autoSpaceDN w:val="0"/>
        <w:adjustRightInd w:val="0"/>
        <w:spacing w:line="360" w:lineRule="auto"/>
        <w:rPr>
          <w:rFonts w:ascii="Calibri" w:hAnsi="Calibri" w:cs="Verdana"/>
          <w:sz w:val="22"/>
        </w:rPr>
      </w:pPr>
    </w:p>
    <w:p w:rsidR="007564D3" w:rsidRPr="006942D7" w:rsidRDefault="007564D3" w:rsidP="007564D3">
      <w:pPr>
        <w:widowControl w:val="0"/>
        <w:autoSpaceDE w:val="0"/>
        <w:autoSpaceDN w:val="0"/>
        <w:adjustRightInd w:val="0"/>
        <w:spacing w:line="360" w:lineRule="auto"/>
        <w:rPr>
          <w:rFonts w:ascii="Calibri" w:hAnsi="Calibri" w:cs="Verdana"/>
          <w:b/>
          <w:sz w:val="22"/>
        </w:rPr>
      </w:pPr>
      <w:r>
        <w:rPr>
          <w:rFonts w:ascii="Calibri" w:hAnsi="Calibri" w:cs="Verdana"/>
          <w:b/>
          <w:sz w:val="22"/>
        </w:rPr>
        <w:t>Process</w:t>
      </w:r>
    </w:p>
    <w:p w:rsidR="00F11F36" w:rsidRDefault="00F11F36" w:rsidP="007564D3">
      <w:pPr>
        <w:pStyle w:val="Listavistosa-nfasis11"/>
        <w:widowControl w:val="0"/>
        <w:numPr>
          <w:ilvl w:val="0"/>
          <w:numId w:val="1"/>
        </w:numPr>
        <w:autoSpaceDE w:val="0"/>
        <w:autoSpaceDN w:val="0"/>
        <w:adjustRightInd w:val="0"/>
        <w:spacing w:line="360" w:lineRule="auto"/>
        <w:rPr>
          <w:rFonts w:ascii="Calibri" w:hAnsi="Calibri" w:cs="Verdana"/>
          <w:sz w:val="22"/>
        </w:rPr>
      </w:pPr>
      <w:r>
        <w:rPr>
          <w:rFonts w:ascii="Calibri" w:hAnsi="Calibri" w:cs="Verdana"/>
          <w:sz w:val="22"/>
        </w:rPr>
        <w:t>Please identify the member(s) of your stakeholder group / constituency who is (are) participating in this working group</w:t>
      </w:r>
      <w:r w:rsidR="003C6D68">
        <w:rPr>
          <w:rFonts w:ascii="Calibri" w:hAnsi="Calibri" w:cs="Verdana"/>
          <w:sz w:val="22"/>
        </w:rPr>
        <w:t xml:space="preserve">   </w:t>
      </w:r>
      <w:r w:rsidR="003C6D68" w:rsidRPr="003C6D68">
        <w:rPr>
          <w:rFonts w:ascii="Calibri" w:hAnsi="Calibri" w:cs="Verdana"/>
          <w:color w:val="4F81BD" w:themeColor="accent1"/>
          <w:sz w:val="22"/>
        </w:rPr>
        <w:t xml:space="preserve"> Chris C</w:t>
      </w:r>
      <w:r w:rsidR="003C6D68">
        <w:rPr>
          <w:rFonts w:ascii="Calibri" w:hAnsi="Calibri" w:cs="Verdana"/>
          <w:color w:val="4F81BD" w:themeColor="accent1"/>
          <w:sz w:val="22"/>
        </w:rPr>
        <w:t>haplow, Angie Graves, Phil Corwi</w:t>
      </w:r>
      <w:r w:rsidR="003C6D68" w:rsidRPr="003C6D68">
        <w:rPr>
          <w:rFonts w:ascii="Calibri" w:hAnsi="Calibri" w:cs="Verdana"/>
          <w:color w:val="4F81BD" w:themeColor="accent1"/>
          <w:sz w:val="22"/>
        </w:rPr>
        <w:t>n</w:t>
      </w:r>
    </w:p>
    <w:p w:rsidR="007564D3" w:rsidRPr="006942D7" w:rsidRDefault="007564D3" w:rsidP="007564D3">
      <w:pPr>
        <w:pStyle w:val="Listavistosa-nfasis11"/>
        <w:widowControl w:val="0"/>
        <w:numPr>
          <w:ilvl w:val="0"/>
          <w:numId w:val="1"/>
        </w:numPr>
        <w:autoSpaceDE w:val="0"/>
        <w:autoSpaceDN w:val="0"/>
        <w:adjustRightInd w:val="0"/>
        <w:spacing w:line="360" w:lineRule="auto"/>
        <w:rPr>
          <w:rFonts w:ascii="Calibri" w:hAnsi="Calibri" w:cs="Verdana"/>
          <w:sz w:val="22"/>
        </w:rPr>
      </w:pPr>
      <w:r w:rsidRPr="006942D7">
        <w:rPr>
          <w:rFonts w:ascii="Calibri" w:hAnsi="Calibri" w:cs="Verdana"/>
          <w:sz w:val="22"/>
        </w:rPr>
        <w:t xml:space="preserve">Please identify the members of your </w:t>
      </w:r>
      <w:r>
        <w:rPr>
          <w:rFonts w:ascii="Calibri" w:hAnsi="Calibri" w:cs="Verdana"/>
          <w:sz w:val="22"/>
        </w:rPr>
        <w:t xml:space="preserve">stakeholder group / </w:t>
      </w:r>
      <w:r w:rsidRPr="006942D7">
        <w:rPr>
          <w:rFonts w:ascii="Calibri" w:hAnsi="Calibri" w:cs="Verdana"/>
          <w:sz w:val="22"/>
        </w:rPr>
        <w:t xml:space="preserve">constituency who participated in developing the </w:t>
      </w:r>
      <w:r w:rsidR="003C6D68">
        <w:rPr>
          <w:rFonts w:ascii="Calibri" w:hAnsi="Calibri" w:cs="Verdana"/>
          <w:sz w:val="22"/>
        </w:rPr>
        <w:t xml:space="preserve">perspective(s) set forth below.  </w:t>
      </w:r>
      <w:r w:rsidR="000E335C">
        <w:rPr>
          <w:rFonts w:ascii="Calibri" w:hAnsi="Calibri" w:cs="Verdana"/>
          <w:color w:val="4F81BD" w:themeColor="accent1"/>
          <w:sz w:val="22"/>
        </w:rPr>
        <w:t>Drafted by Chris Chaplow, reviewed by Angie Graves, Phil Corwi</w:t>
      </w:r>
      <w:r w:rsidR="000E335C" w:rsidRPr="003C6D68">
        <w:rPr>
          <w:rFonts w:ascii="Calibri" w:hAnsi="Calibri" w:cs="Verdana"/>
          <w:color w:val="4F81BD" w:themeColor="accent1"/>
          <w:sz w:val="22"/>
        </w:rPr>
        <w:t>n</w:t>
      </w:r>
      <w:r w:rsidR="000E335C">
        <w:rPr>
          <w:rFonts w:ascii="Calibri" w:hAnsi="Calibri" w:cs="Verdana"/>
          <w:color w:val="4F81BD" w:themeColor="accent1"/>
          <w:sz w:val="22"/>
        </w:rPr>
        <w:t xml:space="preserve"> and Steve DelBianco  </w:t>
      </w:r>
    </w:p>
    <w:p w:rsidR="007564D3" w:rsidRPr="00683666" w:rsidRDefault="007564D3" w:rsidP="007564D3">
      <w:pPr>
        <w:pStyle w:val="Listavistosa-nfasis11"/>
        <w:widowControl w:val="0"/>
        <w:numPr>
          <w:ilvl w:val="0"/>
          <w:numId w:val="1"/>
        </w:numPr>
        <w:autoSpaceDE w:val="0"/>
        <w:autoSpaceDN w:val="0"/>
        <w:adjustRightInd w:val="0"/>
        <w:spacing w:line="360" w:lineRule="auto"/>
        <w:rPr>
          <w:rFonts w:ascii="Calibri" w:hAnsi="Calibri" w:cs="Verdana"/>
          <w:sz w:val="22"/>
        </w:rPr>
      </w:pPr>
      <w:r w:rsidRPr="00683666">
        <w:rPr>
          <w:rFonts w:ascii="Calibri" w:hAnsi="Calibri" w:cs="Verdana"/>
          <w:sz w:val="22"/>
        </w:rPr>
        <w:t xml:space="preserve">Please describe the process by which your stakeholder group / constituency arrived at the </w:t>
      </w:r>
      <w:r w:rsidRPr="00683666">
        <w:rPr>
          <w:rFonts w:ascii="Calibri" w:hAnsi="Calibri" w:cs="Verdana"/>
          <w:sz w:val="22"/>
        </w:rPr>
        <w:lastRenderedPageBreak/>
        <w:t>perspective(s) set forth below.</w:t>
      </w:r>
      <w:r w:rsidR="003C6D68" w:rsidRPr="00683666">
        <w:rPr>
          <w:rFonts w:ascii="Calibri" w:hAnsi="Calibri" w:cs="Verdana"/>
          <w:sz w:val="22"/>
        </w:rPr>
        <w:t xml:space="preserve"> </w:t>
      </w:r>
      <w:r w:rsidR="003C6D68" w:rsidRPr="00683666">
        <w:rPr>
          <w:rFonts w:ascii="Calibri" w:hAnsi="Calibri" w:cs="Verdana"/>
          <w:color w:val="4F81BD" w:themeColor="accent1"/>
          <w:sz w:val="22"/>
        </w:rPr>
        <w:t>Chris C</w:t>
      </w:r>
      <w:r w:rsidR="000E335C" w:rsidRPr="00683666">
        <w:rPr>
          <w:rFonts w:ascii="Calibri" w:hAnsi="Calibri" w:cs="Verdana"/>
          <w:color w:val="4F81BD" w:themeColor="accent1"/>
          <w:sz w:val="22"/>
        </w:rPr>
        <w:t xml:space="preserve">haplow, drafted document, reviewed by </w:t>
      </w:r>
      <w:r w:rsidR="003C6D68" w:rsidRPr="00683666">
        <w:rPr>
          <w:rFonts w:ascii="Calibri" w:hAnsi="Calibri" w:cs="Verdana"/>
          <w:color w:val="4F81BD" w:themeColor="accent1"/>
          <w:sz w:val="22"/>
        </w:rPr>
        <w:t>Angie Graves, Phil Corwin</w:t>
      </w:r>
      <w:r w:rsidR="000E335C" w:rsidRPr="00683666">
        <w:rPr>
          <w:rFonts w:ascii="Calibri" w:hAnsi="Calibri" w:cs="Verdana"/>
          <w:color w:val="4F81BD" w:themeColor="accent1"/>
          <w:sz w:val="22"/>
        </w:rPr>
        <w:t xml:space="preserve">. Steve DelBianco </w:t>
      </w:r>
      <w:r w:rsidR="00683666" w:rsidRPr="00683666">
        <w:rPr>
          <w:rFonts w:ascii="Calibri" w:hAnsi="Calibri" w:cs="Verdana"/>
          <w:color w:val="4F81BD" w:themeColor="accent1"/>
          <w:sz w:val="22"/>
        </w:rPr>
        <w:t xml:space="preserve">reviewed that comments were in line with BC positions. </w:t>
      </w:r>
    </w:p>
    <w:p w:rsidR="007564D3" w:rsidRPr="006942D7" w:rsidRDefault="007564D3" w:rsidP="00BA79BC">
      <w:pPr>
        <w:keepNext/>
        <w:spacing w:line="360" w:lineRule="auto"/>
        <w:rPr>
          <w:rFonts w:ascii="Calibri" w:hAnsi="Calibri" w:cs="Verdana"/>
          <w:b/>
          <w:sz w:val="22"/>
        </w:rPr>
      </w:pPr>
      <w:r>
        <w:rPr>
          <w:rFonts w:ascii="Calibri" w:hAnsi="Calibri" w:cs="Verdana"/>
          <w:b/>
          <w:sz w:val="22"/>
        </w:rPr>
        <w:lastRenderedPageBreak/>
        <w:t>Questions</w:t>
      </w:r>
    </w:p>
    <w:p w:rsidR="00AE4D0C" w:rsidRDefault="00AE4D0C" w:rsidP="00BA79BC">
      <w:pPr>
        <w:keepNext/>
        <w:spacing w:line="360" w:lineRule="auto"/>
        <w:rPr>
          <w:rFonts w:ascii="Calibri" w:hAnsi="Calibri" w:cs="Verdana"/>
          <w:sz w:val="22"/>
        </w:rPr>
      </w:pPr>
    </w:p>
    <w:p w:rsidR="007564D3" w:rsidRDefault="007564D3" w:rsidP="00BA79BC">
      <w:pPr>
        <w:keepNext/>
        <w:spacing w:line="360" w:lineRule="auto"/>
        <w:rPr>
          <w:rFonts w:ascii="Calibri" w:hAnsi="Calibri" w:cs="Verdana"/>
          <w:sz w:val="22"/>
        </w:rPr>
      </w:pPr>
      <w:r w:rsidRPr="006942D7">
        <w:rPr>
          <w:rFonts w:ascii="Calibri" w:hAnsi="Calibri" w:cs="Verdana"/>
          <w:sz w:val="22"/>
        </w:rPr>
        <w:t xml:space="preserve">Please provide your </w:t>
      </w:r>
      <w:r>
        <w:rPr>
          <w:rFonts w:ascii="Calibri" w:hAnsi="Calibri" w:cs="Verdana"/>
          <w:sz w:val="22"/>
        </w:rPr>
        <w:t>stakeholder group’s / constituency’s views</w:t>
      </w:r>
      <w:r w:rsidRPr="006942D7">
        <w:rPr>
          <w:rFonts w:ascii="Calibri" w:hAnsi="Calibri" w:cs="Verdana"/>
          <w:sz w:val="22"/>
        </w:rPr>
        <w:t xml:space="preserve"> on</w:t>
      </w:r>
      <w:r w:rsidR="00A71826">
        <w:rPr>
          <w:rFonts w:ascii="Calibri" w:hAnsi="Calibri" w:cs="Verdana"/>
          <w:sz w:val="22"/>
        </w:rPr>
        <w:t xml:space="preserve"> the IRTP Part D</w:t>
      </w:r>
      <w:r>
        <w:rPr>
          <w:rFonts w:ascii="Calibri" w:hAnsi="Calibri" w:cs="Verdana"/>
          <w:sz w:val="22"/>
        </w:rPr>
        <w:t xml:space="preserve"> Charter Questions</w:t>
      </w:r>
      <w:r w:rsidRPr="006942D7">
        <w:rPr>
          <w:rFonts w:ascii="Calibri" w:hAnsi="Calibri" w:cs="Verdana"/>
          <w:sz w:val="22"/>
        </w:rPr>
        <w:t>:</w:t>
      </w:r>
    </w:p>
    <w:p w:rsidR="00A71826" w:rsidRDefault="00A71826" w:rsidP="00A71826">
      <w:pPr>
        <w:keepNext/>
        <w:numPr>
          <w:ilvl w:val="0"/>
          <w:numId w:val="4"/>
        </w:numPr>
        <w:spacing w:line="360" w:lineRule="auto"/>
        <w:rPr>
          <w:rFonts w:ascii="Calibri" w:hAnsi="Calibri" w:cs="Verdana"/>
          <w:sz w:val="22"/>
        </w:rPr>
      </w:pPr>
      <w:r>
        <w:rPr>
          <w:rFonts w:ascii="Calibri" w:hAnsi="Calibri" w:cs="Verdana"/>
          <w:sz w:val="22"/>
        </w:rPr>
        <w:t>With regard to the IRTP, should reporting requirements for registries and dispute provider be developed in order to make precedent and trend information available to the community and allow reference to past cases in dispute submissions?</w:t>
      </w:r>
    </w:p>
    <w:p w:rsidR="0067253B" w:rsidRPr="00307220" w:rsidRDefault="0067253B" w:rsidP="0067253B">
      <w:pPr>
        <w:keepNext/>
        <w:spacing w:line="360" w:lineRule="auto"/>
        <w:ind w:left="720"/>
        <w:rPr>
          <w:rFonts w:ascii="Calibri" w:hAnsi="Calibri" w:cs="Verdana"/>
          <w:color w:val="1F497D" w:themeColor="text2"/>
          <w:sz w:val="22"/>
        </w:rPr>
      </w:pPr>
      <w:r w:rsidRPr="00307220">
        <w:rPr>
          <w:rFonts w:ascii="Calibri" w:hAnsi="Calibri" w:cs="Verdana"/>
          <w:color w:val="1F497D" w:themeColor="text2"/>
          <w:sz w:val="22"/>
        </w:rPr>
        <w:t xml:space="preserve">BC considers that </w:t>
      </w:r>
      <w:r w:rsidR="00307220">
        <w:rPr>
          <w:rFonts w:ascii="Calibri" w:hAnsi="Calibri" w:cs="Verdana"/>
          <w:color w:val="1F497D" w:themeColor="text2"/>
          <w:sz w:val="22"/>
        </w:rPr>
        <w:t xml:space="preserve">reporting requirements for registries and dispute providers </w:t>
      </w:r>
      <w:r w:rsidR="00307220" w:rsidRPr="00307220">
        <w:rPr>
          <w:rFonts w:ascii="Calibri" w:hAnsi="Calibri" w:cs="Verdana"/>
          <w:b/>
          <w:color w:val="1F497D" w:themeColor="text2"/>
          <w:sz w:val="22"/>
        </w:rPr>
        <w:t>should</w:t>
      </w:r>
      <w:r w:rsidR="00307220">
        <w:rPr>
          <w:rFonts w:ascii="Calibri" w:hAnsi="Calibri" w:cs="Verdana"/>
          <w:color w:val="1F497D" w:themeColor="text2"/>
          <w:sz w:val="22"/>
        </w:rPr>
        <w:t xml:space="preserve"> be developed </w:t>
      </w:r>
      <w:r w:rsidR="00307220" w:rsidRPr="00307220">
        <w:rPr>
          <w:rFonts w:ascii="Calibri" w:hAnsi="Calibri" w:cs="Verdana"/>
          <w:color w:val="1F497D" w:themeColor="text2"/>
          <w:sz w:val="22"/>
        </w:rPr>
        <w:t>in order to make precedent and trend information available to the community and allow reference to past cases in dispute submissions</w:t>
      </w:r>
    </w:p>
    <w:p w:rsidR="00A71826" w:rsidRDefault="00A71826" w:rsidP="00A71826">
      <w:pPr>
        <w:keepNext/>
        <w:numPr>
          <w:ilvl w:val="0"/>
          <w:numId w:val="4"/>
        </w:numPr>
        <w:spacing w:line="360" w:lineRule="auto"/>
        <w:rPr>
          <w:rFonts w:ascii="Calibri" w:hAnsi="Calibri" w:cs="Verdana"/>
          <w:sz w:val="22"/>
        </w:rPr>
      </w:pPr>
      <w:r>
        <w:rPr>
          <w:rFonts w:ascii="Calibri" w:hAnsi="Calibri" w:cs="Verdana"/>
          <w:sz w:val="22"/>
        </w:rPr>
        <w:t xml:space="preserve">Should additional provisions be included in the </w:t>
      </w:r>
      <w:hyperlink r:id="rId12" w:history="1">
        <w:r w:rsidRPr="00480FC8">
          <w:rPr>
            <w:rStyle w:val="Hipervnculo"/>
            <w:rFonts w:ascii="Calibri" w:hAnsi="Calibri" w:cs="Verdana"/>
            <w:sz w:val="22"/>
          </w:rPr>
          <w:t>Transfer Dispute Resolution Policy</w:t>
        </w:r>
      </w:hyperlink>
      <w:r>
        <w:rPr>
          <w:rFonts w:ascii="Calibri" w:hAnsi="Calibri" w:cs="Verdana"/>
          <w:sz w:val="22"/>
        </w:rPr>
        <w:t xml:space="preserve"> (TDRP) that set out how to handle disputes when multiple transfers have occurred?</w:t>
      </w:r>
    </w:p>
    <w:p w:rsidR="003C6D68" w:rsidRPr="003C6D68" w:rsidRDefault="00307220" w:rsidP="003C6D68">
      <w:pPr>
        <w:keepNext/>
        <w:spacing w:line="360" w:lineRule="auto"/>
        <w:ind w:left="720"/>
        <w:rPr>
          <w:rFonts w:ascii="Calibri" w:hAnsi="Calibri" w:cs="Verdana"/>
          <w:color w:val="1F497D" w:themeColor="text2"/>
          <w:sz w:val="22"/>
        </w:rPr>
      </w:pPr>
      <w:r w:rsidRPr="00307220">
        <w:rPr>
          <w:rFonts w:ascii="Calibri" w:hAnsi="Calibri" w:cs="Verdana"/>
          <w:color w:val="1F497D" w:themeColor="text2"/>
          <w:sz w:val="22"/>
        </w:rPr>
        <w:t xml:space="preserve">Additional provisions should be included Multiple transfers in the </w:t>
      </w:r>
      <w:hyperlink r:id="rId13" w:history="1">
        <w:r w:rsidRPr="003C6D68">
          <w:rPr>
            <w:rFonts w:ascii="Calibri" w:hAnsi="Calibri" w:cs="Verdana"/>
            <w:color w:val="1F497D" w:themeColor="text2"/>
            <w:sz w:val="22"/>
          </w:rPr>
          <w:t>Transfer Dispute Resolution Policy</w:t>
        </w:r>
      </w:hyperlink>
      <w:r w:rsidRPr="00307220">
        <w:rPr>
          <w:rFonts w:ascii="Calibri" w:hAnsi="Calibri" w:cs="Verdana"/>
          <w:color w:val="1F497D" w:themeColor="text2"/>
          <w:sz w:val="22"/>
        </w:rPr>
        <w:t xml:space="preserve"> (TDRP) that set out how to handle disputes when multiple transfers have occurred</w:t>
      </w:r>
      <w:r>
        <w:rPr>
          <w:rFonts w:ascii="Calibri" w:hAnsi="Calibri" w:cs="Verdana"/>
          <w:color w:val="1F497D" w:themeColor="text2"/>
          <w:sz w:val="22"/>
        </w:rPr>
        <w:t xml:space="preserve">. </w:t>
      </w:r>
      <w:r w:rsidR="003C6D68" w:rsidRPr="003C6D68">
        <w:rPr>
          <w:rFonts w:ascii="Calibri" w:hAnsi="Calibri" w:cs="Verdana"/>
          <w:color w:val="1F497D" w:themeColor="text2"/>
          <w:sz w:val="22"/>
        </w:rPr>
        <w:t>As</w:t>
      </w:r>
      <w:r w:rsidR="003C6D68">
        <w:rPr>
          <w:rFonts w:ascii="Calibri" w:hAnsi="Calibri" w:cs="Verdana"/>
          <w:color w:val="1F497D" w:themeColor="text2"/>
          <w:sz w:val="22"/>
        </w:rPr>
        <w:t xml:space="preserve"> </w:t>
      </w:r>
      <w:r w:rsidR="003C6D68" w:rsidRPr="003C6D68">
        <w:rPr>
          <w:rFonts w:ascii="Calibri" w:hAnsi="Calibri" w:cs="Verdana"/>
          <w:color w:val="1F497D" w:themeColor="text2"/>
          <w:sz w:val="22"/>
        </w:rPr>
        <w:t>they could help clarify the process and facilitate the handling of</w:t>
      </w:r>
    </w:p>
    <w:p w:rsidR="00307220" w:rsidRPr="00307220" w:rsidRDefault="003C6D68" w:rsidP="003C6D68">
      <w:pPr>
        <w:keepNext/>
        <w:spacing w:line="360" w:lineRule="auto"/>
        <w:ind w:left="720"/>
        <w:rPr>
          <w:rFonts w:ascii="Calibri" w:hAnsi="Calibri" w:cs="Verdana"/>
          <w:color w:val="1F497D" w:themeColor="text2"/>
          <w:sz w:val="22"/>
        </w:rPr>
      </w:pPr>
      <w:proofErr w:type="gramStart"/>
      <w:r w:rsidRPr="003C6D68">
        <w:rPr>
          <w:rFonts w:ascii="Calibri" w:hAnsi="Calibri" w:cs="Verdana"/>
          <w:color w:val="1F497D" w:themeColor="text2"/>
          <w:sz w:val="22"/>
        </w:rPr>
        <w:t>disputes</w:t>
      </w:r>
      <w:proofErr w:type="gramEnd"/>
      <w:r w:rsidRPr="003C6D68">
        <w:rPr>
          <w:rFonts w:ascii="Calibri" w:hAnsi="Calibri" w:cs="Verdana"/>
          <w:color w:val="1F497D" w:themeColor="text2"/>
          <w:sz w:val="22"/>
        </w:rPr>
        <w:t xml:space="preserve">, </w:t>
      </w:r>
      <w:r w:rsidR="00307220">
        <w:rPr>
          <w:rFonts w:ascii="Calibri" w:hAnsi="Calibri" w:cs="Verdana"/>
          <w:color w:val="1F497D" w:themeColor="text2"/>
          <w:sz w:val="22"/>
        </w:rPr>
        <w:t xml:space="preserve">Multiple transfers are used in domain hijack situations, and also since the aftermarket has developed since the policy was written </w:t>
      </w:r>
      <w:r w:rsidR="00FB3A0D">
        <w:rPr>
          <w:rFonts w:ascii="Calibri" w:hAnsi="Calibri" w:cs="Verdana"/>
          <w:color w:val="1F497D" w:themeColor="text2"/>
          <w:sz w:val="22"/>
        </w:rPr>
        <w:t>a third party can easily purchase a hijacked domain in good faith.</w:t>
      </w:r>
      <w:r w:rsidR="00307220">
        <w:rPr>
          <w:rFonts w:ascii="Calibri" w:hAnsi="Calibri" w:cs="Verdana"/>
          <w:color w:val="1F497D" w:themeColor="text2"/>
          <w:sz w:val="22"/>
        </w:rPr>
        <w:t xml:space="preserve"> </w:t>
      </w:r>
    </w:p>
    <w:p w:rsidR="00A71826" w:rsidRPr="003C6D68" w:rsidRDefault="00A71826" w:rsidP="003C6D68">
      <w:pPr>
        <w:keepNext/>
        <w:spacing w:line="360" w:lineRule="auto"/>
        <w:ind w:left="720"/>
        <w:rPr>
          <w:rFonts w:ascii="Calibri" w:hAnsi="Calibri" w:cs="Verdana"/>
          <w:color w:val="1F497D" w:themeColor="text2"/>
          <w:sz w:val="22"/>
        </w:rPr>
      </w:pPr>
      <w:r>
        <w:rPr>
          <w:rFonts w:ascii="Calibri" w:hAnsi="Calibri" w:cs="Verdana"/>
          <w:sz w:val="22"/>
        </w:rPr>
        <w:t>Should dispute options for registrants be developed and implanted as part of the IRTP (currently registrants depend on registrars to initiate a dispute on their behalf)?</w:t>
      </w:r>
      <w:r w:rsidR="003C6D68">
        <w:rPr>
          <w:rFonts w:ascii="Calibri" w:hAnsi="Calibri" w:cs="Verdana"/>
          <w:sz w:val="22"/>
        </w:rPr>
        <w:br/>
      </w:r>
      <w:r w:rsidR="003C6D68">
        <w:rPr>
          <w:rFonts w:ascii="Calibri" w:hAnsi="Calibri" w:cs="Verdana"/>
          <w:color w:val="1F497D" w:themeColor="text2"/>
          <w:sz w:val="22"/>
        </w:rPr>
        <w:t xml:space="preserve">The BC believes that there must be a mechanism for registrants to initiate proceedings when registrars decline to </w:t>
      </w:r>
      <w:r w:rsidR="003C6D68" w:rsidRPr="003C6D68">
        <w:rPr>
          <w:rFonts w:ascii="Calibri" w:hAnsi="Calibri" w:cs="Verdana"/>
          <w:color w:val="1F497D" w:themeColor="text2"/>
          <w:sz w:val="22"/>
        </w:rPr>
        <w:t xml:space="preserve">initiate them. </w:t>
      </w:r>
    </w:p>
    <w:p w:rsidR="00FB3A0D" w:rsidRDefault="00FB3A0D" w:rsidP="00FB3A0D">
      <w:pPr>
        <w:keepNext/>
        <w:spacing w:line="360" w:lineRule="auto"/>
        <w:rPr>
          <w:rFonts w:ascii="Calibri" w:hAnsi="Calibri" w:cs="Verdana"/>
          <w:sz w:val="22"/>
        </w:rPr>
      </w:pPr>
    </w:p>
    <w:p w:rsidR="00A71826" w:rsidRPr="00B80A1B" w:rsidRDefault="00A71826" w:rsidP="00B80A1B">
      <w:pPr>
        <w:pStyle w:val="Prrafodelista"/>
        <w:keepNext/>
        <w:numPr>
          <w:ilvl w:val="0"/>
          <w:numId w:val="4"/>
        </w:numPr>
        <w:spacing w:line="360" w:lineRule="auto"/>
        <w:rPr>
          <w:rFonts w:ascii="Calibri" w:hAnsi="Calibri" w:cs="Verdana"/>
          <w:sz w:val="22"/>
        </w:rPr>
      </w:pPr>
      <w:r w:rsidRPr="00B80A1B">
        <w:rPr>
          <w:rFonts w:ascii="Calibri" w:hAnsi="Calibri" w:cs="Verdana"/>
          <w:sz w:val="22"/>
        </w:rPr>
        <w:t>Should certain requirements and best practices be put into place for registrars to make information on transfer dispute resolution options available to registrants?</w:t>
      </w:r>
    </w:p>
    <w:p w:rsidR="00FB3A0D" w:rsidRPr="00B80A1B" w:rsidRDefault="00FB3A0D" w:rsidP="00B80A1B">
      <w:pPr>
        <w:keepNext/>
        <w:spacing w:line="360" w:lineRule="auto"/>
        <w:ind w:left="720"/>
        <w:rPr>
          <w:rFonts w:ascii="Calibri" w:hAnsi="Calibri" w:cs="Verdana"/>
          <w:color w:val="1F497D" w:themeColor="text2"/>
          <w:sz w:val="22"/>
        </w:rPr>
      </w:pPr>
      <w:r w:rsidRPr="00FB3A0D">
        <w:rPr>
          <w:rFonts w:ascii="Calibri" w:hAnsi="Calibri" w:cs="Verdana"/>
          <w:color w:val="1F497D" w:themeColor="text2"/>
          <w:sz w:val="22"/>
        </w:rPr>
        <w:t xml:space="preserve">In the interests of consumer protection the BC recommends establishing requirements for registrars </w:t>
      </w:r>
      <w:r w:rsidR="00B80A1B" w:rsidRPr="00B80A1B">
        <w:rPr>
          <w:rFonts w:ascii="Calibri" w:hAnsi="Calibri" w:cs="Verdana"/>
          <w:color w:val="1F497D" w:themeColor="text2"/>
          <w:sz w:val="22"/>
        </w:rPr>
        <w:t>to publish information pertaining to transfer dispute resolution options available to registrants.</w:t>
      </w:r>
    </w:p>
    <w:p w:rsidR="00FB3A0D" w:rsidRPr="00FB3A0D" w:rsidRDefault="00FB3A0D" w:rsidP="00FB3A0D">
      <w:pPr>
        <w:keepNext/>
        <w:spacing w:line="360" w:lineRule="auto"/>
        <w:rPr>
          <w:rFonts w:ascii="Calibri" w:hAnsi="Calibri" w:cs="Verdana"/>
          <w:color w:val="1F497D" w:themeColor="text2"/>
          <w:sz w:val="22"/>
        </w:rPr>
      </w:pPr>
    </w:p>
    <w:p w:rsidR="00A71826" w:rsidRDefault="00A71826" w:rsidP="00B80A1B">
      <w:pPr>
        <w:keepNext/>
        <w:numPr>
          <w:ilvl w:val="0"/>
          <w:numId w:val="4"/>
        </w:numPr>
        <w:spacing w:line="360" w:lineRule="auto"/>
        <w:rPr>
          <w:rFonts w:ascii="Calibri" w:hAnsi="Calibri" w:cs="Verdana"/>
          <w:sz w:val="22"/>
        </w:rPr>
      </w:pPr>
      <w:r>
        <w:rPr>
          <w:rFonts w:ascii="Calibri" w:hAnsi="Calibri" w:cs="Verdana"/>
          <w:sz w:val="22"/>
        </w:rPr>
        <w:t xml:space="preserve">Are </w:t>
      </w:r>
      <w:r w:rsidR="00DE4C42">
        <w:rPr>
          <w:rFonts w:ascii="Calibri" w:hAnsi="Calibri" w:cs="Verdana"/>
          <w:sz w:val="22"/>
        </w:rPr>
        <w:t>existing</w:t>
      </w:r>
      <w:r>
        <w:rPr>
          <w:rFonts w:ascii="Calibri" w:hAnsi="Calibri" w:cs="Verdana"/>
          <w:sz w:val="22"/>
        </w:rPr>
        <w:t xml:space="preserve"> penalties for policy violations sufficient or should additional provisions/</w:t>
      </w:r>
      <w:r w:rsidR="00DE4C42">
        <w:rPr>
          <w:rFonts w:ascii="Calibri" w:hAnsi="Calibri" w:cs="Verdana"/>
          <w:sz w:val="22"/>
        </w:rPr>
        <w:t>penalties</w:t>
      </w:r>
      <w:r>
        <w:rPr>
          <w:rFonts w:ascii="Calibri" w:hAnsi="Calibri" w:cs="Verdana"/>
          <w:sz w:val="22"/>
        </w:rPr>
        <w:t xml:space="preserve"> for specific violations be added into the IRTP?</w:t>
      </w:r>
    </w:p>
    <w:p w:rsidR="00FB3A0D" w:rsidRPr="00FB3A0D" w:rsidRDefault="00FB3A0D" w:rsidP="00FB3A0D">
      <w:pPr>
        <w:keepNext/>
        <w:spacing w:line="360" w:lineRule="auto"/>
        <w:ind w:left="720"/>
        <w:rPr>
          <w:rFonts w:ascii="Calibri" w:hAnsi="Calibri" w:cs="Verdana"/>
          <w:color w:val="1F497D" w:themeColor="text2"/>
          <w:sz w:val="22"/>
        </w:rPr>
      </w:pPr>
      <w:r w:rsidRPr="00FB3A0D">
        <w:rPr>
          <w:rFonts w:ascii="Calibri" w:hAnsi="Calibri" w:cs="Verdana"/>
          <w:color w:val="1F497D" w:themeColor="text2"/>
          <w:sz w:val="22"/>
        </w:rPr>
        <w:lastRenderedPageBreak/>
        <w:t xml:space="preserve">The BC believes there should be penalties for specific violations other than ‘notice of breach’. The BC </w:t>
      </w:r>
      <w:r w:rsidR="000D1249">
        <w:rPr>
          <w:rFonts w:ascii="Calibri" w:hAnsi="Calibri" w:cs="Verdana"/>
          <w:color w:val="1F497D" w:themeColor="text2"/>
          <w:sz w:val="22"/>
        </w:rPr>
        <w:t>“</w:t>
      </w:r>
      <w:r w:rsidRPr="00FB3A0D">
        <w:rPr>
          <w:rFonts w:ascii="Calibri" w:hAnsi="Calibri" w:cs="Verdana"/>
          <w:color w:val="1F497D" w:themeColor="text2"/>
          <w:sz w:val="22"/>
        </w:rPr>
        <w:t>hopes</w:t>
      </w:r>
      <w:r w:rsidR="000D1249">
        <w:rPr>
          <w:rFonts w:ascii="Calibri" w:hAnsi="Calibri" w:cs="Verdana"/>
          <w:color w:val="1F497D" w:themeColor="text2"/>
          <w:sz w:val="22"/>
        </w:rPr>
        <w:t>”</w:t>
      </w:r>
      <w:r w:rsidRPr="00FB3A0D">
        <w:rPr>
          <w:rFonts w:ascii="Calibri" w:hAnsi="Calibri" w:cs="Verdana"/>
          <w:color w:val="1F497D" w:themeColor="text2"/>
          <w:sz w:val="22"/>
        </w:rPr>
        <w:t xml:space="preserve"> that the 2013 RAA has addressed this issue.  </w:t>
      </w:r>
    </w:p>
    <w:p w:rsidR="003832AF" w:rsidRDefault="00A71826" w:rsidP="00B80A1B">
      <w:pPr>
        <w:keepNext/>
        <w:numPr>
          <w:ilvl w:val="0"/>
          <w:numId w:val="4"/>
        </w:numPr>
        <w:spacing w:line="360" w:lineRule="auto"/>
        <w:rPr>
          <w:rFonts w:ascii="Calibri" w:hAnsi="Calibri" w:cs="Verdana"/>
          <w:sz w:val="22"/>
        </w:rPr>
      </w:pPr>
      <w:r>
        <w:rPr>
          <w:rFonts w:ascii="Calibri" w:hAnsi="Calibri" w:cs="Verdana"/>
          <w:sz w:val="22"/>
        </w:rPr>
        <w:t xml:space="preserve">Did the </w:t>
      </w:r>
      <w:r w:rsidR="00DE4C42">
        <w:rPr>
          <w:rFonts w:ascii="Calibri" w:hAnsi="Calibri" w:cs="Verdana"/>
          <w:sz w:val="22"/>
        </w:rPr>
        <w:t>universal</w:t>
      </w:r>
      <w:r>
        <w:rPr>
          <w:rFonts w:ascii="Calibri" w:hAnsi="Calibri" w:cs="Verdana"/>
          <w:sz w:val="22"/>
        </w:rPr>
        <w:t xml:space="preserve"> </w:t>
      </w:r>
      <w:r w:rsidR="00DE4C42">
        <w:rPr>
          <w:rFonts w:ascii="Calibri" w:hAnsi="Calibri" w:cs="Verdana"/>
          <w:sz w:val="22"/>
        </w:rPr>
        <w:t>adoption</w:t>
      </w:r>
      <w:r>
        <w:rPr>
          <w:rFonts w:ascii="Calibri" w:hAnsi="Calibri" w:cs="Verdana"/>
          <w:sz w:val="22"/>
        </w:rPr>
        <w:t xml:space="preserve"> and </w:t>
      </w:r>
      <w:r w:rsidR="00DE4C42">
        <w:rPr>
          <w:rFonts w:ascii="Calibri" w:hAnsi="Calibri" w:cs="Verdana"/>
          <w:sz w:val="22"/>
        </w:rPr>
        <w:t>implementation</w:t>
      </w:r>
      <w:r>
        <w:rPr>
          <w:rFonts w:ascii="Calibri" w:hAnsi="Calibri" w:cs="Verdana"/>
          <w:sz w:val="22"/>
        </w:rPr>
        <w:t xml:space="preserve"> of EPP </w:t>
      </w:r>
      <w:proofErr w:type="spellStart"/>
      <w:r>
        <w:rPr>
          <w:rFonts w:ascii="Calibri" w:hAnsi="Calibri" w:cs="Verdana"/>
          <w:sz w:val="22"/>
        </w:rPr>
        <w:t>AuthInfo</w:t>
      </w:r>
      <w:proofErr w:type="spellEnd"/>
      <w:r>
        <w:rPr>
          <w:rFonts w:ascii="Calibri" w:hAnsi="Calibri" w:cs="Verdana"/>
          <w:sz w:val="22"/>
        </w:rPr>
        <w:t xml:space="preserve"> codes</w:t>
      </w:r>
      <w:r w:rsidR="003832AF">
        <w:rPr>
          <w:rFonts w:ascii="Calibri" w:hAnsi="Calibri" w:cs="Verdana"/>
          <w:sz w:val="22"/>
        </w:rPr>
        <w:t>*</w:t>
      </w:r>
      <w:r>
        <w:rPr>
          <w:rFonts w:ascii="Calibri" w:hAnsi="Calibri" w:cs="Verdana"/>
          <w:sz w:val="22"/>
        </w:rPr>
        <w:t xml:space="preserve"> eliminate the need of </w:t>
      </w:r>
      <w:r w:rsidR="003832AF">
        <w:rPr>
          <w:rFonts w:ascii="Calibri" w:hAnsi="Calibri" w:cs="Verdana"/>
          <w:sz w:val="22"/>
        </w:rPr>
        <w:t>Standard Forms of Authorization (FOAs</w:t>
      </w:r>
      <w:proofErr w:type="gramStart"/>
      <w:r w:rsidR="003832AF">
        <w:rPr>
          <w:rFonts w:ascii="Calibri" w:hAnsi="Calibri" w:cs="Verdana"/>
          <w:sz w:val="22"/>
        </w:rPr>
        <w:t>)*</w:t>
      </w:r>
      <w:proofErr w:type="gramEnd"/>
      <w:r w:rsidR="003832AF">
        <w:rPr>
          <w:rFonts w:ascii="Calibri" w:hAnsi="Calibri" w:cs="Verdana"/>
          <w:sz w:val="22"/>
        </w:rPr>
        <w:t>*</w:t>
      </w:r>
      <w:r>
        <w:rPr>
          <w:rFonts w:ascii="Calibri" w:hAnsi="Calibri" w:cs="Verdana"/>
          <w:sz w:val="22"/>
        </w:rPr>
        <w:t>?</w:t>
      </w:r>
      <w:r w:rsidR="00FB3A0D">
        <w:rPr>
          <w:rFonts w:ascii="Calibri" w:hAnsi="Calibri" w:cs="Verdana"/>
          <w:sz w:val="22"/>
        </w:rPr>
        <w:t xml:space="preserve">  </w:t>
      </w:r>
    </w:p>
    <w:p w:rsidR="00480FC8" w:rsidRDefault="00FB3A0D" w:rsidP="002851C2">
      <w:pPr>
        <w:keepNext/>
        <w:spacing w:line="360" w:lineRule="auto"/>
        <w:ind w:left="720"/>
        <w:rPr>
          <w:rFonts w:ascii="Calibri" w:hAnsi="Calibri" w:cs="Verdana"/>
          <w:sz w:val="22"/>
        </w:rPr>
      </w:pPr>
      <w:r w:rsidRPr="000D1249">
        <w:rPr>
          <w:rFonts w:ascii="Calibri" w:hAnsi="Calibri" w:cs="Verdana"/>
          <w:color w:val="1F497D" w:themeColor="text2"/>
          <w:sz w:val="22"/>
        </w:rPr>
        <w:t>In the day to day administrations the FOA</w:t>
      </w:r>
      <w:r w:rsidR="002851C2">
        <w:rPr>
          <w:rFonts w:ascii="Calibri" w:hAnsi="Calibri" w:cs="Verdana"/>
          <w:color w:val="1F497D" w:themeColor="text2"/>
          <w:sz w:val="22"/>
        </w:rPr>
        <w:t>s</w:t>
      </w:r>
      <w:r w:rsidRPr="000D1249">
        <w:rPr>
          <w:rFonts w:ascii="Calibri" w:hAnsi="Calibri" w:cs="Verdana"/>
          <w:color w:val="1F497D" w:themeColor="text2"/>
          <w:sz w:val="22"/>
        </w:rPr>
        <w:t xml:space="preserve"> are redun</w:t>
      </w:r>
      <w:r w:rsidR="002851C2">
        <w:rPr>
          <w:rFonts w:ascii="Calibri" w:hAnsi="Calibri" w:cs="Verdana"/>
          <w:color w:val="1F497D" w:themeColor="text2"/>
          <w:sz w:val="22"/>
        </w:rPr>
        <w:t>dant, however</w:t>
      </w:r>
      <w:r w:rsidR="000D1249" w:rsidRPr="000D1249">
        <w:rPr>
          <w:rFonts w:ascii="Calibri" w:hAnsi="Calibri" w:cs="Verdana"/>
          <w:color w:val="1F497D" w:themeColor="text2"/>
          <w:sz w:val="22"/>
        </w:rPr>
        <w:t xml:space="preserve"> in cases involving unauthorized transfer requests in</w:t>
      </w:r>
      <w:r w:rsidR="000D1249">
        <w:rPr>
          <w:rFonts w:ascii="Calibri" w:hAnsi="Calibri" w:cs="Verdana"/>
          <w:color w:val="1F497D" w:themeColor="text2"/>
          <w:sz w:val="22"/>
        </w:rPr>
        <w:t xml:space="preserve"> </w:t>
      </w:r>
      <w:r w:rsidR="000D1249" w:rsidRPr="000D1249">
        <w:rPr>
          <w:rFonts w:ascii="Calibri" w:hAnsi="Calibri" w:cs="Verdana"/>
          <w:color w:val="1F497D" w:themeColor="text2"/>
          <w:sz w:val="22"/>
        </w:rPr>
        <w:t>which the R</w:t>
      </w:r>
      <w:r w:rsidR="002851C2">
        <w:rPr>
          <w:rFonts w:ascii="Calibri" w:hAnsi="Calibri" w:cs="Verdana"/>
          <w:color w:val="1F497D" w:themeColor="text2"/>
          <w:sz w:val="22"/>
        </w:rPr>
        <w:t xml:space="preserve">egistered Name </w:t>
      </w:r>
      <w:proofErr w:type="spellStart"/>
      <w:r w:rsidR="002851C2">
        <w:rPr>
          <w:rFonts w:ascii="Calibri" w:hAnsi="Calibri" w:cs="Verdana"/>
          <w:color w:val="1F497D" w:themeColor="text2"/>
          <w:sz w:val="22"/>
        </w:rPr>
        <w:t>Holders</w:t>
      </w:r>
      <w:r w:rsidR="000D1249" w:rsidRPr="000D1249">
        <w:rPr>
          <w:rFonts w:ascii="Calibri" w:hAnsi="Calibri" w:cs="Verdana"/>
          <w:color w:val="1F497D" w:themeColor="text2"/>
          <w:sz w:val="22"/>
        </w:rPr>
        <w:t>’s</w:t>
      </w:r>
      <w:proofErr w:type="spellEnd"/>
      <w:r w:rsidR="000D1249" w:rsidRPr="000D1249">
        <w:rPr>
          <w:rFonts w:ascii="Calibri" w:hAnsi="Calibri" w:cs="Verdana"/>
          <w:color w:val="1F497D" w:themeColor="text2"/>
          <w:sz w:val="22"/>
        </w:rPr>
        <w:t xml:space="preserve"> email address has been hijacked, or its access</w:t>
      </w:r>
      <w:r w:rsidR="002851C2">
        <w:rPr>
          <w:rFonts w:ascii="Calibri" w:hAnsi="Calibri" w:cs="Verdana"/>
          <w:color w:val="1F497D" w:themeColor="text2"/>
          <w:sz w:val="22"/>
        </w:rPr>
        <w:t xml:space="preserve"> </w:t>
      </w:r>
      <w:r w:rsidR="000D1249" w:rsidRPr="000D1249">
        <w:rPr>
          <w:rFonts w:ascii="Calibri" w:hAnsi="Calibri" w:cs="Verdana"/>
          <w:color w:val="1F497D" w:themeColor="text2"/>
          <w:sz w:val="22"/>
        </w:rPr>
        <w:t>credentials to the control panel have been stolen, the gaining</w:t>
      </w:r>
      <w:r w:rsidR="003721A7">
        <w:rPr>
          <w:rFonts w:ascii="Calibri" w:hAnsi="Calibri" w:cs="Verdana"/>
          <w:color w:val="1F497D" w:themeColor="text2"/>
          <w:sz w:val="22"/>
        </w:rPr>
        <w:t xml:space="preserve"> </w:t>
      </w:r>
      <w:r w:rsidR="000D1249" w:rsidRPr="000D1249">
        <w:rPr>
          <w:rFonts w:ascii="Calibri" w:hAnsi="Calibri" w:cs="Verdana"/>
          <w:color w:val="1F497D" w:themeColor="text2"/>
          <w:sz w:val="22"/>
        </w:rPr>
        <w:t>registrar’s obligation to obtain the FOA from either the R</w:t>
      </w:r>
      <w:r w:rsidR="002851C2">
        <w:rPr>
          <w:rFonts w:ascii="Calibri" w:hAnsi="Calibri" w:cs="Verdana"/>
          <w:color w:val="1F497D" w:themeColor="text2"/>
          <w:sz w:val="22"/>
        </w:rPr>
        <w:t xml:space="preserve">egistered </w:t>
      </w:r>
      <w:r w:rsidR="000D1249" w:rsidRPr="000D1249">
        <w:rPr>
          <w:rFonts w:ascii="Calibri" w:hAnsi="Calibri" w:cs="Verdana"/>
          <w:color w:val="1F497D" w:themeColor="text2"/>
          <w:sz w:val="22"/>
        </w:rPr>
        <w:t>N</w:t>
      </w:r>
      <w:r w:rsidR="002851C2">
        <w:rPr>
          <w:rFonts w:ascii="Calibri" w:hAnsi="Calibri" w:cs="Verdana"/>
          <w:color w:val="1F497D" w:themeColor="text2"/>
          <w:sz w:val="22"/>
        </w:rPr>
        <w:t xml:space="preserve">ame </w:t>
      </w:r>
      <w:r w:rsidR="000D1249" w:rsidRPr="000D1249">
        <w:rPr>
          <w:rFonts w:ascii="Calibri" w:hAnsi="Calibri" w:cs="Verdana"/>
          <w:color w:val="1F497D" w:themeColor="text2"/>
          <w:sz w:val="22"/>
        </w:rPr>
        <w:t>H</w:t>
      </w:r>
      <w:r w:rsidR="002851C2">
        <w:rPr>
          <w:rFonts w:ascii="Calibri" w:hAnsi="Calibri" w:cs="Verdana"/>
          <w:color w:val="1F497D" w:themeColor="text2"/>
          <w:sz w:val="22"/>
        </w:rPr>
        <w:t>older</w:t>
      </w:r>
      <w:r w:rsidR="000D1249" w:rsidRPr="000D1249">
        <w:rPr>
          <w:rFonts w:ascii="Calibri" w:hAnsi="Calibri" w:cs="Verdana"/>
          <w:color w:val="1F497D" w:themeColor="text2"/>
          <w:sz w:val="22"/>
        </w:rPr>
        <w:t xml:space="preserve"> or the</w:t>
      </w:r>
      <w:r w:rsidR="003721A7">
        <w:rPr>
          <w:rFonts w:ascii="Calibri" w:hAnsi="Calibri" w:cs="Verdana"/>
          <w:color w:val="1F497D" w:themeColor="text2"/>
          <w:sz w:val="22"/>
        </w:rPr>
        <w:t xml:space="preserve"> </w:t>
      </w:r>
      <w:r w:rsidR="000D1249" w:rsidRPr="000D1249">
        <w:rPr>
          <w:rFonts w:ascii="Calibri" w:hAnsi="Calibri" w:cs="Verdana"/>
          <w:color w:val="1F497D" w:themeColor="text2"/>
          <w:sz w:val="22"/>
        </w:rPr>
        <w:t>Admin Contact can help protect the domain names from being</w:t>
      </w:r>
      <w:r w:rsidR="003721A7">
        <w:rPr>
          <w:rFonts w:ascii="Calibri" w:hAnsi="Calibri" w:cs="Verdana"/>
          <w:color w:val="1F497D" w:themeColor="text2"/>
          <w:sz w:val="22"/>
        </w:rPr>
        <w:t xml:space="preserve"> </w:t>
      </w:r>
      <w:r w:rsidR="000D1249" w:rsidRPr="000D1249">
        <w:rPr>
          <w:rFonts w:ascii="Calibri" w:hAnsi="Calibri" w:cs="Verdana"/>
          <w:color w:val="1F497D" w:themeColor="text2"/>
          <w:sz w:val="22"/>
        </w:rPr>
        <w:t>hijacked, given the R</w:t>
      </w:r>
      <w:r w:rsidR="002851C2">
        <w:rPr>
          <w:rFonts w:ascii="Calibri" w:hAnsi="Calibri" w:cs="Verdana"/>
          <w:color w:val="1F497D" w:themeColor="text2"/>
          <w:sz w:val="22"/>
        </w:rPr>
        <w:t xml:space="preserve">egistered </w:t>
      </w:r>
      <w:r w:rsidR="000D1249" w:rsidRPr="000D1249">
        <w:rPr>
          <w:rFonts w:ascii="Calibri" w:hAnsi="Calibri" w:cs="Verdana"/>
          <w:color w:val="1F497D" w:themeColor="text2"/>
          <w:sz w:val="22"/>
        </w:rPr>
        <w:t>N</w:t>
      </w:r>
      <w:r w:rsidR="002851C2">
        <w:rPr>
          <w:rFonts w:ascii="Calibri" w:hAnsi="Calibri" w:cs="Verdana"/>
          <w:color w:val="1F497D" w:themeColor="text2"/>
          <w:sz w:val="22"/>
        </w:rPr>
        <w:t>ame Holder’</w:t>
      </w:r>
      <w:r w:rsidR="000D1249" w:rsidRPr="000D1249">
        <w:rPr>
          <w:rFonts w:ascii="Calibri" w:hAnsi="Calibri" w:cs="Verdana"/>
          <w:color w:val="1F497D" w:themeColor="text2"/>
          <w:sz w:val="22"/>
        </w:rPr>
        <w:t xml:space="preserve">s </w:t>
      </w:r>
      <w:proofErr w:type="spellStart"/>
      <w:r w:rsidR="000D1249" w:rsidRPr="000D1249">
        <w:rPr>
          <w:rFonts w:ascii="Calibri" w:hAnsi="Calibri" w:cs="Verdana"/>
          <w:color w:val="1F497D" w:themeColor="text2"/>
          <w:sz w:val="22"/>
        </w:rPr>
        <w:t>Whois</w:t>
      </w:r>
      <w:proofErr w:type="spellEnd"/>
      <w:r w:rsidR="000D1249" w:rsidRPr="000D1249">
        <w:rPr>
          <w:rFonts w:ascii="Calibri" w:hAnsi="Calibri" w:cs="Verdana"/>
          <w:color w:val="1F497D" w:themeColor="text2"/>
          <w:sz w:val="22"/>
        </w:rPr>
        <w:t xml:space="preserve"> contact information is different</w:t>
      </w:r>
      <w:r w:rsidR="002851C2">
        <w:rPr>
          <w:rFonts w:ascii="Calibri" w:hAnsi="Calibri" w:cs="Verdana"/>
          <w:color w:val="1F497D" w:themeColor="text2"/>
          <w:sz w:val="22"/>
        </w:rPr>
        <w:t xml:space="preserve"> </w:t>
      </w:r>
      <w:r w:rsidR="000D1249" w:rsidRPr="000D1249">
        <w:rPr>
          <w:rFonts w:ascii="Calibri" w:hAnsi="Calibri" w:cs="Verdana"/>
          <w:color w:val="1F497D" w:themeColor="text2"/>
          <w:sz w:val="22"/>
        </w:rPr>
        <w:t xml:space="preserve">from the Admin Contact’s. </w:t>
      </w:r>
    </w:p>
    <w:p w:rsidR="00480FC8" w:rsidRDefault="00480FC8" w:rsidP="00480FC8">
      <w:pPr>
        <w:keepNext/>
        <w:spacing w:line="360" w:lineRule="auto"/>
        <w:ind w:left="360"/>
        <w:rPr>
          <w:rFonts w:ascii="Calibri" w:hAnsi="Calibri" w:cs="Verdana"/>
          <w:sz w:val="22"/>
        </w:rPr>
      </w:pPr>
      <w:r>
        <w:rPr>
          <w:rFonts w:ascii="Calibri" w:hAnsi="Calibri" w:cs="Verdana"/>
          <w:sz w:val="22"/>
        </w:rPr>
        <w:t xml:space="preserve">Please note that you are </w:t>
      </w:r>
      <w:r w:rsidR="003D7FB3">
        <w:rPr>
          <w:rFonts w:ascii="Calibri" w:hAnsi="Calibri" w:cs="Verdana"/>
          <w:sz w:val="22"/>
        </w:rPr>
        <w:t>very welcome</w:t>
      </w:r>
      <w:r>
        <w:rPr>
          <w:rFonts w:ascii="Calibri" w:hAnsi="Calibri" w:cs="Verdana"/>
          <w:sz w:val="22"/>
        </w:rPr>
        <w:t xml:space="preserve"> to provide </w:t>
      </w:r>
      <w:r w:rsidRPr="00480FC8">
        <w:rPr>
          <w:rFonts w:ascii="Calibri" w:hAnsi="Calibri" w:cs="Verdana"/>
          <w:b/>
          <w:sz w:val="22"/>
        </w:rPr>
        <w:t>any additional information</w:t>
      </w:r>
      <w:r>
        <w:rPr>
          <w:rFonts w:ascii="Calibri" w:hAnsi="Calibri" w:cs="Verdana"/>
          <w:sz w:val="22"/>
        </w:rPr>
        <w:t xml:space="preserve"> that you may think useful for the Working Group to consider</w:t>
      </w:r>
      <w:r w:rsidR="00E566A5">
        <w:rPr>
          <w:rFonts w:ascii="Calibri" w:hAnsi="Calibri" w:cs="Verdana"/>
          <w:sz w:val="22"/>
        </w:rPr>
        <w:t xml:space="preserve"> as part of its deliberations on these charter questions</w:t>
      </w:r>
      <w:r>
        <w:rPr>
          <w:rFonts w:ascii="Calibri" w:hAnsi="Calibri" w:cs="Verdana"/>
          <w:sz w:val="22"/>
        </w:rPr>
        <w:t xml:space="preserve">. </w:t>
      </w:r>
      <w:r w:rsidR="00AE35A7">
        <w:rPr>
          <w:rFonts w:ascii="Calibri" w:hAnsi="Calibri" w:cs="Verdana"/>
          <w:sz w:val="22"/>
        </w:rPr>
        <w:t xml:space="preserve"> </w:t>
      </w:r>
      <w:r w:rsidR="00AE35A7" w:rsidRPr="00AE35A7">
        <w:rPr>
          <w:rFonts w:ascii="Calibri" w:hAnsi="Calibri" w:cs="Verdana"/>
          <w:color w:val="4F81BD" w:themeColor="accent1"/>
          <w:sz w:val="22"/>
        </w:rPr>
        <w:t>No additional information</w:t>
      </w:r>
    </w:p>
    <w:p w:rsidR="007564D3" w:rsidRPr="006942D7" w:rsidRDefault="007564D3" w:rsidP="007564D3">
      <w:pPr>
        <w:pStyle w:val="Listavistosa-nfasis11"/>
        <w:widowControl w:val="0"/>
        <w:autoSpaceDE w:val="0"/>
        <w:autoSpaceDN w:val="0"/>
        <w:adjustRightInd w:val="0"/>
        <w:spacing w:line="360" w:lineRule="auto"/>
        <w:ind w:left="0"/>
        <w:rPr>
          <w:rFonts w:ascii="Calibri" w:hAnsi="Calibri" w:cs="Verdana"/>
          <w:sz w:val="22"/>
        </w:rPr>
      </w:pPr>
    </w:p>
    <w:p w:rsidR="00C31BAA" w:rsidRPr="003D7FB3" w:rsidRDefault="003832AF" w:rsidP="003832AF">
      <w:pPr>
        <w:ind w:left="360"/>
        <w:rPr>
          <w:rFonts w:ascii="Calibri" w:hAnsi="Calibri" w:cs="Lucida Grande"/>
          <w:color w:val="313131"/>
          <w:sz w:val="22"/>
          <w:szCs w:val="22"/>
        </w:rPr>
      </w:pPr>
      <w:r w:rsidRPr="003D7FB3">
        <w:rPr>
          <w:rFonts w:ascii="Calibri" w:hAnsi="Calibri"/>
          <w:sz w:val="22"/>
          <w:szCs w:val="22"/>
        </w:rPr>
        <w:t xml:space="preserve">* </w:t>
      </w:r>
      <w:r w:rsidRPr="003D7FB3">
        <w:rPr>
          <w:rFonts w:ascii="Calibri" w:hAnsi="Calibri" w:cs="Lucida Grande"/>
          <w:color w:val="313131"/>
          <w:sz w:val="22"/>
          <w:szCs w:val="22"/>
        </w:rPr>
        <w:t>The Auth-Info Code is a unique code generated on a per-domain basis and is used for authorization or confirmation of a transfer request.</w:t>
      </w:r>
    </w:p>
    <w:p w:rsidR="003832AF" w:rsidRPr="003D7FB3" w:rsidRDefault="003832AF" w:rsidP="003832AF">
      <w:pPr>
        <w:ind w:left="360"/>
        <w:rPr>
          <w:rFonts w:ascii="Calibri" w:hAnsi="Calibri"/>
          <w:sz w:val="22"/>
          <w:szCs w:val="22"/>
        </w:rPr>
      </w:pPr>
    </w:p>
    <w:p w:rsidR="003832AF" w:rsidRPr="003D7FB3" w:rsidRDefault="003832AF" w:rsidP="003832AF">
      <w:pPr>
        <w:keepNext/>
        <w:spacing w:line="360" w:lineRule="auto"/>
        <w:ind w:left="360"/>
        <w:rPr>
          <w:rFonts w:ascii="Calibri" w:hAnsi="Calibri" w:cs="Verdana"/>
          <w:sz w:val="22"/>
          <w:szCs w:val="22"/>
        </w:rPr>
      </w:pPr>
      <w:r w:rsidRPr="003D7FB3">
        <w:rPr>
          <w:rFonts w:ascii="Calibri" w:hAnsi="Calibri"/>
          <w:sz w:val="22"/>
          <w:szCs w:val="22"/>
        </w:rPr>
        <w:t xml:space="preserve">** </w:t>
      </w:r>
      <w:r w:rsidR="00E566A5">
        <w:rPr>
          <w:rFonts w:ascii="Calibri" w:hAnsi="Calibri" w:cs="Verdana"/>
          <w:sz w:val="22"/>
          <w:szCs w:val="22"/>
        </w:rPr>
        <w:t xml:space="preserve">An FOA is a </w:t>
      </w:r>
      <w:r w:rsidR="00E566A5">
        <w:rPr>
          <w:rFonts w:ascii="Lucida Grande" w:hAnsi="Lucida Grande" w:cs="Lucida Grande"/>
          <w:sz w:val="20"/>
          <w:szCs w:val="20"/>
        </w:rPr>
        <w:t xml:space="preserve">standardized form of authorization to initiate a domain name transfer, see </w:t>
      </w:r>
      <w:r w:rsidRPr="003D7FB3">
        <w:rPr>
          <w:rFonts w:ascii="Calibri" w:hAnsi="Calibri" w:cs="Verdana"/>
          <w:sz w:val="22"/>
          <w:szCs w:val="22"/>
        </w:rPr>
        <w:t xml:space="preserve">also: </w:t>
      </w:r>
      <w:hyperlink r:id="rId14" w:history="1">
        <w:r w:rsidRPr="003D7FB3">
          <w:rPr>
            <w:rStyle w:val="Hipervnculo"/>
            <w:rFonts w:ascii="Calibri" w:hAnsi="Calibri" w:cs="Verdana"/>
            <w:sz w:val="22"/>
            <w:szCs w:val="22"/>
          </w:rPr>
          <w:t>FOA: Domain Name Transfer – Initial Authorization for Registrar Transfer</w:t>
        </w:r>
      </w:hyperlink>
    </w:p>
    <w:p w:rsidR="003832AF" w:rsidRDefault="003832AF"/>
    <w:sectPr w:rsidR="003832AF" w:rsidSect="006035E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BEF" w:rsidRDefault="00D25BEF" w:rsidP="00F11F36">
      <w:r>
        <w:separator/>
      </w:r>
    </w:p>
  </w:endnote>
  <w:endnote w:type="continuationSeparator" w:id="0">
    <w:p w:rsidR="00D25BEF" w:rsidRDefault="00D25BEF" w:rsidP="00F11F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BEF" w:rsidRDefault="00D25BEF" w:rsidP="00F11F36">
      <w:r>
        <w:separator/>
      </w:r>
    </w:p>
  </w:footnote>
  <w:footnote w:type="continuationSeparator" w:id="0">
    <w:p w:rsidR="00D25BEF" w:rsidRDefault="00D25BEF" w:rsidP="00F11F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F26DA3"/>
    <w:multiLevelType w:val="hybridMultilevel"/>
    <w:tmpl w:val="72F46B96"/>
    <w:lvl w:ilvl="0" w:tplc="13DAD0EA">
      <w:numFmt w:val="bullet"/>
      <w:lvlText w:val="-"/>
      <w:lvlJc w:val="left"/>
      <w:pPr>
        <w:ind w:left="360" w:hanging="360"/>
      </w:pPr>
      <w:rPr>
        <w:rFonts w:ascii="Calibri" w:hAnsi="Calibri"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56E78"/>
    <w:multiLevelType w:val="hybridMultilevel"/>
    <w:tmpl w:val="692C4C7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BAA3BE9"/>
    <w:multiLevelType w:val="hybridMultilevel"/>
    <w:tmpl w:val="FF2A8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112BA8"/>
    <w:multiLevelType w:val="hybridMultilevel"/>
    <w:tmpl w:val="FF2A8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D43A4E"/>
    <w:multiLevelType w:val="hybridMultilevel"/>
    <w:tmpl w:val="025CE228"/>
    <w:lvl w:ilvl="0" w:tplc="B74EB890">
      <w:start w:val="3"/>
      <w:numFmt w:val="bullet"/>
      <w:lvlText w:val=""/>
      <w:lvlJc w:val="left"/>
      <w:pPr>
        <w:ind w:left="720" w:hanging="360"/>
      </w:pPr>
      <w:rPr>
        <w:rFonts w:ascii="Symbol" w:eastAsia="MS Mincho" w:hAnsi="Symbol" w:cs="Times New Roman"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7564D3"/>
    <w:rsid w:val="00004AE1"/>
    <w:rsid w:val="00050DA8"/>
    <w:rsid w:val="000C5FC9"/>
    <w:rsid w:val="000D1249"/>
    <w:rsid w:val="000E335C"/>
    <w:rsid w:val="00166F6D"/>
    <w:rsid w:val="001A1300"/>
    <w:rsid w:val="001F1F73"/>
    <w:rsid w:val="001F599B"/>
    <w:rsid w:val="002851C2"/>
    <w:rsid w:val="002D0A72"/>
    <w:rsid w:val="002F0DA6"/>
    <w:rsid w:val="00306076"/>
    <w:rsid w:val="00307220"/>
    <w:rsid w:val="00370BC8"/>
    <w:rsid w:val="003721A7"/>
    <w:rsid w:val="003832AF"/>
    <w:rsid w:val="003A3571"/>
    <w:rsid w:val="003C6D68"/>
    <w:rsid w:val="003D7FB3"/>
    <w:rsid w:val="004344AC"/>
    <w:rsid w:val="00457CCD"/>
    <w:rsid w:val="00465A68"/>
    <w:rsid w:val="00480FC8"/>
    <w:rsid w:val="00520C63"/>
    <w:rsid w:val="006035E8"/>
    <w:rsid w:val="006557EA"/>
    <w:rsid w:val="0067253B"/>
    <w:rsid w:val="00683666"/>
    <w:rsid w:val="006E3F65"/>
    <w:rsid w:val="007564D3"/>
    <w:rsid w:val="00781B26"/>
    <w:rsid w:val="007E15E6"/>
    <w:rsid w:val="00802BDC"/>
    <w:rsid w:val="0080645F"/>
    <w:rsid w:val="00876098"/>
    <w:rsid w:val="008A0400"/>
    <w:rsid w:val="00910E6B"/>
    <w:rsid w:val="009450EF"/>
    <w:rsid w:val="00960A5B"/>
    <w:rsid w:val="00985208"/>
    <w:rsid w:val="00A07C04"/>
    <w:rsid w:val="00A279E9"/>
    <w:rsid w:val="00A71826"/>
    <w:rsid w:val="00AC0A53"/>
    <w:rsid w:val="00AD15C1"/>
    <w:rsid w:val="00AE35A7"/>
    <w:rsid w:val="00AE3B80"/>
    <w:rsid w:val="00AE4D0C"/>
    <w:rsid w:val="00B67F9D"/>
    <w:rsid w:val="00B80A1B"/>
    <w:rsid w:val="00BA21AB"/>
    <w:rsid w:val="00BA79BC"/>
    <w:rsid w:val="00BB2582"/>
    <w:rsid w:val="00C31BAA"/>
    <w:rsid w:val="00C33EB6"/>
    <w:rsid w:val="00CC0C3B"/>
    <w:rsid w:val="00D25BEF"/>
    <w:rsid w:val="00D57673"/>
    <w:rsid w:val="00D5793F"/>
    <w:rsid w:val="00DB10A6"/>
    <w:rsid w:val="00DB42B4"/>
    <w:rsid w:val="00DE4C42"/>
    <w:rsid w:val="00DF362C"/>
    <w:rsid w:val="00E566A5"/>
    <w:rsid w:val="00F02088"/>
    <w:rsid w:val="00F11F36"/>
    <w:rsid w:val="00F76661"/>
    <w:rsid w:val="00F83497"/>
    <w:rsid w:val="00F85393"/>
    <w:rsid w:val="00FB3A0D"/>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B2582"/>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7564D3"/>
    <w:rPr>
      <w:color w:val="0000FF"/>
      <w:u w:val="single"/>
    </w:rPr>
  </w:style>
  <w:style w:type="paragraph" w:customStyle="1" w:styleId="Listavistosa-nfasis11">
    <w:name w:val="Lista vistosa - Énfasis 11"/>
    <w:basedOn w:val="Normal"/>
    <w:uiPriority w:val="34"/>
    <w:qFormat/>
    <w:rsid w:val="007564D3"/>
    <w:pPr>
      <w:ind w:left="720"/>
      <w:contextualSpacing/>
    </w:pPr>
    <w:rPr>
      <w:rFonts w:eastAsia="Cambria"/>
    </w:rPr>
  </w:style>
  <w:style w:type="paragraph" w:styleId="Textonotapie">
    <w:name w:val="footnote text"/>
    <w:basedOn w:val="Normal"/>
    <w:link w:val="TextonotapieCar"/>
    <w:uiPriority w:val="99"/>
    <w:unhideWhenUsed/>
    <w:rsid w:val="00F11F36"/>
  </w:style>
  <w:style w:type="character" w:customStyle="1" w:styleId="TextonotapieCar">
    <w:name w:val="Texto nota pie Car"/>
    <w:link w:val="Textonotapie"/>
    <w:uiPriority w:val="99"/>
    <w:rsid w:val="00F11F36"/>
    <w:rPr>
      <w:sz w:val="24"/>
      <w:szCs w:val="24"/>
    </w:rPr>
  </w:style>
  <w:style w:type="character" w:styleId="Refdenotaalpie">
    <w:name w:val="footnote reference"/>
    <w:uiPriority w:val="99"/>
    <w:unhideWhenUsed/>
    <w:rsid w:val="00F11F36"/>
    <w:rPr>
      <w:vertAlign w:val="superscript"/>
    </w:rPr>
  </w:style>
  <w:style w:type="paragraph" w:styleId="Textodeglobo">
    <w:name w:val="Balloon Text"/>
    <w:basedOn w:val="Normal"/>
    <w:link w:val="TextodegloboCar"/>
    <w:uiPriority w:val="99"/>
    <w:semiHidden/>
    <w:unhideWhenUsed/>
    <w:rsid w:val="00F11F36"/>
    <w:rPr>
      <w:rFonts w:ascii="Lucida Grande" w:hAnsi="Lucida Grande" w:cs="Lucida Grande"/>
      <w:sz w:val="18"/>
      <w:szCs w:val="18"/>
    </w:rPr>
  </w:style>
  <w:style w:type="character" w:customStyle="1" w:styleId="TextodegloboCar">
    <w:name w:val="Texto de globo Car"/>
    <w:link w:val="Textodeglobo"/>
    <w:uiPriority w:val="99"/>
    <w:semiHidden/>
    <w:rsid w:val="00F11F36"/>
    <w:rPr>
      <w:rFonts w:ascii="Lucida Grande" w:hAnsi="Lucida Grande" w:cs="Lucida Grande"/>
      <w:sz w:val="18"/>
      <w:szCs w:val="18"/>
    </w:rPr>
  </w:style>
  <w:style w:type="character" w:styleId="Hipervnculovisitado">
    <w:name w:val="FollowedHyperlink"/>
    <w:uiPriority w:val="99"/>
    <w:semiHidden/>
    <w:unhideWhenUsed/>
    <w:rsid w:val="00A71826"/>
    <w:rPr>
      <w:color w:val="800080"/>
      <w:u w:val="single"/>
    </w:rPr>
  </w:style>
  <w:style w:type="character" w:styleId="nfasis">
    <w:name w:val="Emphasis"/>
    <w:uiPriority w:val="20"/>
    <w:qFormat/>
    <w:rsid w:val="00E566A5"/>
    <w:rPr>
      <w:i/>
      <w:iCs/>
    </w:rPr>
  </w:style>
  <w:style w:type="paragraph" w:styleId="Prrafodelista">
    <w:name w:val="List Paragraph"/>
    <w:basedOn w:val="Normal"/>
    <w:uiPriority w:val="72"/>
    <w:qFormat/>
    <w:rsid w:val="00FB3A0D"/>
    <w:pPr>
      <w:ind w:left="720"/>
      <w:contextualSpacing/>
    </w:p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community.icann.org/display/ITPIPDWG/Inter-Registrar+Transfer+Policy+%28IRTP%29+Part+D+Working+Group+Home" TargetMode="External"/><Relationship Id="rId13" Type="http://schemas.openxmlformats.org/officeDocument/2006/relationships/hyperlink" Target="http://www.icann.org/en/help/dndr/tdrp" TargetMode="External"/><Relationship Id="rId3" Type="http://schemas.openxmlformats.org/officeDocument/2006/relationships/settings" Target="settings.xml"/><Relationship Id="rId7" Type="http://schemas.openxmlformats.org/officeDocument/2006/relationships/hyperlink" Target="mailto:gnso.secretariat@gnso.icann.org" TargetMode="External"/><Relationship Id="rId12" Type="http://schemas.openxmlformats.org/officeDocument/2006/relationships/hyperlink" Target="http://www.icann.org/en/help/dndr/tdr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icann.org/display/ITPIPDWG/3.+WG+Chart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nso.icann.org/en/issues/issue-report-irtp-d-08jan13-en.pdf" TargetMode="External"/><Relationship Id="rId4" Type="http://schemas.openxmlformats.org/officeDocument/2006/relationships/webSettings" Target="webSettings.xml"/><Relationship Id="rId9" Type="http://schemas.openxmlformats.org/officeDocument/2006/relationships/hyperlink" Target="http://www.icann.org/en/resources/registrars/transfers/policy-01jun12.htm" TargetMode="External"/><Relationship Id="rId14" Type="http://schemas.openxmlformats.org/officeDocument/2006/relationships/hyperlink" Target="http://www.icann.org/en/resources/registrars/transfers/foa-auth-12jul04-en.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966</Words>
  <Characters>5313</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ICANN</Company>
  <LinksUpToDate>false</LinksUpToDate>
  <CharactersWithSpaces>6267</CharactersWithSpaces>
  <SharedDoc>false</SharedDoc>
  <HLinks>
    <vt:vector size="42" baseType="variant">
      <vt:variant>
        <vt:i4>2687017</vt:i4>
      </vt:variant>
      <vt:variant>
        <vt:i4>18</vt:i4>
      </vt:variant>
      <vt:variant>
        <vt:i4>0</vt:i4>
      </vt:variant>
      <vt:variant>
        <vt:i4>5</vt:i4>
      </vt:variant>
      <vt:variant>
        <vt:lpwstr>http://www.icann.org/en/resources/registrars/transfers/foa-auth-12jul04-en.htm</vt:lpwstr>
      </vt:variant>
      <vt:variant>
        <vt:lpwstr/>
      </vt:variant>
      <vt:variant>
        <vt:i4>2162801</vt:i4>
      </vt:variant>
      <vt:variant>
        <vt:i4>15</vt:i4>
      </vt:variant>
      <vt:variant>
        <vt:i4>0</vt:i4>
      </vt:variant>
      <vt:variant>
        <vt:i4>5</vt:i4>
      </vt:variant>
      <vt:variant>
        <vt:lpwstr>http://www.icann.org/en/help/dndr/tdrp</vt:lpwstr>
      </vt:variant>
      <vt:variant>
        <vt:lpwstr/>
      </vt:variant>
      <vt:variant>
        <vt:i4>7012475</vt:i4>
      </vt:variant>
      <vt:variant>
        <vt:i4>12</vt:i4>
      </vt:variant>
      <vt:variant>
        <vt:i4>0</vt:i4>
      </vt:variant>
      <vt:variant>
        <vt:i4>5</vt:i4>
      </vt:variant>
      <vt:variant>
        <vt:lpwstr>https://community.icann.org/display/ITPIPDWG/3.+WG+Charter</vt:lpwstr>
      </vt:variant>
      <vt:variant>
        <vt:lpwstr/>
      </vt:variant>
      <vt:variant>
        <vt:i4>2359349</vt:i4>
      </vt:variant>
      <vt:variant>
        <vt:i4>9</vt:i4>
      </vt:variant>
      <vt:variant>
        <vt:i4>0</vt:i4>
      </vt:variant>
      <vt:variant>
        <vt:i4>5</vt:i4>
      </vt:variant>
      <vt:variant>
        <vt:lpwstr>http://gnso.icann.org/en/issues/issue-report-irtp-d-08jan13-en.pdf</vt:lpwstr>
      </vt:variant>
      <vt:variant>
        <vt:lpwstr/>
      </vt:variant>
      <vt:variant>
        <vt:i4>5898294</vt:i4>
      </vt:variant>
      <vt:variant>
        <vt:i4>6</vt:i4>
      </vt:variant>
      <vt:variant>
        <vt:i4>0</vt:i4>
      </vt:variant>
      <vt:variant>
        <vt:i4>5</vt:i4>
      </vt:variant>
      <vt:variant>
        <vt:lpwstr>http://www.icann.org/en/resources/registrars/transfers/policy-01jun12.htm</vt:lpwstr>
      </vt:variant>
      <vt:variant>
        <vt:lpwstr/>
      </vt:variant>
      <vt:variant>
        <vt:i4>5177448</vt:i4>
      </vt:variant>
      <vt:variant>
        <vt:i4>3</vt:i4>
      </vt:variant>
      <vt:variant>
        <vt:i4>0</vt:i4>
      </vt:variant>
      <vt:variant>
        <vt:i4>5</vt:i4>
      </vt:variant>
      <vt:variant>
        <vt:lpwstr>https://community.icann.org/display/ITPIPDWG/Inter-Registrar+Transfer+Policy+%28IRTP%29+Part+D+Working+Group+Home</vt:lpwstr>
      </vt:variant>
      <vt:variant>
        <vt:lpwstr/>
      </vt:variant>
      <vt:variant>
        <vt:i4>458793</vt:i4>
      </vt:variant>
      <vt:variant>
        <vt:i4>0</vt:i4>
      </vt:variant>
      <vt:variant>
        <vt:i4>0</vt:i4>
      </vt:variant>
      <vt:variant>
        <vt:i4>5</vt:i4>
      </vt:variant>
      <vt:variant>
        <vt:lpwstr>mailto:gnso.secretariat@gnso.icann.org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Konings</dc:creator>
  <cp:lastModifiedBy>Chris Chaplow</cp:lastModifiedBy>
  <cp:revision>10</cp:revision>
  <cp:lastPrinted>2011-11-28T21:44:00Z</cp:lastPrinted>
  <dcterms:created xsi:type="dcterms:W3CDTF">2013-04-10T00:22:00Z</dcterms:created>
  <dcterms:modified xsi:type="dcterms:W3CDTF">2013-04-22T11:53:00Z</dcterms:modified>
</cp:coreProperties>
</file>