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F14A8" w14:textId="77777777" w:rsidR="00D90679" w:rsidRPr="00D90679" w:rsidRDefault="00D90679" w:rsidP="00D90679">
      <w:pPr>
        <w:jc w:val="center"/>
        <w:rPr>
          <w:rFonts w:cs="Arial"/>
          <w:b/>
        </w:rPr>
      </w:pPr>
      <w:r w:rsidRPr="00D90679">
        <w:rPr>
          <w:rFonts w:cs="Arial"/>
          <w:b/>
        </w:rPr>
        <w:t>GNSO gTLD Registries Stakeholder Group Statement</w:t>
      </w:r>
    </w:p>
    <w:p w14:paraId="597870EF" w14:textId="77777777" w:rsidR="00D90679" w:rsidRPr="00D90679" w:rsidRDefault="00D90679" w:rsidP="00D90679">
      <w:pPr>
        <w:pStyle w:val="Default"/>
        <w:jc w:val="center"/>
        <w:rPr>
          <w:rFonts w:asciiTheme="minorHAnsi" w:hAnsiTheme="minorHAnsi"/>
          <w:b/>
          <w:bCs/>
          <w:sz w:val="22"/>
          <w:szCs w:val="22"/>
        </w:rPr>
      </w:pPr>
      <w:r w:rsidRPr="00D90679">
        <w:rPr>
          <w:rFonts w:asciiTheme="minorHAnsi" w:hAnsiTheme="minorHAnsi" w:cs="Arial"/>
          <w:b/>
          <w:sz w:val="22"/>
          <w:szCs w:val="22"/>
        </w:rPr>
        <w:t xml:space="preserve">Issue: </w:t>
      </w:r>
      <w:r w:rsidRPr="00D90679">
        <w:rPr>
          <w:rFonts w:asciiTheme="minorHAnsi" w:hAnsiTheme="minorHAnsi"/>
          <w:b/>
          <w:bCs/>
          <w:sz w:val="22"/>
          <w:szCs w:val="22"/>
        </w:rPr>
        <w:t>Preliminary Issue Report on Uniformity of Contracts to Address Registration Abuse</w:t>
      </w:r>
    </w:p>
    <w:p w14:paraId="7C915D0F" w14:textId="77777777" w:rsidR="00D90679" w:rsidRPr="00D90679" w:rsidRDefault="00D90679" w:rsidP="00D90679">
      <w:pPr>
        <w:rPr>
          <w:rFonts w:cs="Arial"/>
        </w:rPr>
      </w:pPr>
    </w:p>
    <w:p w14:paraId="6FABF94A" w14:textId="77777777" w:rsidR="00D90679" w:rsidRPr="00D90679" w:rsidRDefault="00D90679" w:rsidP="00D90679">
      <w:pPr>
        <w:rPr>
          <w:rFonts w:cs="Arial"/>
        </w:rPr>
      </w:pPr>
      <w:r w:rsidRPr="00D90679">
        <w:rPr>
          <w:rFonts w:cs="Arial"/>
        </w:rPr>
        <w:t xml:space="preserve">Date: </w:t>
      </w:r>
      <w:r w:rsidR="00E00959">
        <w:rPr>
          <w:rFonts w:cs="Arial"/>
        </w:rPr>
        <w:t xml:space="preserve">15 </w:t>
      </w:r>
      <w:bookmarkStart w:id="0" w:name="_GoBack"/>
      <w:bookmarkEnd w:id="0"/>
      <w:r w:rsidRPr="00D90679">
        <w:rPr>
          <w:rFonts w:cs="Arial"/>
        </w:rPr>
        <w:t>August 2012</w:t>
      </w:r>
    </w:p>
    <w:p w14:paraId="33877B01" w14:textId="77777777" w:rsidR="00D90679" w:rsidRPr="00D90679" w:rsidRDefault="00D90679" w:rsidP="00D90679">
      <w:pPr>
        <w:pStyle w:val="Default"/>
        <w:rPr>
          <w:rFonts w:asciiTheme="minorHAnsi" w:hAnsiTheme="minorHAnsi" w:cs="Arial"/>
          <w:sz w:val="22"/>
          <w:szCs w:val="22"/>
        </w:rPr>
      </w:pPr>
      <w:r w:rsidRPr="00D90679">
        <w:rPr>
          <w:rFonts w:asciiTheme="minorHAnsi" w:hAnsiTheme="minorHAnsi" w:cs="Arial"/>
          <w:sz w:val="22"/>
          <w:szCs w:val="22"/>
        </w:rPr>
        <w:t>Issue Document URL:</w:t>
      </w:r>
    </w:p>
    <w:p w14:paraId="6F869739" w14:textId="77777777" w:rsidR="00D90679" w:rsidRPr="00D90679" w:rsidRDefault="00D90679" w:rsidP="00D90679">
      <w:pPr>
        <w:pStyle w:val="Default"/>
        <w:rPr>
          <w:rFonts w:asciiTheme="minorHAnsi" w:hAnsiTheme="minorHAnsi"/>
          <w:bCs/>
          <w:sz w:val="22"/>
          <w:szCs w:val="22"/>
        </w:rPr>
      </w:pPr>
      <w:r w:rsidRPr="00D90679">
        <w:rPr>
          <w:rFonts w:asciiTheme="minorHAnsi" w:hAnsiTheme="minorHAnsi" w:cs="Arial"/>
          <w:sz w:val="22"/>
          <w:szCs w:val="22"/>
        </w:rPr>
        <w:t xml:space="preserve">  </w:t>
      </w:r>
      <w:hyperlink r:id="rId8" w:history="1">
        <w:r w:rsidRPr="00D90679">
          <w:rPr>
            <w:rStyle w:val="Hyperlink"/>
            <w:rFonts w:asciiTheme="minorHAnsi" w:hAnsiTheme="minorHAnsi"/>
            <w:bCs/>
            <w:sz w:val="22"/>
            <w:szCs w:val="22"/>
          </w:rPr>
          <w:t>http://www.icann.org/en/news/public-comment</w:t>
        </w:r>
        <w:r w:rsidRPr="00D90679">
          <w:rPr>
            <w:rStyle w:val="Hyperlink"/>
            <w:rFonts w:asciiTheme="minorHAnsi" w:hAnsiTheme="minorHAnsi"/>
            <w:bCs/>
            <w:sz w:val="22"/>
            <w:szCs w:val="22"/>
          </w:rPr>
          <w:t>/</w:t>
        </w:r>
        <w:r w:rsidRPr="00D90679">
          <w:rPr>
            <w:rStyle w:val="Hyperlink"/>
            <w:rFonts w:asciiTheme="minorHAnsi" w:hAnsiTheme="minorHAnsi"/>
            <w:bCs/>
            <w:sz w:val="22"/>
            <w:szCs w:val="22"/>
          </w:rPr>
          <w:t>uoc-prelim-issue-report-25jul12-en.htm</w:t>
        </w:r>
      </w:hyperlink>
      <w:r w:rsidRPr="00D90679">
        <w:rPr>
          <w:rFonts w:asciiTheme="minorHAnsi" w:hAnsiTheme="minorHAnsi"/>
          <w:bCs/>
          <w:sz w:val="22"/>
          <w:szCs w:val="22"/>
        </w:rPr>
        <w:t xml:space="preserve"> </w:t>
      </w:r>
    </w:p>
    <w:p w14:paraId="196458F3" w14:textId="77777777" w:rsidR="00D90679" w:rsidRPr="00D90679" w:rsidRDefault="00D90679" w:rsidP="00D90679">
      <w:pPr>
        <w:pStyle w:val="Default"/>
        <w:rPr>
          <w:rFonts w:asciiTheme="minorHAnsi" w:hAnsiTheme="minorHAnsi"/>
          <w:bCs/>
          <w:sz w:val="22"/>
          <w:szCs w:val="22"/>
        </w:rPr>
      </w:pPr>
    </w:p>
    <w:p w14:paraId="39B523D7" w14:textId="77777777" w:rsidR="008B040D" w:rsidRPr="00D90679" w:rsidRDefault="00D90679" w:rsidP="00D90679">
      <w:pPr>
        <w:pStyle w:val="Default"/>
        <w:rPr>
          <w:sz w:val="22"/>
          <w:szCs w:val="22"/>
        </w:rPr>
      </w:pPr>
      <w:r w:rsidRPr="00D90679">
        <w:rPr>
          <w:sz w:val="22"/>
          <w:szCs w:val="22"/>
        </w:rPr>
        <w:t>This statement on the issue noted above is submitted on behalf of the gTLD Registries Stakeholder Group (RySG).  The statement that follows represents a consensus position of the RySG as further detailed at the end of the document. The RySG statement was arrived at through a combination of RySG email list discussion and RySG meetings (including teleconference meetings).</w:t>
      </w:r>
    </w:p>
    <w:p w14:paraId="752CC678" w14:textId="77777777" w:rsidR="00D90679" w:rsidRDefault="00D90679" w:rsidP="00972184">
      <w:pPr>
        <w:pStyle w:val="Default"/>
        <w:rPr>
          <w:bCs/>
          <w:sz w:val="22"/>
          <w:szCs w:val="22"/>
          <w:u w:val="single"/>
        </w:rPr>
      </w:pPr>
    </w:p>
    <w:p w14:paraId="51C6E1DA" w14:textId="77777777" w:rsidR="008B040D" w:rsidRPr="00024062" w:rsidRDefault="00607D6B" w:rsidP="00972184">
      <w:pPr>
        <w:pStyle w:val="Default"/>
        <w:rPr>
          <w:bCs/>
          <w:sz w:val="22"/>
          <w:szCs w:val="22"/>
        </w:rPr>
      </w:pPr>
      <w:r w:rsidRPr="00024062">
        <w:rPr>
          <w:bCs/>
          <w:sz w:val="22"/>
          <w:szCs w:val="22"/>
          <w:u w:val="single"/>
        </w:rPr>
        <w:t>Table 1</w:t>
      </w:r>
      <w:r w:rsidR="008B040D" w:rsidRPr="00024062">
        <w:rPr>
          <w:bCs/>
          <w:sz w:val="22"/>
          <w:szCs w:val="22"/>
          <w:u w:val="single"/>
        </w:rPr>
        <w:t xml:space="preserve"> </w:t>
      </w:r>
      <w:r w:rsidRPr="00024062">
        <w:rPr>
          <w:bCs/>
          <w:sz w:val="22"/>
          <w:szCs w:val="22"/>
          <w:u w:val="single"/>
        </w:rPr>
        <w:t>(brief d</w:t>
      </w:r>
      <w:r w:rsidR="008B040D" w:rsidRPr="00024062">
        <w:rPr>
          <w:bCs/>
          <w:sz w:val="22"/>
          <w:szCs w:val="22"/>
          <w:u w:val="single"/>
        </w:rPr>
        <w:t>escrip</w:t>
      </w:r>
      <w:r w:rsidRPr="00024062">
        <w:rPr>
          <w:bCs/>
          <w:sz w:val="22"/>
          <w:szCs w:val="22"/>
          <w:u w:val="single"/>
        </w:rPr>
        <w:t>tion of ICANN contract t</w:t>
      </w:r>
      <w:r w:rsidR="008B040D" w:rsidRPr="00024062">
        <w:rPr>
          <w:bCs/>
          <w:sz w:val="22"/>
          <w:szCs w:val="22"/>
          <w:u w:val="single"/>
        </w:rPr>
        <w:t>ypes</w:t>
      </w:r>
      <w:r w:rsidRPr="00024062">
        <w:rPr>
          <w:bCs/>
          <w:sz w:val="22"/>
          <w:szCs w:val="22"/>
          <w:u w:val="single"/>
        </w:rPr>
        <w:t>)</w:t>
      </w:r>
      <w:r w:rsidR="008B040D" w:rsidRPr="00024062">
        <w:rPr>
          <w:bCs/>
          <w:sz w:val="22"/>
          <w:szCs w:val="22"/>
          <w:u w:val="single"/>
        </w:rPr>
        <w:t xml:space="preserve"> pp.10-11</w:t>
      </w:r>
    </w:p>
    <w:p w14:paraId="55D35690" w14:textId="77777777" w:rsidR="008B040D" w:rsidRPr="00024062" w:rsidRDefault="008B040D" w:rsidP="008B040D">
      <w:pPr>
        <w:pStyle w:val="Default"/>
        <w:numPr>
          <w:ilvl w:val="0"/>
          <w:numId w:val="2"/>
        </w:numPr>
        <w:rPr>
          <w:sz w:val="22"/>
          <w:szCs w:val="22"/>
        </w:rPr>
      </w:pPr>
      <w:r w:rsidRPr="00024062">
        <w:rPr>
          <w:sz w:val="22"/>
          <w:szCs w:val="22"/>
        </w:rPr>
        <w:t>The description of the RAA contains this statement: “</w:t>
      </w:r>
      <w:r w:rsidRPr="00024062">
        <w:rPr>
          <w:i/>
          <w:sz w:val="22"/>
          <w:szCs w:val="22"/>
        </w:rPr>
        <w:t>The RAA is considered within scope of a GNSO PDP.</w:t>
      </w:r>
      <w:r w:rsidR="00D90679">
        <w:rPr>
          <w:sz w:val="22"/>
          <w:szCs w:val="22"/>
        </w:rPr>
        <w:t xml:space="preserve">”  This </w:t>
      </w:r>
      <w:r w:rsidR="00763FDD">
        <w:rPr>
          <w:sz w:val="22"/>
          <w:szCs w:val="22"/>
        </w:rPr>
        <w:t>statement is overbroad</w:t>
      </w:r>
      <w:r w:rsidRPr="00024062">
        <w:rPr>
          <w:sz w:val="22"/>
          <w:szCs w:val="22"/>
        </w:rPr>
        <w:t>.</w:t>
      </w:r>
    </w:p>
    <w:p w14:paraId="27ACC182" w14:textId="77777777" w:rsidR="008B040D" w:rsidRPr="00024062" w:rsidRDefault="008B040D" w:rsidP="008B040D">
      <w:pPr>
        <w:pStyle w:val="Default"/>
        <w:numPr>
          <w:ilvl w:val="1"/>
          <w:numId w:val="2"/>
        </w:numPr>
        <w:rPr>
          <w:sz w:val="22"/>
          <w:szCs w:val="22"/>
        </w:rPr>
      </w:pPr>
      <w:r w:rsidRPr="00024062">
        <w:rPr>
          <w:sz w:val="22"/>
          <w:szCs w:val="22"/>
        </w:rPr>
        <w:t>It could easily be interpreted to mean that everything in the RAA is within the picket fence, thereby excessively broadening the picket fence.</w:t>
      </w:r>
    </w:p>
    <w:p w14:paraId="298860FC" w14:textId="77777777" w:rsidR="008B040D" w:rsidRPr="00024062" w:rsidRDefault="00552EC7" w:rsidP="008B040D">
      <w:pPr>
        <w:pStyle w:val="Default"/>
        <w:numPr>
          <w:ilvl w:val="1"/>
          <w:numId w:val="2"/>
        </w:numPr>
        <w:rPr>
          <w:sz w:val="22"/>
          <w:szCs w:val="22"/>
        </w:rPr>
      </w:pPr>
      <w:r w:rsidRPr="00024062">
        <w:rPr>
          <w:sz w:val="22"/>
          <w:szCs w:val="22"/>
        </w:rPr>
        <w:t>Defining any contract as within the scope of a PDP could drastically change the negotiations process for that contract and thereby bring the entire community into negotiations</w:t>
      </w:r>
      <w:r w:rsidR="00763FDD">
        <w:rPr>
          <w:sz w:val="22"/>
          <w:szCs w:val="22"/>
        </w:rPr>
        <w:t>. This situation not only is</w:t>
      </w:r>
      <w:r w:rsidR="005C2FAB" w:rsidRPr="00024062">
        <w:rPr>
          <w:sz w:val="22"/>
          <w:szCs w:val="22"/>
        </w:rPr>
        <w:t xml:space="preserve"> impractical from a feasibility standpoint but</w:t>
      </w:r>
      <w:r w:rsidR="00763FDD">
        <w:rPr>
          <w:sz w:val="22"/>
          <w:szCs w:val="22"/>
        </w:rPr>
        <w:t xml:space="preserve"> also</w:t>
      </w:r>
      <w:r w:rsidR="005C2FAB" w:rsidRPr="00024062">
        <w:rPr>
          <w:sz w:val="22"/>
          <w:szCs w:val="22"/>
        </w:rPr>
        <w:t xml:space="preserve"> </w:t>
      </w:r>
      <w:r w:rsidRPr="00024062">
        <w:rPr>
          <w:sz w:val="22"/>
          <w:szCs w:val="22"/>
        </w:rPr>
        <w:t xml:space="preserve">would likely extend </w:t>
      </w:r>
      <w:r w:rsidR="00763FDD">
        <w:rPr>
          <w:sz w:val="22"/>
          <w:szCs w:val="22"/>
        </w:rPr>
        <w:t xml:space="preserve">by years </w:t>
      </w:r>
      <w:r w:rsidRPr="00024062">
        <w:rPr>
          <w:sz w:val="22"/>
          <w:szCs w:val="22"/>
        </w:rPr>
        <w:t xml:space="preserve">the time </w:t>
      </w:r>
      <w:r w:rsidR="00763FDD">
        <w:rPr>
          <w:sz w:val="22"/>
          <w:szCs w:val="22"/>
        </w:rPr>
        <w:t>needed for negotiations</w:t>
      </w:r>
      <w:r w:rsidRPr="00024062">
        <w:rPr>
          <w:sz w:val="22"/>
          <w:szCs w:val="22"/>
        </w:rPr>
        <w:t>.</w:t>
      </w:r>
    </w:p>
    <w:p w14:paraId="6FFD6555" w14:textId="77777777" w:rsidR="00552EC7" w:rsidRPr="00024062" w:rsidRDefault="005C2FAB" w:rsidP="008B040D">
      <w:pPr>
        <w:pStyle w:val="Default"/>
        <w:numPr>
          <w:ilvl w:val="1"/>
          <w:numId w:val="2"/>
        </w:numPr>
        <w:rPr>
          <w:sz w:val="22"/>
          <w:szCs w:val="22"/>
        </w:rPr>
      </w:pPr>
      <w:r w:rsidRPr="00024062">
        <w:rPr>
          <w:sz w:val="22"/>
          <w:szCs w:val="22"/>
        </w:rPr>
        <w:t xml:space="preserve">The consensus policy process as </w:t>
      </w:r>
      <w:r w:rsidR="00763FDD">
        <w:rPr>
          <w:sz w:val="22"/>
          <w:szCs w:val="22"/>
        </w:rPr>
        <w:t>set forth</w:t>
      </w:r>
      <w:r w:rsidRPr="00024062">
        <w:rPr>
          <w:sz w:val="22"/>
          <w:szCs w:val="22"/>
        </w:rPr>
        <w:t xml:space="preserve"> in existing contracts is defined around categories of issue</w:t>
      </w:r>
      <w:r w:rsidR="0046450F" w:rsidRPr="00024062">
        <w:rPr>
          <w:sz w:val="22"/>
          <w:szCs w:val="22"/>
        </w:rPr>
        <w:t>s; a con</w:t>
      </w:r>
      <w:r w:rsidR="00763FDD">
        <w:rPr>
          <w:sz w:val="22"/>
          <w:szCs w:val="22"/>
        </w:rPr>
        <w:t>tract is a collection of many</w:t>
      </w:r>
      <w:r w:rsidR="0046450F" w:rsidRPr="00024062">
        <w:rPr>
          <w:sz w:val="22"/>
          <w:szCs w:val="22"/>
        </w:rPr>
        <w:t xml:space="preserve"> issues, each of which should be evaluated on its own merits as to whether it appropriate for policy development work.</w:t>
      </w:r>
    </w:p>
    <w:p w14:paraId="67255A26" w14:textId="77777777" w:rsidR="00D8166A" w:rsidRPr="00024062" w:rsidRDefault="00D8166A" w:rsidP="008B040D">
      <w:pPr>
        <w:pStyle w:val="Default"/>
        <w:numPr>
          <w:ilvl w:val="1"/>
          <w:numId w:val="2"/>
        </w:numPr>
        <w:rPr>
          <w:sz w:val="22"/>
          <w:szCs w:val="22"/>
        </w:rPr>
      </w:pPr>
      <w:r w:rsidRPr="00024062">
        <w:rPr>
          <w:sz w:val="22"/>
          <w:szCs w:val="22"/>
        </w:rPr>
        <w:t>The next sentence in the description of the RAA says, “</w:t>
      </w:r>
      <w:r w:rsidRPr="00024062">
        <w:rPr>
          <w:i/>
          <w:sz w:val="22"/>
          <w:szCs w:val="22"/>
        </w:rPr>
        <w:t>In addition, Consensus Policies can be developed with respect to topics identified in the RAA as appropriate for consensus policies.</w:t>
      </w:r>
      <w:r w:rsidRPr="00024062">
        <w:rPr>
          <w:sz w:val="22"/>
          <w:szCs w:val="22"/>
        </w:rPr>
        <w:t>”  An underlying assumption in this statement is that not all topics in the RAA are appropriate for consensus policies.</w:t>
      </w:r>
    </w:p>
    <w:p w14:paraId="1F004FC7" w14:textId="77777777" w:rsidR="0046450F" w:rsidRPr="00024062" w:rsidRDefault="0046450F" w:rsidP="008B040D">
      <w:pPr>
        <w:pStyle w:val="Default"/>
        <w:numPr>
          <w:ilvl w:val="1"/>
          <w:numId w:val="2"/>
        </w:numPr>
        <w:rPr>
          <w:sz w:val="22"/>
          <w:szCs w:val="22"/>
        </w:rPr>
      </w:pPr>
      <w:r w:rsidRPr="00024062">
        <w:rPr>
          <w:sz w:val="22"/>
          <w:szCs w:val="22"/>
        </w:rPr>
        <w:t xml:space="preserve">It would be much more appropriate to identify specific issues in the RAA that are within scope of a PDP than to make a blanket statement that the RAA is in scope; </w:t>
      </w:r>
      <w:r w:rsidR="00D90679">
        <w:rPr>
          <w:sz w:val="22"/>
          <w:szCs w:val="22"/>
        </w:rPr>
        <w:t>we suggest</w:t>
      </w:r>
      <w:r w:rsidRPr="00024062">
        <w:rPr>
          <w:sz w:val="22"/>
          <w:szCs w:val="22"/>
        </w:rPr>
        <w:t xml:space="preserve"> that staff identify what issues in the RAA are in scope.</w:t>
      </w:r>
    </w:p>
    <w:p w14:paraId="6A015550" w14:textId="77777777" w:rsidR="0046450F" w:rsidRPr="00024062" w:rsidRDefault="005B7F4F" w:rsidP="0046450F">
      <w:pPr>
        <w:pStyle w:val="Default"/>
        <w:numPr>
          <w:ilvl w:val="0"/>
          <w:numId w:val="2"/>
        </w:numPr>
        <w:rPr>
          <w:sz w:val="22"/>
          <w:szCs w:val="22"/>
        </w:rPr>
      </w:pPr>
      <w:r w:rsidRPr="00024062">
        <w:rPr>
          <w:sz w:val="22"/>
          <w:szCs w:val="22"/>
        </w:rPr>
        <w:t>The description of the Registration Agreement contains this statement: “</w:t>
      </w:r>
      <w:r w:rsidRPr="00024062">
        <w:rPr>
          <w:i/>
          <w:sz w:val="22"/>
          <w:szCs w:val="22"/>
        </w:rPr>
        <w:t>This agreement is considered in scope for a GNSO PDP.</w:t>
      </w:r>
      <w:r w:rsidRPr="00024062">
        <w:rPr>
          <w:sz w:val="22"/>
          <w:szCs w:val="22"/>
        </w:rPr>
        <w:t xml:space="preserve">”  As with the RAA, this </w:t>
      </w:r>
      <w:r w:rsidR="00763FDD">
        <w:rPr>
          <w:sz w:val="22"/>
          <w:szCs w:val="22"/>
        </w:rPr>
        <w:t>statement is also overbroad</w:t>
      </w:r>
      <w:r w:rsidR="00D90679">
        <w:rPr>
          <w:sz w:val="22"/>
          <w:szCs w:val="22"/>
        </w:rPr>
        <w:t>.</w:t>
      </w:r>
    </w:p>
    <w:p w14:paraId="5032DDF7" w14:textId="77777777" w:rsidR="005B7F4F" w:rsidRPr="00024062" w:rsidRDefault="00D8166A" w:rsidP="005B7F4F">
      <w:pPr>
        <w:pStyle w:val="Default"/>
        <w:numPr>
          <w:ilvl w:val="1"/>
          <w:numId w:val="2"/>
        </w:numPr>
        <w:rPr>
          <w:sz w:val="22"/>
          <w:szCs w:val="22"/>
        </w:rPr>
      </w:pPr>
      <w:r w:rsidRPr="00024062">
        <w:rPr>
          <w:sz w:val="22"/>
          <w:szCs w:val="22"/>
        </w:rPr>
        <w:t xml:space="preserve">Variations of the sub-bullet comments for the RAA above are applicable here as well. </w:t>
      </w:r>
    </w:p>
    <w:p w14:paraId="4A7A28E4" w14:textId="77777777" w:rsidR="00C1747C" w:rsidRPr="00024062" w:rsidRDefault="00C1747C" w:rsidP="005B7F4F">
      <w:pPr>
        <w:pStyle w:val="Default"/>
        <w:numPr>
          <w:ilvl w:val="1"/>
          <w:numId w:val="2"/>
        </w:numPr>
        <w:rPr>
          <w:sz w:val="22"/>
          <w:szCs w:val="22"/>
        </w:rPr>
      </w:pPr>
      <w:r w:rsidRPr="00024062">
        <w:rPr>
          <w:sz w:val="22"/>
          <w:szCs w:val="22"/>
        </w:rPr>
        <w:t xml:space="preserve">It is accepted that applicable RAA terms should </w:t>
      </w:r>
      <w:r w:rsidR="00763FDD">
        <w:rPr>
          <w:sz w:val="22"/>
          <w:szCs w:val="22"/>
        </w:rPr>
        <w:t>flow</w:t>
      </w:r>
      <w:r w:rsidRPr="00024062">
        <w:rPr>
          <w:sz w:val="22"/>
          <w:szCs w:val="22"/>
        </w:rPr>
        <w:t xml:space="preserve"> down to registrants via registration agreement</w:t>
      </w:r>
      <w:r w:rsidR="00D8166A" w:rsidRPr="00024062">
        <w:rPr>
          <w:sz w:val="22"/>
          <w:szCs w:val="22"/>
        </w:rPr>
        <w:t>s</w:t>
      </w:r>
      <w:r w:rsidR="00763FDD">
        <w:rPr>
          <w:sz w:val="22"/>
          <w:szCs w:val="22"/>
        </w:rPr>
        <w:t>,</w:t>
      </w:r>
      <w:r w:rsidR="00D8166A" w:rsidRPr="00024062">
        <w:rPr>
          <w:sz w:val="22"/>
          <w:szCs w:val="22"/>
        </w:rPr>
        <w:t xml:space="preserve"> but that is very</w:t>
      </w:r>
      <w:r w:rsidRPr="00024062">
        <w:rPr>
          <w:sz w:val="22"/>
          <w:szCs w:val="22"/>
        </w:rPr>
        <w:t xml:space="preserve"> different than saying that the entire agreement is in scope for a PDP.</w:t>
      </w:r>
    </w:p>
    <w:p w14:paraId="4B7F9CB4" w14:textId="77777777" w:rsidR="00D8166A" w:rsidRPr="00024062" w:rsidRDefault="00D8166A" w:rsidP="00D8166A">
      <w:pPr>
        <w:pStyle w:val="Default"/>
        <w:numPr>
          <w:ilvl w:val="0"/>
          <w:numId w:val="2"/>
        </w:numPr>
        <w:rPr>
          <w:sz w:val="22"/>
          <w:szCs w:val="22"/>
        </w:rPr>
      </w:pPr>
      <w:r w:rsidRPr="00024062">
        <w:rPr>
          <w:sz w:val="22"/>
          <w:szCs w:val="22"/>
        </w:rPr>
        <w:t>The last sentence in the description of the Registration Agreement says, “Amendments to the RtA are at the discretion of the Registrar.”</w:t>
      </w:r>
    </w:p>
    <w:p w14:paraId="79AB721D" w14:textId="77777777" w:rsidR="00D8166A" w:rsidRPr="00024062" w:rsidRDefault="006E116A" w:rsidP="00D8166A">
      <w:pPr>
        <w:pStyle w:val="Default"/>
        <w:numPr>
          <w:ilvl w:val="1"/>
          <w:numId w:val="2"/>
        </w:numPr>
        <w:rPr>
          <w:sz w:val="22"/>
          <w:szCs w:val="22"/>
        </w:rPr>
      </w:pPr>
      <w:r w:rsidRPr="00024062">
        <w:rPr>
          <w:sz w:val="22"/>
          <w:szCs w:val="22"/>
        </w:rPr>
        <w:t xml:space="preserve">This statement is consistent with existing practice and is essential for registrars to be able to manage their relationship with registrants in a timely manner. </w:t>
      </w:r>
      <w:r w:rsidR="00D90679">
        <w:rPr>
          <w:sz w:val="22"/>
          <w:szCs w:val="22"/>
        </w:rPr>
        <w:t>A</w:t>
      </w:r>
      <w:r w:rsidRPr="00024062">
        <w:rPr>
          <w:sz w:val="22"/>
          <w:szCs w:val="22"/>
        </w:rPr>
        <w:t xml:space="preserve"> registrar</w:t>
      </w:r>
      <w:r w:rsidR="00D90679">
        <w:rPr>
          <w:sz w:val="22"/>
          <w:szCs w:val="22"/>
        </w:rPr>
        <w:t xml:space="preserve"> could not</w:t>
      </w:r>
      <w:r w:rsidR="00D90679" w:rsidRPr="00D90679">
        <w:rPr>
          <w:sz w:val="22"/>
          <w:szCs w:val="22"/>
        </w:rPr>
        <w:t xml:space="preserve"> </w:t>
      </w:r>
      <w:r w:rsidR="00D90679" w:rsidRPr="00024062">
        <w:rPr>
          <w:sz w:val="22"/>
          <w:szCs w:val="22"/>
        </w:rPr>
        <w:t>involve the whole community</w:t>
      </w:r>
      <w:r w:rsidRPr="00024062">
        <w:rPr>
          <w:sz w:val="22"/>
          <w:szCs w:val="22"/>
        </w:rPr>
        <w:t xml:space="preserve"> </w:t>
      </w:r>
      <w:r w:rsidR="00D90679">
        <w:rPr>
          <w:sz w:val="22"/>
          <w:szCs w:val="22"/>
        </w:rPr>
        <w:t xml:space="preserve">every time the registrar </w:t>
      </w:r>
      <w:r w:rsidRPr="00024062">
        <w:rPr>
          <w:sz w:val="22"/>
          <w:szCs w:val="22"/>
        </w:rPr>
        <w:t xml:space="preserve">needed to make an amendment to </w:t>
      </w:r>
      <w:r w:rsidR="00D90679">
        <w:rPr>
          <w:sz w:val="22"/>
          <w:szCs w:val="22"/>
        </w:rPr>
        <w:t>its</w:t>
      </w:r>
      <w:r w:rsidRPr="00024062">
        <w:rPr>
          <w:sz w:val="22"/>
          <w:szCs w:val="22"/>
        </w:rPr>
        <w:t xml:space="preserve"> reg</w:t>
      </w:r>
      <w:r w:rsidR="00D90679">
        <w:rPr>
          <w:sz w:val="22"/>
          <w:szCs w:val="22"/>
        </w:rPr>
        <w:t>istration agreement</w:t>
      </w:r>
      <w:r w:rsidRPr="00024062">
        <w:rPr>
          <w:sz w:val="22"/>
          <w:szCs w:val="22"/>
        </w:rPr>
        <w:t>.</w:t>
      </w:r>
    </w:p>
    <w:p w14:paraId="4145C2BD" w14:textId="77777777" w:rsidR="006E116A" w:rsidRPr="00024062" w:rsidRDefault="006E116A" w:rsidP="00D8166A">
      <w:pPr>
        <w:pStyle w:val="Default"/>
        <w:numPr>
          <w:ilvl w:val="1"/>
          <w:numId w:val="2"/>
        </w:numPr>
        <w:rPr>
          <w:sz w:val="22"/>
          <w:szCs w:val="22"/>
        </w:rPr>
      </w:pPr>
      <w:r w:rsidRPr="00024062">
        <w:rPr>
          <w:sz w:val="22"/>
          <w:szCs w:val="22"/>
        </w:rPr>
        <w:t>It is understood that amendments would have to be in compliance with existing consensus policy and other terms of the RAA.</w:t>
      </w:r>
    </w:p>
    <w:p w14:paraId="2C4C9E69" w14:textId="77777777" w:rsidR="006E116A" w:rsidRPr="00024062" w:rsidRDefault="006E116A" w:rsidP="006E116A">
      <w:pPr>
        <w:pStyle w:val="Default"/>
        <w:rPr>
          <w:sz w:val="22"/>
          <w:szCs w:val="22"/>
        </w:rPr>
      </w:pPr>
    </w:p>
    <w:p w14:paraId="1265DC24" w14:textId="77777777" w:rsidR="006E116A" w:rsidRPr="00024062" w:rsidRDefault="00607D6B" w:rsidP="006E116A">
      <w:pPr>
        <w:pStyle w:val="Default"/>
        <w:rPr>
          <w:sz w:val="22"/>
          <w:szCs w:val="22"/>
        </w:rPr>
      </w:pPr>
      <w:r w:rsidRPr="00024062">
        <w:rPr>
          <w:sz w:val="22"/>
          <w:szCs w:val="22"/>
          <w:u w:val="single"/>
        </w:rPr>
        <w:t>6. Staff Recommendation, pp.22-23</w:t>
      </w:r>
    </w:p>
    <w:p w14:paraId="68BB1B2E" w14:textId="77777777" w:rsidR="002B1B56" w:rsidRPr="00024062" w:rsidRDefault="002B1B56" w:rsidP="00607D6B">
      <w:pPr>
        <w:pStyle w:val="Default"/>
        <w:numPr>
          <w:ilvl w:val="0"/>
          <w:numId w:val="3"/>
        </w:numPr>
        <w:rPr>
          <w:sz w:val="22"/>
          <w:szCs w:val="22"/>
        </w:rPr>
      </w:pPr>
      <w:r w:rsidRPr="00024062">
        <w:rPr>
          <w:sz w:val="22"/>
          <w:szCs w:val="22"/>
        </w:rPr>
        <w:t>In this section staff recommends that a PDP be initiated.</w:t>
      </w:r>
    </w:p>
    <w:p w14:paraId="6D0EA633" w14:textId="77777777" w:rsidR="00607D6B" w:rsidRPr="00024062" w:rsidRDefault="002B1B56" w:rsidP="00607D6B">
      <w:pPr>
        <w:pStyle w:val="Default"/>
        <w:numPr>
          <w:ilvl w:val="0"/>
          <w:numId w:val="3"/>
        </w:numPr>
        <w:rPr>
          <w:sz w:val="22"/>
          <w:szCs w:val="22"/>
        </w:rPr>
      </w:pPr>
      <w:r w:rsidRPr="00024062">
        <w:rPr>
          <w:sz w:val="22"/>
          <w:szCs w:val="22"/>
        </w:rPr>
        <w:t>I</w:t>
      </w:r>
      <w:r w:rsidR="00607D6B" w:rsidRPr="00024062">
        <w:rPr>
          <w:sz w:val="22"/>
          <w:szCs w:val="22"/>
        </w:rPr>
        <w:t xml:space="preserve">f a PDP is initiated, </w:t>
      </w:r>
      <w:r w:rsidRPr="00024062">
        <w:rPr>
          <w:sz w:val="22"/>
          <w:szCs w:val="22"/>
        </w:rPr>
        <w:t xml:space="preserve">staff recommends that the following tasks be assigned to the </w:t>
      </w:r>
      <w:r w:rsidR="00607D6B" w:rsidRPr="00024062">
        <w:rPr>
          <w:sz w:val="22"/>
          <w:szCs w:val="22"/>
        </w:rPr>
        <w:t>associated W</w:t>
      </w:r>
      <w:r w:rsidR="00763FDD">
        <w:rPr>
          <w:sz w:val="22"/>
          <w:szCs w:val="22"/>
        </w:rPr>
        <w:t xml:space="preserve">orking </w:t>
      </w:r>
      <w:r w:rsidR="00607D6B" w:rsidRPr="00024062">
        <w:rPr>
          <w:sz w:val="22"/>
          <w:szCs w:val="22"/>
        </w:rPr>
        <w:t>G</w:t>
      </w:r>
      <w:r w:rsidR="00763FDD">
        <w:rPr>
          <w:sz w:val="22"/>
          <w:szCs w:val="22"/>
        </w:rPr>
        <w:t>roup</w:t>
      </w:r>
      <w:r w:rsidRPr="00024062">
        <w:rPr>
          <w:sz w:val="22"/>
          <w:szCs w:val="22"/>
        </w:rPr>
        <w:t xml:space="preserve">: 1) </w:t>
      </w:r>
      <w:r w:rsidR="00607D6B" w:rsidRPr="00024062">
        <w:rPr>
          <w:sz w:val="22"/>
          <w:szCs w:val="22"/>
        </w:rPr>
        <w:t>additional research</w:t>
      </w:r>
      <w:r w:rsidRPr="00024062">
        <w:rPr>
          <w:sz w:val="22"/>
          <w:szCs w:val="22"/>
        </w:rPr>
        <w:t xml:space="preserve"> about registration abuse; 2) answering the question as to “</w:t>
      </w:r>
      <w:r w:rsidRPr="00024062">
        <w:rPr>
          <w:i/>
          <w:sz w:val="22"/>
          <w:szCs w:val="22"/>
        </w:rPr>
        <w:t>whether Registries have unique requirements that may call for differing approaches and definitions</w:t>
      </w:r>
      <w:r w:rsidRPr="00024062">
        <w:rPr>
          <w:sz w:val="22"/>
          <w:szCs w:val="22"/>
        </w:rPr>
        <w:t>”; 3) development of an initial baseline if there appears to be value in having uniform contractual provisions to address registration abuse.</w:t>
      </w:r>
    </w:p>
    <w:p w14:paraId="660AE158" w14:textId="77777777" w:rsidR="002B1B56" w:rsidRPr="00024062" w:rsidRDefault="00F42087" w:rsidP="002B1B56">
      <w:pPr>
        <w:pStyle w:val="Default"/>
        <w:numPr>
          <w:ilvl w:val="1"/>
          <w:numId w:val="3"/>
        </w:numPr>
        <w:rPr>
          <w:sz w:val="22"/>
          <w:szCs w:val="22"/>
        </w:rPr>
      </w:pPr>
      <w:r>
        <w:rPr>
          <w:sz w:val="22"/>
          <w:szCs w:val="22"/>
        </w:rPr>
        <w:t>T</w:t>
      </w:r>
      <w:r w:rsidR="002B1B56" w:rsidRPr="00024062">
        <w:rPr>
          <w:sz w:val="22"/>
          <w:szCs w:val="22"/>
        </w:rPr>
        <w:t>hese steps seem reasonable.</w:t>
      </w:r>
    </w:p>
    <w:p w14:paraId="4A73DFAF" w14:textId="77777777" w:rsidR="002B1B56" w:rsidRPr="00024062" w:rsidRDefault="00F42087" w:rsidP="002B1B56">
      <w:pPr>
        <w:pStyle w:val="Default"/>
        <w:numPr>
          <w:ilvl w:val="1"/>
          <w:numId w:val="3"/>
        </w:numPr>
        <w:rPr>
          <w:sz w:val="22"/>
          <w:szCs w:val="22"/>
        </w:rPr>
      </w:pPr>
      <w:r>
        <w:rPr>
          <w:sz w:val="22"/>
          <w:szCs w:val="22"/>
        </w:rPr>
        <w:t>It is not clear whether</w:t>
      </w:r>
      <w:r w:rsidR="002B1B56" w:rsidRPr="00024062">
        <w:rPr>
          <w:sz w:val="22"/>
          <w:szCs w:val="22"/>
        </w:rPr>
        <w:t xml:space="preserve"> a consensus policy would </w:t>
      </w:r>
      <w:r w:rsidR="00024062" w:rsidRPr="00024062">
        <w:rPr>
          <w:sz w:val="22"/>
          <w:szCs w:val="22"/>
        </w:rPr>
        <w:t>be recommended as a result of</w:t>
      </w:r>
      <w:r>
        <w:rPr>
          <w:sz w:val="22"/>
          <w:szCs w:val="22"/>
        </w:rPr>
        <w:t xml:space="preserve"> a PDP. We understand that </w:t>
      </w:r>
      <w:r w:rsidR="002B1B56" w:rsidRPr="00024062">
        <w:rPr>
          <w:sz w:val="22"/>
          <w:szCs w:val="22"/>
        </w:rPr>
        <w:t xml:space="preserve">contracted parties would </w:t>
      </w:r>
      <w:r w:rsidR="00024062" w:rsidRPr="00024062">
        <w:rPr>
          <w:sz w:val="22"/>
          <w:szCs w:val="22"/>
        </w:rPr>
        <w:t>have</w:t>
      </w:r>
      <w:r>
        <w:rPr>
          <w:sz w:val="22"/>
          <w:szCs w:val="22"/>
        </w:rPr>
        <w:t xml:space="preserve"> an adequate</w:t>
      </w:r>
      <w:r w:rsidR="00024062" w:rsidRPr="00024062">
        <w:rPr>
          <w:sz w:val="22"/>
          <w:szCs w:val="22"/>
        </w:rPr>
        <w:t xml:space="preserve"> opportunity to influence any such recommendation.</w:t>
      </w:r>
    </w:p>
    <w:p w14:paraId="5A5919EF" w14:textId="77777777" w:rsidR="00024062" w:rsidRPr="00024062" w:rsidRDefault="00F42087" w:rsidP="002B1B56">
      <w:pPr>
        <w:pStyle w:val="Default"/>
        <w:numPr>
          <w:ilvl w:val="1"/>
          <w:numId w:val="3"/>
        </w:numPr>
        <w:rPr>
          <w:sz w:val="22"/>
          <w:szCs w:val="22"/>
        </w:rPr>
      </w:pPr>
      <w:r>
        <w:rPr>
          <w:sz w:val="22"/>
          <w:szCs w:val="22"/>
        </w:rPr>
        <w:t>A</w:t>
      </w:r>
      <w:r w:rsidR="00024062" w:rsidRPr="00024062">
        <w:rPr>
          <w:sz w:val="22"/>
          <w:szCs w:val="22"/>
        </w:rPr>
        <w:t>s contracted parties</w:t>
      </w:r>
      <w:r>
        <w:rPr>
          <w:sz w:val="22"/>
          <w:szCs w:val="22"/>
        </w:rPr>
        <w:t>, members of the RySG are sensitive that any comments made by the Group</w:t>
      </w:r>
      <w:r w:rsidR="00024062" w:rsidRPr="00024062">
        <w:rPr>
          <w:sz w:val="22"/>
          <w:szCs w:val="22"/>
        </w:rPr>
        <w:t xml:space="preserve"> clearly show our willingness to prevent registration abuse when possible and to do so in ways that are effective.</w:t>
      </w:r>
    </w:p>
    <w:p w14:paraId="2744CC1A" w14:textId="77777777" w:rsidR="00024062" w:rsidRDefault="00024062" w:rsidP="00024062">
      <w:pPr>
        <w:pStyle w:val="Default"/>
        <w:numPr>
          <w:ilvl w:val="0"/>
          <w:numId w:val="3"/>
        </w:numPr>
        <w:rPr>
          <w:sz w:val="22"/>
          <w:szCs w:val="22"/>
        </w:rPr>
      </w:pPr>
      <w:r w:rsidRPr="00024062">
        <w:rPr>
          <w:sz w:val="22"/>
          <w:szCs w:val="22"/>
        </w:rPr>
        <w:t xml:space="preserve">This section ends by stating, “. . . </w:t>
      </w:r>
      <w:r w:rsidRPr="00024062">
        <w:rPr>
          <w:i/>
          <w:sz w:val="22"/>
          <w:szCs w:val="22"/>
        </w:rPr>
        <w:t>the GNSO Council is encouraged to take the time before the release of the Final Issue Report to review its current projects to determine available bandwidth for initiating an additional PDP.</w:t>
      </w:r>
      <w:r w:rsidRPr="00024062">
        <w:rPr>
          <w:sz w:val="22"/>
          <w:szCs w:val="22"/>
        </w:rPr>
        <w:t>”</w:t>
      </w:r>
    </w:p>
    <w:p w14:paraId="1556D8F7" w14:textId="77777777" w:rsidR="00024062" w:rsidRPr="00763FDD" w:rsidRDefault="00024062" w:rsidP="00024062">
      <w:pPr>
        <w:pStyle w:val="Default"/>
        <w:numPr>
          <w:ilvl w:val="1"/>
          <w:numId w:val="3"/>
        </w:numPr>
        <w:rPr>
          <w:rFonts w:asciiTheme="minorHAnsi" w:hAnsiTheme="minorHAnsi"/>
          <w:sz w:val="22"/>
          <w:szCs w:val="22"/>
        </w:rPr>
      </w:pPr>
      <w:r w:rsidRPr="00763FDD">
        <w:rPr>
          <w:rFonts w:asciiTheme="minorHAnsi" w:hAnsiTheme="minorHAnsi"/>
          <w:sz w:val="22"/>
          <w:szCs w:val="22"/>
        </w:rPr>
        <w:t>This of course is a sound suggestion.</w:t>
      </w:r>
    </w:p>
    <w:p w14:paraId="3FCE3533" w14:textId="77777777" w:rsidR="00F42087" w:rsidRDefault="00953FC2" w:rsidP="00F42087">
      <w:pPr>
        <w:pStyle w:val="Default"/>
        <w:numPr>
          <w:ilvl w:val="1"/>
          <w:numId w:val="3"/>
        </w:numPr>
        <w:rPr>
          <w:rFonts w:asciiTheme="minorHAnsi" w:hAnsiTheme="minorHAnsi"/>
          <w:sz w:val="22"/>
          <w:szCs w:val="22"/>
        </w:rPr>
      </w:pPr>
      <w:r>
        <w:rPr>
          <w:rFonts w:asciiTheme="minorHAnsi" w:hAnsiTheme="minorHAnsi"/>
          <w:sz w:val="22"/>
          <w:szCs w:val="22"/>
        </w:rPr>
        <w:t>It</w:t>
      </w:r>
      <w:r w:rsidR="00024062" w:rsidRPr="00763FDD">
        <w:rPr>
          <w:rFonts w:asciiTheme="minorHAnsi" w:hAnsiTheme="minorHAnsi"/>
          <w:sz w:val="22"/>
          <w:szCs w:val="22"/>
        </w:rPr>
        <w:t xml:space="preserve"> is not clear why staff encouraged the Council to do this before the Final Issue Report is released</w:t>
      </w:r>
      <w:r>
        <w:rPr>
          <w:rFonts w:asciiTheme="minorHAnsi" w:hAnsiTheme="minorHAnsi"/>
          <w:sz w:val="22"/>
          <w:szCs w:val="22"/>
        </w:rPr>
        <w:t>. Does this mean</w:t>
      </w:r>
      <w:r w:rsidR="00024062" w:rsidRPr="00763FDD">
        <w:rPr>
          <w:rFonts w:asciiTheme="minorHAnsi" w:hAnsiTheme="minorHAnsi"/>
          <w:sz w:val="22"/>
          <w:szCs w:val="22"/>
        </w:rPr>
        <w:t xml:space="preserve"> </w:t>
      </w:r>
      <w:r>
        <w:rPr>
          <w:rFonts w:asciiTheme="minorHAnsi" w:hAnsiTheme="minorHAnsi"/>
          <w:sz w:val="22"/>
          <w:szCs w:val="22"/>
        </w:rPr>
        <w:t>that staff believes the</w:t>
      </w:r>
      <w:r w:rsidR="00024062" w:rsidRPr="00763FDD">
        <w:rPr>
          <w:rFonts w:asciiTheme="minorHAnsi" w:hAnsiTheme="minorHAnsi"/>
          <w:sz w:val="22"/>
          <w:szCs w:val="22"/>
        </w:rPr>
        <w:t xml:space="preserve"> Final Repor</w:t>
      </w:r>
      <w:r>
        <w:rPr>
          <w:rFonts w:asciiTheme="minorHAnsi" w:hAnsiTheme="minorHAnsi"/>
          <w:sz w:val="22"/>
          <w:szCs w:val="22"/>
        </w:rPr>
        <w:t>t should not be issued if it is</w:t>
      </w:r>
      <w:r w:rsidR="00024062" w:rsidRPr="00763FDD">
        <w:rPr>
          <w:rFonts w:asciiTheme="minorHAnsi" w:hAnsiTheme="minorHAnsi"/>
          <w:sz w:val="22"/>
          <w:szCs w:val="22"/>
        </w:rPr>
        <w:t xml:space="preserve"> determ</w:t>
      </w:r>
      <w:r>
        <w:rPr>
          <w:rFonts w:asciiTheme="minorHAnsi" w:hAnsiTheme="minorHAnsi"/>
          <w:sz w:val="22"/>
          <w:szCs w:val="22"/>
        </w:rPr>
        <w:t>ined that there is</w:t>
      </w:r>
      <w:r w:rsidR="00024062" w:rsidRPr="00763FDD">
        <w:rPr>
          <w:rFonts w:asciiTheme="minorHAnsi" w:hAnsiTheme="minorHAnsi"/>
          <w:sz w:val="22"/>
          <w:szCs w:val="22"/>
        </w:rPr>
        <w:t xml:space="preserve"> not available bandwidth?</w:t>
      </w:r>
    </w:p>
    <w:p w14:paraId="64DBCB94" w14:textId="77777777" w:rsidR="00F42087" w:rsidRDefault="00F42087" w:rsidP="00F42087">
      <w:pPr>
        <w:pStyle w:val="Default"/>
        <w:ind w:left="1440"/>
        <w:rPr>
          <w:rFonts w:asciiTheme="minorHAnsi" w:hAnsiTheme="minorHAnsi"/>
          <w:sz w:val="22"/>
          <w:szCs w:val="22"/>
        </w:rPr>
      </w:pPr>
    </w:p>
    <w:p w14:paraId="5F1DD5BD" w14:textId="77777777" w:rsidR="00953FC2" w:rsidRDefault="00953FC2" w:rsidP="00F42087">
      <w:pPr>
        <w:pStyle w:val="Default"/>
        <w:ind w:left="1440"/>
        <w:rPr>
          <w:rFonts w:asciiTheme="minorHAnsi" w:hAnsiTheme="minorHAnsi"/>
          <w:sz w:val="22"/>
          <w:szCs w:val="22"/>
        </w:rPr>
      </w:pPr>
    </w:p>
    <w:p w14:paraId="169D9FDC" w14:textId="77777777" w:rsidR="00953FC2" w:rsidRPr="00F42087" w:rsidRDefault="00953FC2" w:rsidP="00F42087">
      <w:pPr>
        <w:pStyle w:val="Default"/>
        <w:ind w:left="1440"/>
        <w:rPr>
          <w:rFonts w:asciiTheme="minorHAnsi" w:hAnsiTheme="minorHAnsi"/>
          <w:sz w:val="22"/>
          <w:szCs w:val="22"/>
        </w:rPr>
      </w:pPr>
    </w:p>
    <w:p w14:paraId="380A797D" w14:textId="77777777" w:rsidR="00763FDD" w:rsidRPr="00763FDD" w:rsidRDefault="00763FDD" w:rsidP="00763FDD">
      <w:pPr>
        <w:spacing w:after="120"/>
        <w:rPr>
          <w:rFonts w:cs="Arial"/>
          <w:b/>
        </w:rPr>
      </w:pPr>
      <w:r w:rsidRPr="00763FDD">
        <w:rPr>
          <w:rFonts w:cs="Arial"/>
          <w:b/>
        </w:rPr>
        <w:t>RySG Level of Support</w:t>
      </w:r>
    </w:p>
    <w:p w14:paraId="04E37D97" w14:textId="77777777" w:rsidR="00763FDD" w:rsidRPr="00763FDD" w:rsidRDefault="00763FDD" w:rsidP="00763FDD">
      <w:pPr>
        <w:numPr>
          <w:ilvl w:val="0"/>
          <w:numId w:val="4"/>
        </w:numPr>
        <w:spacing w:after="120" w:line="240" w:lineRule="auto"/>
        <w:rPr>
          <w:rFonts w:cs="Arial"/>
        </w:rPr>
      </w:pPr>
      <w:r w:rsidRPr="00763FDD">
        <w:rPr>
          <w:rFonts w:cs="Arial"/>
          <w:b/>
        </w:rPr>
        <w:t>Level of Support of Active Members</w:t>
      </w:r>
      <w:r w:rsidR="00EA7C66">
        <w:rPr>
          <w:rFonts w:cs="Arial"/>
        </w:rPr>
        <w:t>:   Supermajority</w:t>
      </w:r>
    </w:p>
    <w:p w14:paraId="2655C0C8" w14:textId="77777777" w:rsidR="00763FDD" w:rsidRPr="00763FDD" w:rsidRDefault="00763FDD" w:rsidP="00763FDD">
      <w:pPr>
        <w:numPr>
          <w:ilvl w:val="1"/>
          <w:numId w:val="4"/>
        </w:numPr>
        <w:spacing w:after="120" w:line="240" w:lineRule="auto"/>
        <w:rPr>
          <w:rFonts w:cs="Arial"/>
        </w:rPr>
      </w:pPr>
      <w:r w:rsidRPr="00763FDD">
        <w:rPr>
          <w:rFonts w:cs="Arial"/>
        </w:rPr>
        <w:t xml:space="preserve"># of Members in Favor:  </w:t>
      </w:r>
      <w:r w:rsidR="00EA7C66">
        <w:rPr>
          <w:rFonts w:cs="Arial"/>
        </w:rPr>
        <w:t>10</w:t>
      </w:r>
      <w:r w:rsidR="00EA7C66">
        <w:rPr>
          <w:rFonts w:cs="Arial"/>
        </w:rPr>
        <w:tab/>
      </w:r>
    </w:p>
    <w:p w14:paraId="42D1719A" w14:textId="77777777" w:rsidR="00763FDD" w:rsidRPr="00763FDD" w:rsidRDefault="00763FDD" w:rsidP="00763FDD">
      <w:pPr>
        <w:numPr>
          <w:ilvl w:val="1"/>
          <w:numId w:val="4"/>
        </w:numPr>
        <w:spacing w:after="120" w:line="240" w:lineRule="auto"/>
        <w:rPr>
          <w:rFonts w:cs="Arial"/>
        </w:rPr>
      </w:pPr>
      <w:r w:rsidRPr="00763FDD">
        <w:rPr>
          <w:rFonts w:cs="Arial"/>
        </w:rPr>
        <w:t xml:space="preserve"># of Members Opposed:  </w:t>
      </w:r>
      <w:r w:rsidR="00EA7C66">
        <w:rPr>
          <w:rFonts w:cs="Arial"/>
        </w:rPr>
        <w:t xml:space="preserve"> 0</w:t>
      </w:r>
    </w:p>
    <w:p w14:paraId="77FFFC94" w14:textId="77777777" w:rsidR="00763FDD" w:rsidRPr="00763FDD" w:rsidRDefault="00763FDD" w:rsidP="00763FDD">
      <w:pPr>
        <w:numPr>
          <w:ilvl w:val="1"/>
          <w:numId w:val="4"/>
        </w:numPr>
        <w:spacing w:after="120" w:line="240" w:lineRule="auto"/>
        <w:rPr>
          <w:rFonts w:cs="Arial"/>
        </w:rPr>
      </w:pPr>
      <w:r w:rsidRPr="00763FDD">
        <w:rPr>
          <w:rFonts w:cs="Arial"/>
        </w:rPr>
        <w:t xml:space="preserve"># of Members that Abstained:    </w:t>
      </w:r>
      <w:r w:rsidR="00EA7C66">
        <w:rPr>
          <w:rFonts w:cs="Arial"/>
        </w:rPr>
        <w:t>0</w:t>
      </w:r>
    </w:p>
    <w:p w14:paraId="3289BF97" w14:textId="77777777" w:rsidR="00763FDD" w:rsidRPr="00763FDD" w:rsidRDefault="00763FDD" w:rsidP="00763FDD">
      <w:pPr>
        <w:numPr>
          <w:ilvl w:val="1"/>
          <w:numId w:val="4"/>
        </w:numPr>
        <w:spacing w:after="120" w:line="240" w:lineRule="auto"/>
        <w:rPr>
          <w:rFonts w:cs="Arial"/>
        </w:rPr>
      </w:pPr>
      <w:r w:rsidRPr="00763FDD">
        <w:rPr>
          <w:rFonts w:cs="Arial"/>
        </w:rPr>
        <w:t xml:space="preserve"># of Members that did not vote:  </w:t>
      </w:r>
      <w:r w:rsidR="00EA7C66">
        <w:rPr>
          <w:rFonts w:cs="Arial"/>
        </w:rPr>
        <w:t xml:space="preserve">  4</w:t>
      </w:r>
    </w:p>
    <w:p w14:paraId="6987C737" w14:textId="77777777" w:rsidR="00763FDD" w:rsidRPr="00763FDD" w:rsidRDefault="00763FDD" w:rsidP="00763FDD">
      <w:pPr>
        <w:numPr>
          <w:ilvl w:val="0"/>
          <w:numId w:val="4"/>
        </w:numPr>
        <w:spacing w:after="120" w:line="240" w:lineRule="auto"/>
        <w:rPr>
          <w:rFonts w:cs="Arial"/>
        </w:rPr>
      </w:pPr>
      <w:r w:rsidRPr="00763FDD">
        <w:rPr>
          <w:rFonts w:cs="Arial"/>
          <w:b/>
        </w:rPr>
        <w:t>Minority Position</w:t>
      </w:r>
      <w:r w:rsidRPr="00763FDD">
        <w:rPr>
          <w:rFonts w:cs="Arial"/>
        </w:rPr>
        <w:t>(s):  N/A</w:t>
      </w:r>
    </w:p>
    <w:p w14:paraId="18F26E23" w14:textId="77777777" w:rsidR="00763FDD" w:rsidRPr="00763FDD" w:rsidRDefault="00763FDD" w:rsidP="00763FDD">
      <w:pPr>
        <w:spacing w:after="120"/>
        <w:rPr>
          <w:rFonts w:cs="Arial"/>
          <w:b/>
          <w:u w:val="single"/>
        </w:rPr>
      </w:pPr>
    </w:p>
    <w:p w14:paraId="2777F06F" w14:textId="77777777" w:rsidR="00763FDD" w:rsidRPr="00763FDD" w:rsidRDefault="00763FDD" w:rsidP="00763FDD">
      <w:pPr>
        <w:spacing w:after="120"/>
        <w:rPr>
          <w:rFonts w:cs="Arial"/>
          <w:b/>
        </w:rPr>
      </w:pPr>
      <w:r w:rsidRPr="00763FDD">
        <w:rPr>
          <w:rFonts w:cs="Arial"/>
          <w:b/>
        </w:rPr>
        <w:t>General RySG Information</w:t>
      </w:r>
    </w:p>
    <w:p w14:paraId="3F4FA33F" w14:textId="77777777" w:rsidR="00763FDD" w:rsidRPr="00763FDD" w:rsidRDefault="00763FDD" w:rsidP="00763FDD">
      <w:pPr>
        <w:spacing w:after="120"/>
        <w:rPr>
          <w:rFonts w:cs="Arial"/>
          <w:b/>
        </w:rPr>
      </w:pPr>
    </w:p>
    <w:p w14:paraId="6D368851" w14:textId="77777777" w:rsidR="00763FDD" w:rsidRPr="00763FDD" w:rsidRDefault="00763FDD" w:rsidP="00763FDD">
      <w:pPr>
        <w:numPr>
          <w:ilvl w:val="2"/>
          <w:numId w:val="6"/>
        </w:numPr>
        <w:spacing w:after="120" w:line="240" w:lineRule="auto"/>
        <w:ind w:left="720"/>
        <w:rPr>
          <w:rFonts w:cs="Arial"/>
        </w:rPr>
      </w:pPr>
      <w:r w:rsidRPr="00763FDD">
        <w:rPr>
          <w:rFonts w:cs="Arial"/>
        </w:rPr>
        <w:t>Total # of eligible RySG Members</w:t>
      </w:r>
      <w:r w:rsidRPr="00763FDD">
        <w:rPr>
          <w:rStyle w:val="FootnoteReference"/>
          <w:rFonts w:cs="Arial"/>
        </w:rPr>
        <w:footnoteReference w:id="1"/>
      </w:r>
      <w:r w:rsidRPr="00763FDD">
        <w:rPr>
          <w:rFonts w:cs="Arial"/>
        </w:rPr>
        <w:t>:  14</w:t>
      </w:r>
    </w:p>
    <w:p w14:paraId="601882DC" w14:textId="77777777" w:rsidR="00763FDD" w:rsidRPr="00763FDD" w:rsidRDefault="00763FDD" w:rsidP="00763FDD">
      <w:pPr>
        <w:numPr>
          <w:ilvl w:val="2"/>
          <w:numId w:val="6"/>
        </w:numPr>
        <w:spacing w:after="120" w:line="240" w:lineRule="auto"/>
        <w:ind w:left="720"/>
        <w:rPr>
          <w:rFonts w:cs="Arial"/>
        </w:rPr>
      </w:pPr>
      <w:r w:rsidRPr="00763FDD">
        <w:rPr>
          <w:rFonts w:cs="Arial"/>
        </w:rPr>
        <w:t>Total # of RySG Members:  14</w:t>
      </w:r>
      <w:r w:rsidRPr="00763FDD">
        <w:rPr>
          <w:rFonts w:cs="Arial"/>
        </w:rPr>
        <w:tab/>
      </w:r>
    </w:p>
    <w:p w14:paraId="27612071" w14:textId="77777777" w:rsidR="00763FDD" w:rsidRPr="00763FDD" w:rsidRDefault="00763FDD" w:rsidP="00763FDD">
      <w:pPr>
        <w:numPr>
          <w:ilvl w:val="2"/>
          <w:numId w:val="6"/>
        </w:numPr>
        <w:spacing w:after="120" w:line="240" w:lineRule="auto"/>
        <w:ind w:left="720"/>
        <w:rPr>
          <w:rFonts w:cs="Arial"/>
        </w:rPr>
      </w:pPr>
      <w:r w:rsidRPr="00763FDD">
        <w:rPr>
          <w:rFonts w:cs="Arial"/>
        </w:rPr>
        <w:lastRenderedPageBreak/>
        <w:t>Total # of Active RySG Members</w:t>
      </w:r>
      <w:r w:rsidRPr="00763FDD">
        <w:rPr>
          <w:rStyle w:val="FootnoteReference"/>
          <w:rFonts w:cs="Arial"/>
        </w:rPr>
        <w:footnoteReference w:id="2"/>
      </w:r>
      <w:r w:rsidRPr="00763FDD">
        <w:rPr>
          <w:rFonts w:cs="Arial"/>
        </w:rPr>
        <w:t>:  14</w:t>
      </w:r>
    </w:p>
    <w:p w14:paraId="542665D1" w14:textId="77777777" w:rsidR="00763FDD" w:rsidRPr="00763FDD" w:rsidRDefault="00763FDD" w:rsidP="00763FDD">
      <w:pPr>
        <w:numPr>
          <w:ilvl w:val="2"/>
          <w:numId w:val="6"/>
        </w:numPr>
        <w:spacing w:after="120" w:line="240" w:lineRule="auto"/>
        <w:ind w:left="720"/>
        <w:rPr>
          <w:rFonts w:cs="Arial"/>
        </w:rPr>
      </w:pPr>
      <w:r w:rsidRPr="00763FDD">
        <w:rPr>
          <w:rFonts w:cs="Arial"/>
        </w:rPr>
        <w:t>Minimum requirement for supermajority of Active Members:  10</w:t>
      </w:r>
    </w:p>
    <w:p w14:paraId="601CE9CD" w14:textId="77777777" w:rsidR="00763FDD" w:rsidRPr="00763FDD" w:rsidRDefault="00763FDD" w:rsidP="00763FDD">
      <w:pPr>
        <w:numPr>
          <w:ilvl w:val="2"/>
          <w:numId w:val="6"/>
        </w:numPr>
        <w:spacing w:after="120" w:line="240" w:lineRule="auto"/>
        <w:ind w:left="720"/>
        <w:rPr>
          <w:rFonts w:cs="Arial"/>
        </w:rPr>
      </w:pPr>
      <w:r w:rsidRPr="00763FDD">
        <w:rPr>
          <w:rFonts w:cs="Arial"/>
        </w:rPr>
        <w:t>Minimum requirement for majority of Active Members:  8</w:t>
      </w:r>
    </w:p>
    <w:p w14:paraId="5042465F" w14:textId="77777777" w:rsidR="00763FDD" w:rsidRPr="00763FDD" w:rsidRDefault="00763FDD" w:rsidP="00763FDD">
      <w:pPr>
        <w:numPr>
          <w:ilvl w:val="2"/>
          <w:numId w:val="6"/>
        </w:numPr>
        <w:spacing w:after="120" w:line="240" w:lineRule="auto"/>
        <w:ind w:left="720"/>
        <w:rPr>
          <w:rFonts w:cs="Arial"/>
        </w:rPr>
      </w:pPr>
      <w:r w:rsidRPr="00763FDD">
        <w:rPr>
          <w:rFonts w:cs="Arial"/>
        </w:rPr>
        <w:t># of Members that participated in this process:  14</w:t>
      </w:r>
    </w:p>
    <w:p w14:paraId="19928FBE" w14:textId="77777777" w:rsidR="00763FDD" w:rsidRPr="00763FDD" w:rsidRDefault="00763FDD" w:rsidP="00763FDD">
      <w:pPr>
        <w:numPr>
          <w:ilvl w:val="2"/>
          <w:numId w:val="6"/>
        </w:numPr>
        <w:spacing w:after="120" w:line="240" w:lineRule="auto"/>
        <w:ind w:left="720"/>
        <w:rPr>
          <w:rFonts w:cs="Arial"/>
        </w:rPr>
      </w:pPr>
      <w:r w:rsidRPr="00763FDD">
        <w:rPr>
          <w:rFonts w:cs="Arial"/>
        </w:rPr>
        <w:t>Names of Members that participated in this process:  14</w:t>
      </w:r>
    </w:p>
    <w:p w14:paraId="26A12EB6" w14:textId="77777777" w:rsidR="00763FDD" w:rsidRPr="00763FDD" w:rsidRDefault="00763FDD" w:rsidP="00763FDD">
      <w:pPr>
        <w:numPr>
          <w:ilvl w:val="0"/>
          <w:numId w:val="7"/>
        </w:numPr>
        <w:spacing w:after="0" w:line="240" w:lineRule="auto"/>
        <w:ind w:left="1080"/>
        <w:rPr>
          <w:rFonts w:cs="Arial"/>
        </w:rPr>
      </w:pPr>
      <w:r w:rsidRPr="00763FDD">
        <w:rPr>
          <w:rFonts w:cs="Arial"/>
        </w:rPr>
        <w:t>Afilias (.info, .mobi &amp; .pro)</w:t>
      </w:r>
    </w:p>
    <w:p w14:paraId="1089C8EC" w14:textId="77777777" w:rsidR="00763FDD" w:rsidRPr="00763FDD" w:rsidRDefault="00763FDD" w:rsidP="00763FDD">
      <w:pPr>
        <w:numPr>
          <w:ilvl w:val="0"/>
          <w:numId w:val="7"/>
        </w:numPr>
        <w:spacing w:after="0" w:line="240" w:lineRule="auto"/>
        <w:ind w:left="1080"/>
        <w:rPr>
          <w:rFonts w:cs="Arial"/>
        </w:rPr>
      </w:pPr>
      <w:r w:rsidRPr="00763FDD">
        <w:rPr>
          <w:rFonts w:cs="Arial"/>
        </w:rPr>
        <w:t>DotAsia Organisation (.asia)</w:t>
      </w:r>
    </w:p>
    <w:p w14:paraId="10EDC02F" w14:textId="77777777" w:rsidR="00763FDD" w:rsidRPr="00763FDD" w:rsidRDefault="00763FDD" w:rsidP="00763FDD">
      <w:pPr>
        <w:numPr>
          <w:ilvl w:val="0"/>
          <w:numId w:val="7"/>
        </w:numPr>
        <w:spacing w:after="0" w:line="240" w:lineRule="auto"/>
        <w:ind w:left="1080"/>
        <w:rPr>
          <w:rFonts w:cs="Arial"/>
        </w:rPr>
      </w:pPr>
      <w:r w:rsidRPr="00763FDD">
        <w:rPr>
          <w:rFonts w:cs="Arial"/>
        </w:rPr>
        <w:t>DotCooperation (.coop)</w:t>
      </w:r>
    </w:p>
    <w:p w14:paraId="0BF27244" w14:textId="77777777" w:rsidR="00763FDD" w:rsidRPr="00763FDD" w:rsidRDefault="00763FDD" w:rsidP="00763FDD">
      <w:pPr>
        <w:numPr>
          <w:ilvl w:val="0"/>
          <w:numId w:val="7"/>
        </w:numPr>
        <w:spacing w:after="0" w:line="240" w:lineRule="auto"/>
        <w:ind w:left="1080"/>
        <w:rPr>
          <w:rFonts w:cs="Arial"/>
        </w:rPr>
      </w:pPr>
      <w:r w:rsidRPr="00763FDD">
        <w:rPr>
          <w:rFonts w:cs="Arial"/>
        </w:rPr>
        <w:t>Employ Media (.jobs)</w:t>
      </w:r>
    </w:p>
    <w:p w14:paraId="6F164E1A" w14:textId="77777777" w:rsidR="00763FDD" w:rsidRPr="00763FDD" w:rsidRDefault="00763FDD" w:rsidP="00763FDD">
      <w:pPr>
        <w:numPr>
          <w:ilvl w:val="0"/>
          <w:numId w:val="7"/>
        </w:numPr>
        <w:spacing w:after="0" w:line="240" w:lineRule="auto"/>
        <w:ind w:left="1080"/>
        <w:rPr>
          <w:rFonts w:cs="Arial"/>
        </w:rPr>
      </w:pPr>
      <w:r w:rsidRPr="00763FDD">
        <w:rPr>
          <w:rFonts w:cs="Arial"/>
        </w:rPr>
        <w:t>Fundació puntCAT (.cat)</w:t>
      </w:r>
    </w:p>
    <w:p w14:paraId="45BF2C83" w14:textId="77777777" w:rsidR="00763FDD" w:rsidRPr="00763FDD" w:rsidRDefault="00763FDD" w:rsidP="00763FDD">
      <w:pPr>
        <w:numPr>
          <w:ilvl w:val="0"/>
          <w:numId w:val="7"/>
        </w:numPr>
        <w:spacing w:after="0" w:line="240" w:lineRule="auto"/>
        <w:ind w:left="1080"/>
        <w:rPr>
          <w:rFonts w:cs="Arial"/>
        </w:rPr>
      </w:pPr>
      <w:r w:rsidRPr="00763FDD">
        <w:rPr>
          <w:rFonts w:cs="Arial"/>
        </w:rPr>
        <w:t>ICM, Inc. (.xxx)</w:t>
      </w:r>
    </w:p>
    <w:p w14:paraId="521B7B2D" w14:textId="77777777" w:rsidR="00763FDD" w:rsidRPr="00763FDD" w:rsidRDefault="00763FDD" w:rsidP="00763FDD">
      <w:pPr>
        <w:numPr>
          <w:ilvl w:val="0"/>
          <w:numId w:val="7"/>
        </w:numPr>
        <w:spacing w:after="0" w:line="240" w:lineRule="auto"/>
        <w:ind w:left="1080"/>
        <w:rPr>
          <w:rFonts w:cs="Arial"/>
        </w:rPr>
      </w:pPr>
      <w:r w:rsidRPr="00763FDD">
        <w:rPr>
          <w:rFonts w:cs="Arial"/>
        </w:rPr>
        <w:t>Museum Domain Management Association – MuseDoma (.museum)</w:t>
      </w:r>
    </w:p>
    <w:p w14:paraId="0351422C" w14:textId="77777777" w:rsidR="00763FDD" w:rsidRPr="00763FDD" w:rsidRDefault="00763FDD" w:rsidP="00763FDD">
      <w:pPr>
        <w:numPr>
          <w:ilvl w:val="0"/>
          <w:numId w:val="7"/>
        </w:numPr>
        <w:spacing w:after="0" w:line="240" w:lineRule="auto"/>
        <w:ind w:left="1080"/>
        <w:rPr>
          <w:rFonts w:cs="Arial"/>
        </w:rPr>
      </w:pPr>
      <w:r w:rsidRPr="00763FDD">
        <w:rPr>
          <w:rFonts w:cs="Arial"/>
        </w:rPr>
        <w:t>NeuStar (.biz)</w:t>
      </w:r>
    </w:p>
    <w:p w14:paraId="5F6436C6" w14:textId="77777777" w:rsidR="00763FDD" w:rsidRPr="00763FDD" w:rsidRDefault="00763FDD" w:rsidP="00763FDD">
      <w:pPr>
        <w:numPr>
          <w:ilvl w:val="0"/>
          <w:numId w:val="7"/>
        </w:numPr>
        <w:spacing w:after="0" w:line="240" w:lineRule="auto"/>
        <w:ind w:left="1080"/>
        <w:rPr>
          <w:rFonts w:cs="Arial"/>
        </w:rPr>
      </w:pPr>
      <w:r w:rsidRPr="00763FDD">
        <w:rPr>
          <w:rFonts w:cs="Arial"/>
        </w:rPr>
        <w:t>Public Interest Registry - PIR (.org)</w:t>
      </w:r>
    </w:p>
    <w:p w14:paraId="22962AE4" w14:textId="77777777" w:rsidR="00763FDD" w:rsidRPr="00763FDD" w:rsidRDefault="00763FDD" w:rsidP="00763FDD">
      <w:pPr>
        <w:numPr>
          <w:ilvl w:val="0"/>
          <w:numId w:val="7"/>
        </w:numPr>
        <w:spacing w:after="0" w:line="240" w:lineRule="auto"/>
        <w:ind w:left="1080"/>
        <w:rPr>
          <w:rFonts w:cs="Arial"/>
        </w:rPr>
      </w:pPr>
      <w:r w:rsidRPr="00763FDD">
        <w:rPr>
          <w:rFonts w:cs="Arial"/>
        </w:rPr>
        <w:t>Societe Internationale de Telecommunication Aeronautiques – SITA (.aero)</w:t>
      </w:r>
    </w:p>
    <w:p w14:paraId="75F838F4" w14:textId="77777777" w:rsidR="00763FDD" w:rsidRPr="00763FDD" w:rsidRDefault="00763FDD" w:rsidP="00763FDD">
      <w:pPr>
        <w:numPr>
          <w:ilvl w:val="0"/>
          <w:numId w:val="7"/>
        </w:numPr>
        <w:spacing w:after="0" w:line="240" w:lineRule="auto"/>
        <w:ind w:left="1080"/>
        <w:rPr>
          <w:rFonts w:cs="Arial"/>
        </w:rPr>
      </w:pPr>
      <w:r w:rsidRPr="00763FDD">
        <w:rPr>
          <w:rFonts w:cs="Arial"/>
        </w:rPr>
        <w:t>Telnic (.tel)</w:t>
      </w:r>
    </w:p>
    <w:p w14:paraId="4EADD776" w14:textId="77777777" w:rsidR="00763FDD" w:rsidRDefault="00763FDD" w:rsidP="00763FDD">
      <w:pPr>
        <w:numPr>
          <w:ilvl w:val="0"/>
          <w:numId w:val="7"/>
        </w:numPr>
        <w:spacing w:after="0" w:line="240" w:lineRule="auto"/>
        <w:ind w:left="1080"/>
        <w:rPr>
          <w:rFonts w:cs="Arial"/>
        </w:rPr>
      </w:pPr>
      <w:r w:rsidRPr="00763FDD">
        <w:rPr>
          <w:rFonts w:cs="Arial"/>
          <w:color w:val="000000"/>
        </w:rPr>
        <w:t>Tralliance Registry Management Company (TRMC)</w:t>
      </w:r>
      <w:r w:rsidRPr="00763FDD">
        <w:rPr>
          <w:rFonts w:cs="Arial"/>
        </w:rPr>
        <w:t xml:space="preserve"> (.travel)</w:t>
      </w:r>
    </w:p>
    <w:p w14:paraId="7E2F9637" w14:textId="77777777" w:rsidR="00F42087" w:rsidRPr="00763FDD" w:rsidRDefault="00F42087" w:rsidP="00763FDD">
      <w:pPr>
        <w:numPr>
          <w:ilvl w:val="0"/>
          <w:numId w:val="7"/>
        </w:numPr>
        <w:spacing w:after="0" w:line="240" w:lineRule="auto"/>
        <w:ind w:left="1080"/>
        <w:rPr>
          <w:rFonts w:cs="Arial"/>
        </w:rPr>
      </w:pPr>
      <w:r>
        <w:rPr>
          <w:rFonts w:cs="Arial"/>
        </w:rPr>
        <w:t>Universal Postal Union (.post)</w:t>
      </w:r>
    </w:p>
    <w:p w14:paraId="02A2BFB5" w14:textId="77777777" w:rsidR="00763FDD" w:rsidRPr="00763FDD" w:rsidRDefault="00763FDD" w:rsidP="00763FDD">
      <w:pPr>
        <w:numPr>
          <w:ilvl w:val="0"/>
          <w:numId w:val="7"/>
        </w:numPr>
        <w:spacing w:after="0" w:line="240" w:lineRule="auto"/>
        <w:ind w:left="1080"/>
        <w:rPr>
          <w:rFonts w:cs="Arial"/>
        </w:rPr>
      </w:pPr>
      <w:r w:rsidRPr="00763FDD">
        <w:rPr>
          <w:rFonts w:cs="Arial"/>
        </w:rPr>
        <w:t>VeriSign (.com, .name, &amp; .net)</w:t>
      </w:r>
      <w:r w:rsidRPr="00763FDD">
        <w:rPr>
          <w:rFonts w:cs="Arial"/>
        </w:rPr>
        <w:br/>
      </w:r>
    </w:p>
    <w:p w14:paraId="38A142D2" w14:textId="77777777" w:rsidR="00763FDD" w:rsidRPr="00763FDD" w:rsidRDefault="00763FDD" w:rsidP="00763FDD">
      <w:pPr>
        <w:numPr>
          <w:ilvl w:val="0"/>
          <w:numId w:val="6"/>
        </w:numPr>
        <w:spacing w:after="0" w:line="240" w:lineRule="auto"/>
        <w:rPr>
          <w:rFonts w:cs="Arial"/>
        </w:rPr>
      </w:pPr>
      <w:r w:rsidRPr="00763FDD">
        <w:rPr>
          <w:rFonts w:cs="Arial"/>
        </w:rPr>
        <w:t>Names &amp; email addresses for points of contact</w:t>
      </w:r>
    </w:p>
    <w:p w14:paraId="1D8D3162" w14:textId="77777777" w:rsidR="00763FDD" w:rsidRPr="00763FDD" w:rsidRDefault="00763FDD" w:rsidP="00763FDD">
      <w:pPr>
        <w:numPr>
          <w:ilvl w:val="1"/>
          <w:numId w:val="6"/>
        </w:numPr>
        <w:spacing w:after="0" w:line="240" w:lineRule="auto"/>
        <w:rPr>
          <w:rFonts w:cs="Arial"/>
        </w:rPr>
      </w:pPr>
      <w:r w:rsidRPr="00763FDD">
        <w:rPr>
          <w:rFonts w:cs="Arial"/>
        </w:rPr>
        <w:t>Chair:</w:t>
      </w:r>
      <w:r w:rsidRPr="00763FDD">
        <w:rPr>
          <w:rFonts w:cs="Arial"/>
        </w:rPr>
        <w:tab/>
        <w:t xml:space="preserve">David Maher, </w:t>
      </w:r>
      <w:hyperlink r:id="rId9" w:history="1">
        <w:r w:rsidRPr="00763FDD">
          <w:rPr>
            <w:rStyle w:val="Hyperlink"/>
            <w:rFonts w:cs="Arial"/>
          </w:rPr>
          <w:t>dmaher@pir.org</w:t>
        </w:r>
      </w:hyperlink>
    </w:p>
    <w:p w14:paraId="4CAC44D5" w14:textId="77777777" w:rsidR="00763FDD" w:rsidRPr="00763FDD" w:rsidRDefault="00763FDD" w:rsidP="00763FDD">
      <w:pPr>
        <w:numPr>
          <w:ilvl w:val="1"/>
          <w:numId w:val="6"/>
        </w:numPr>
        <w:spacing w:after="0" w:line="240" w:lineRule="auto"/>
        <w:rPr>
          <w:rFonts w:cs="Arial"/>
        </w:rPr>
      </w:pPr>
      <w:r w:rsidRPr="00763FDD">
        <w:rPr>
          <w:rFonts w:cs="Arial"/>
        </w:rPr>
        <w:t xml:space="preserve">Vice Chair:  Keith Drazek, </w:t>
      </w:r>
      <w:hyperlink r:id="rId10" w:history="1">
        <w:r w:rsidRPr="00763FDD">
          <w:rPr>
            <w:rStyle w:val="Hyperlink"/>
            <w:rFonts w:cs="Arial"/>
          </w:rPr>
          <w:t>kdrazek@verisign.com</w:t>
        </w:r>
      </w:hyperlink>
    </w:p>
    <w:p w14:paraId="07D97D1E" w14:textId="77777777" w:rsidR="00763FDD" w:rsidRPr="00763FDD" w:rsidRDefault="00763FDD" w:rsidP="00763FDD">
      <w:pPr>
        <w:numPr>
          <w:ilvl w:val="1"/>
          <w:numId w:val="6"/>
        </w:numPr>
        <w:spacing w:after="0" w:line="240" w:lineRule="auto"/>
        <w:rPr>
          <w:rFonts w:cs="Arial"/>
        </w:rPr>
      </w:pPr>
      <w:r w:rsidRPr="00763FDD">
        <w:rPr>
          <w:rFonts w:cs="Arial"/>
        </w:rPr>
        <w:t xml:space="preserve">Secretariat:  </w:t>
      </w:r>
      <w:r w:rsidRPr="00763FDD">
        <w:rPr>
          <w:rFonts w:cs="Arial"/>
          <w:color w:val="000000"/>
        </w:rPr>
        <w:t>Cherie Stubbs,</w:t>
      </w:r>
      <w:r w:rsidRPr="00763FDD">
        <w:rPr>
          <w:rFonts w:cs="Arial"/>
        </w:rPr>
        <w:t xml:space="preserve"> </w:t>
      </w:r>
      <w:hyperlink r:id="rId11" w:history="1">
        <w:r w:rsidRPr="00763FDD">
          <w:rPr>
            <w:rStyle w:val="Hyperlink"/>
            <w:rFonts w:cs="Arial"/>
          </w:rPr>
          <w:t>Cherstubbs@aol.com</w:t>
        </w:r>
      </w:hyperlink>
    </w:p>
    <w:p w14:paraId="3DA1A44B" w14:textId="77777777" w:rsidR="00763FDD" w:rsidRPr="00763FDD" w:rsidRDefault="00763FDD" w:rsidP="00763FDD">
      <w:pPr>
        <w:numPr>
          <w:ilvl w:val="1"/>
          <w:numId w:val="6"/>
        </w:numPr>
        <w:spacing w:after="0" w:line="240" w:lineRule="auto"/>
        <w:rPr>
          <w:rFonts w:cs="Arial"/>
        </w:rPr>
      </w:pPr>
      <w:r w:rsidRPr="00763FDD">
        <w:rPr>
          <w:rFonts w:cs="Arial"/>
        </w:rPr>
        <w:t xml:space="preserve">RySG representative for this statement: Chuck Gomes, </w:t>
      </w:r>
      <w:hyperlink r:id="rId12" w:history="1">
        <w:r w:rsidRPr="00763FDD">
          <w:rPr>
            <w:rStyle w:val="Hyperlink"/>
            <w:rFonts w:cs="Arial"/>
          </w:rPr>
          <w:t>cgomes@verisign.com</w:t>
        </w:r>
      </w:hyperlink>
    </w:p>
    <w:p w14:paraId="7D289427" w14:textId="77777777" w:rsidR="00763FDD" w:rsidRPr="00763FDD" w:rsidRDefault="00763FDD" w:rsidP="00763FDD">
      <w:pPr>
        <w:spacing w:after="0" w:line="240" w:lineRule="auto"/>
        <w:ind w:left="1350"/>
        <w:rPr>
          <w:rFonts w:ascii="Arial" w:hAnsi="Arial" w:cs="Arial"/>
        </w:rPr>
      </w:pPr>
    </w:p>
    <w:sectPr w:rsidR="00763FDD" w:rsidRPr="00763FDD" w:rsidSect="006369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E8700" w14:textId="77777777" w:rsidR="00F42087" w:rsidRDefault="00F42087" w:rsidP="00763FDD">
      <w:pPr>
        <w:spacing w:after="0" w:line="240" w:lineRule="auto"/>
      </w:pPr>
      <w:r>
        <w:separator/>
      </w:r>
    </w:p>
  </w:endnote>
  <w:endnote w:type="continuationSeparator" w:id="0">
    <w:p w14:paraId="03554DD2" w14:textId="77777777" w:rsidR="00F42087" w:rsidRDefault="00F42087" w:rsidP="00763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8A43E" w14:textId="77777777" w:rsidR="00F42087" w:rsidRDefault="00F42087" w:rsidP="00763FDD">
      <w:pPr>
        <w:spacing w:after="0" w:line="240" w:lineRule="auto"/>
      </w:pPr>
      <w:r>
        <w:separator/>
      </w:r>
    </w:p>
  </w:footnote>
  <w:footnote w:type="continuationSeparator" w:id="0">
    <w:p w14:paraId="278BE4FC" w14:textId="77777777" w:rsidR="00F42087" w:rsidRDefault="00F42087" w:rsidP="00763FDD">
      <w:pPr>
        <w:spacing w:after="0" w:line="240" w:lineRule="auto"/>
      </w:pPr>
      <w:r>
        <w:continuationSeparator/>
      </w:r>
    </w:p>
  </w:footnote>
  <w:footnote w:id="1">
    <w:p w14:paraId="43B35C30" w14:textId="77777777" w:rsidR="00F42087" w:rsidRDefault="00F42087" w:rsidP="00763FDD">
      <w:pPr>
        <w:pStyle w:val="FootnoteText"/>
      </w:pPr>
      <w:r w:rsidRPr="008D07A7">
        <w:rPr>
          <w:rStyle w:val="FootnoteReference"/>
        </w:rPr>
        <w:footnoteRef/>
      </w:r>
      <w:r w:rsidRPr="008D07A7">
        <w:t xml:space="preserve"> </w:t>
      </w:r>
      <w:r w:rsidRPr="00DE78E4">
        <w:t>All top-level domain sponsors or registry operators that have agreements with ICANN to provide Registry Services in support of one or more gTLDs are eligible for membership upon the “effective date” set forth in the operator’s or sponsor’s agreement (</w:t>
      </w:r>
      <w:r w:rsidRPr="00DC4FFE">
        <w:t>Ry</w:t>
      </w:r>
      <w:r>
        <w:t>SG Charter</w:t>
      </w:r>
      <w:r w:rsidRPr="00DC4FFE">
        <w:t xml:space="preserve">, Article II, </w:t>
      </w:r>
      <w:r>
        <w:t xml:space="preserve">RySG </w:t>
      </w:r>
      <w:r w:rsidRPr="00DC4FFE">
        <w:t>Membership</w:t>
      </w:r>
      <w:r>
        <w:t>, Sec. A</w:t>
      </w:r>
      <w:r w:rsidRPr="00DE78E4">
        <w:t xml:space="preserve">). The </w:t>
      </w:r>
      <w:r>
        <w:t>RySG</w:t>
      </w:r>
      <w:r w:rsidRPr="00DE78E4">
        <w:t xml:space="preserve"> </w:t>
      </w:r>
      <w:r>
        <w:t>Charter</w:t>
      </w:r>
      <w:r w:rsidRPr="00DE78E4">
        <w:t xml:space="preserve"> can be found at </w:t>
      </w:r>
      <w:r w:rsidRPr="0022531F">
        <w:rPr>
          <w:color w:val="008000"/>
        </w:rPr>
        <w:t>http://www.gtldregistries.org/sites/gtldregistries.org/files/Charter_for_RySG_6_July_2011_FINAL.pdf</w:t>
      </w:r>
    </w:p>
  </w:footnote>
  <w:footnote w:id="2">
    <w:p w14:paraId="52E46C1D" w14:textId="77777777" w:rsidR="00F42087" w:rsidRDefault="00F42087" w:rsidP="00763FDD">
      <w:pPr>
        <w:pStyle w:val="FootnoteText"/>
      </w:pPr>
      <w:r w:rsidRPr="00DE78E4">
        <w:rPr>
          <w:rStyle w:val="FootnoteReference"/>
        </w:rPr>
        <w:footnoteRef/>
      </w:r>
      <w:r w:rsidRPr="00DE78E4">
        <w:t xml:space="preserve"> </w:t>
      </w:r>
      <w:r w:rsidRPr="00274BC5">
        <w:t>Per the RySG Charter, Article II, RySG Membership, Sec.D</w:t>
      </w:r>
      <w:r>
        <w:t>:</w:t>
      </w:r>
      <w:r w:rsidRPr="00274BC5">
        <w:rPr>
          <w:color w:val="000000"/>
        </w:rPr>
        <w:t xml:space="preserve"> </w:t>
      </w:r>
      <w:r w:rsidRPr="00274BC5">
        <w:rPr>
          <w:rFonts w:eastAsia="Times New Roman"/>
          <w:color w:val="000000"/>
        </w:rPr>
        <w:t>Members shall be classified as “Active” or “Inactive”. An active member must meet eligibility requirements, must be current on dues, and must be a regular participant in RySG activities. A member shall be classified as Active unless it is classified as Inactive pursuant to the provisions of this paragraph. Members become Inactive by failing to participate in three consecutively scheduled RySG meetings or voting processes or both. An Inactive member shall continue to have membership rights and duties except being counted as present or absent in the determination of a quorum. An Inactive member immediately resumes Active status at any time by participating in a RySG meeting or by voting.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8F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DF76E02"/>
    <w:multiLevelType w:val="multilevel"/>
    <w:tmpl w:val="0409001F"/>
    <w:numStyleLink w:val="111111"/>
  </w:abstractNum>
  <w:abstractNum w:abstractNumId="2">
    <w:nsid w:val="35386896"/>
    <w:multiLevelType w:val="hybridMultilevel"/>
    <w:tmpl w:val="C8028E1C"/>
    <w:lvl w:ilvl="0" w:tplc="D668E5A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81F3BAC"/>
    <w:multiLevelType w:val="hybridMultilevel"/>
    <w:tmpl w:val="C4DEEFCC"/>
    <w:lvl w:ilvl="0" w:tplc="CCE8547E">
      <w:start w:val="1"/>
      <w:numFmt w:val="bullet"/>
      <w:lvlText w:val=""/>
      <w:lvlJc w:val="left"/>
      <w:pPr>
        <w:tabs>
          <w:tab w:val="num" w:pos="720"/>
        </w:tabs>
        <w:ind w:left="720" w:hanging="360"/>
      </w:pPr>
      <w:rPr>
        <w:rFonts w:ascii="Wingdings" w:hAnsi="Wingdings" w:hint="default"/>
      </w:rPr>
    </w:lvl>
    <w:lvl w:ilvl="1" w:tplc="B7A4B3F2">
      <w:start w:val="1"/>
      <w:numFmt w:val="bullet"/>
      <w:lvlText w:val="o"/>
      <w:lvlJc w:val="left"/>
      <w:pPr>
        <w:tabs>
          <w:tab w:val="num" w:pos="1350"/>
        </w:tabs>
        <w:ind w:left="1350" w:hanging="360"/>
      </w:pPr>
      <w:rPr>
        <w:rFonts w:ascii="Courier New" w:hAnsi="Courier New" w:hint="default"/>
      </w:rPr>
    </w:lvl>
    <w:lvl w:ilvl="2" w:tplc="DAF485D8">
      <w:start w:val="1"/>
      <w:numFmt w:val="bullet"/>
      <w:lvlText w:val=""/>
      <w:lvlJc w:val="left"/>
      <w:pPr>
        <w:tabs>
          <w:tab w:val="num" w:pos="2160"/>
        </w:tabs>
        <w:ind w:left="2160" w:hanging="360"/>
      </w:pPr>
      <w:rPr>
        <w:rFonts w:ascii="Wingdings" w:hAnsi="Wingdings" w:hint="default"/>
      </w:rPr>
    </w:lvl>
    <w:lvl w:ilvl="3" w:tplc="2174CA2A">
      <w:start w:val="1"/>
      <w:numFmt w:val="bullet"/>
      <w:lvlText w:val=""/>
      <w:lvlJc w:val="left"/>
      <w:pPr>
        <w:tabs>
          <w:tab w:val="num" w:pos="2880"/>
        </w:tabs>
        <w:ind w:left="2880" w:hanging="360"/>
      </w:pPr>
      <w:rPr>
        <w:rFonts w:ascii="Symbol" w:hAnsi="Symbol" w:hint="default"/>
      </w:rPr>
    </w:lvl>
    <w:lvl w:ilvl="4" w:tplc="3CFAB88E" w:tentative="1">
      <w:start w:val="1"/>
      <w:numFmt w:val="bullet"/>
      <w:lvlText w:val="o"/>
      <w:lvlJc w:val="left"/>
      <w:pPr>
        <w:tabs>
          <w:tab w:val="num" w:pos="3600"/>
        </w:tabs>
        <w:ind w:left="3600" w:hanging="360"/>
      </w:pPr>
      <w:rPr>
        <w:rFonts w:ascii="Courier New" w:hAnsi="Courier New" w:hint="default"/>
      </w:rPr>
    </w:lvl>
    <w:lvl w:ilvl="5" w:tplc="CBC0359A" w:tentative="1">
      <w:start w:val="1"/>
      <w:numFmt w:val="bullet"/>
      <w:lvlText w:val=""/>
      <w:lvlJc w:val="left"/>
      <w:pPr>
        <w:tabs>
          <w:tab w:val="num" w:pos="4320"/>
        </w:tabs>
        <w:ind w:left="4320" w:hanging="360"/>
      </w:pPr>
      <w:rPr>
        <w:rFonts w:ascii="Wingdings" w:hAnsi="Wingdings" w:hint="default"/>
      </w:rPr>
    </w:lvl>
    <w:lvl w:ilvl="6" w:tplc="B9DCCA4E" w:tentative="1">
      <w:start w:val="1"/>
      <w:numFmt w:val="bullet"/>
      <w:lvlText w:val=""/>
      <w:lvlJc w:val="left"/>
      <w:pPr>
        <w:tabs>
          <w:tab w:val="num" w:pos="5040"/>
        </w:tabs>
        <w:ind w:left="5040" w:hanging="360"/>
      </w:pPr>
      <w:rPr>
        <w:rFonts w:ascii="Symbol" w:hAnsi="Symbol" w:hint="default"/>
      </w:rPr>
    </w:lvl>
    <w:lvl w:ilvl="7" w:tplc="8B9A07DE" w:tentative="1">
      <w:start w:val="1"/>
      <w:numFmt w:val="bullet"/>
      <w:lvlText w:val="o"/>
      <w:lvlJc w:val="left"/>
      <w:pPr>
        <w:tabs>
          <w:tab w:val="num" w:pos="5760"/>
        </w:tabs>
        <w:ind w:left="5760" w:hanging="360"/>
      </w:pPr>
      <w:rPr>
        <w:rFonts w:ascii="Courier New" w:hAnsi="Courier New" w:hint="default"/>
      </w:rPr>
    </w:lvl>
    <w:lvl w:ilvl="8" w:tplc="1E24A486" w:tentative="1">
      <w:start w:val="1"/>
      <w:numFmt w:val="bullet"/>
      <w:lvlText w:val=""/>
      <w:lvlJc w:val="left"/>
      <w:pPr>
        <w:tabs>
          <w:tab w:val="num" w:pos="6480"/>
        </w:tabs>
        <w:ind w:left="6480" w:hanging="360"/>
      </w:pPr>
      <w:rPr>
        <w:rFonts w:ascii="Wingdings" w:hAnsi="Wingdings" w:hint="default"/>
      </w:rPr>
    </w:lvl>
  </w:abstractNum>
  <w:abstractNum w:abstractNumId="4">
    <w:nsid w:val="3E824610"/>
    <w:multiLevelType w:val="hybridMultilevel"/>
    <w:tmpl w:val="64826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23C5C"/>
    <w:multiLevelType w:val="hybridMultilevel"/>
    <w:tmpl w:val="36F47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660730"/>
    <w:multiLevelType w:val="hybridMultilevel"/>
    <w:tmpl w:val="E632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84"/>
    <w:rsid w:val="00024062"/>
    <w:rsid w:val="002B1B56"/>
    <w:rsid w:val="00315827"/>
    <w:rsid w:val="00406693"/>
    <w:rsid w:val="00462F28"/>
    <w:rsid w:val="0046450F"/>
    <w:rsid w:val="00552EC7"/>
    <w:rsid w:val="005B7F4F"/>
    <w:rsid w:val="005C2FAB"/>
    <w:rsid w:val="00607D6B"/>
    <w:rsid w:val="006369BD"/>
    <w:rsid w:val="006E116A"/>
    <w:rsid w:val="00706C65"/>
    <w:rsid w:val="00763FDD"/>
    <w:rsid w:val="008B040D"/>
    <w:rsid w:val="00953FC2"/>
    <w:rsid w:val="00972184"/>
    <w:rsid w:val="00A73204"/>
    <w:rsid w:val="00C1747C"/>
    <w:rsid w:val="00D8166A"/>
    <w:rsid w:val="00D90679"/>
    <w:rsid w:val="00E00959"/>
    <w:rsid w:val="00EA7C66"/>
    <w:rsid w:val="00F42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ED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218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B040D"/>
    <w:rPr>
      <w:color w:val="0000FF" w:themeColor="hyperlink"/>
      <w:u w:val="single"/>
    </w:rPr>
  </w:style>
  <w:style w:type="character" w:styleId="FollowedHyperlink">
    <w:name w:val="FollowedHyperlink"/>
    <w:basedOn w:val="DefaultParagraphFont"/>
    <w:uiPriority w:val="99"/>
    <w:semiHidden/>
    <w:unhideWhenUsed/>
    <w:rsid w:val="00D90679"/>
    <w:rPr>
      <w:color w:val="800080" w:themeColor="followedHyperlink"/>
      <w:u w:val="single"/>
    </w:rPr>
  </w:style>
  <w:style w:type="paragraph" w:styleId="ListParagraph">
    <w:name w:val="List Paragraph"/>
    <w:basedOn w:val="Normal"/>
    <w:qFormat/>
    <w:rsid w:val="00763FDD"/>
    <w:pPr>
      <w:ind w:left="720"/>
      <w:contextualSpacing/>
    </w:pPr>
    <w:rPr>
      <w:rFonts w:ascii="Times New Roman" w:eastAsia="Calibri" w:hAnsi="Times New Roman" w:cs="Times New Roman"/>
      <w:sz w:val="24"/>
      <w:szCs w:val="24"/>
      <w:lang w:eastAsia="ko-KR"/>
    </w:rPr>
  </w:style>
  <w:style w:type="paragraph" w:styleId="FootnoteText">
    <w:name w:val="footnote text"/>
    <w:basedOn w:val="Normal"/>
    <w:link w:val="FootnoteTextChar"/>
    <w:semiHidden/>
    <w:rsid w:val="00763FDD"/>
    <w:pPr>
      <w:spacing w:after="0" w:line="240" w:lineRule="auto"/>
    </w:pPr>
    <w:rPr>
      <w:rFonts w:ascii="Times New Roman" w:eastAsia="Batang" w:hAnsi="Times New Roman" w:cs="Times New Roman"/>
      <w:sz w:val="20"/>
      <w:szCs w:val="20"/>
      <w:lang w:eastAsia="ko-KR"/>
    </w:rPr>
  </w:style>
  <w:style w:type="character" w:customStyle="1" w:styleId="FootnoteTextChar">
    <w:name w:val="Footnote Text Char"/>
    <w:basedOn w:val="DefaultParagraphFont"/>
    <w:link w:val="FootnoteText"/>
    <w:semiHidden/>
    <w:rsid w:val="00763FDD"/>
    <w:rPr>
      <w:rFonts w:ascii="Times New Roman" w:eastAsia="Batang" w:hAnsi="Times New Roman" w:cs="Times New Roman"/>
      <w:sz w:val="20"/>
      <w:szCs w:val="20"/>
      <w:lang w:eastAsia="ko-KR"/>
    </w:rPr>
  </w:style>
  <w:style w:type="character" w:styleId="FootnoteReference">
    <w:name w:val="footnote reference"/>
    <w:semiHidden/>
    <w:rsid w:val="00763FDD"/>
    <w:rPr>
      <w:rFonts w:cs="Times New Roman"/>
      <w:vertAlign w:val="superscript"/>
    </w:rPr>
  </w:style>
  <w:style w:type="numbering" w:styleId="111111">
    <w:name w:val="Outline List 2"/>
    <w:basedOn w:val="NoList"/>
    <w:rsid w:val="00763FDD"/>
    <w:pPr>
      <w:numPr>
        <w:numId w:val="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218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B040D"/>
    <w:rPr>
      <w:color w:val="0000FF" w:themeColor="hyperlink"/>
      <w:u w:val="single"/>
    </w:rPr>
  </w:style>
  <w:style w:type="character" w:styleId="FollowedHyperlink">
    <w:name w:val="FollowedHyperlink"/>
    <w:basedOn w:val="DefaultParagraphFont"/>
    <w:uiPriority w:val="99"/>
    <w:semiHidden/>
    <w:unhideWhenUsed/>
    <w:rsid w:val="00D90679"/>
    <w:rPr>
      <w:color w:val="800080" w:themeColor="followedHyperlink"/>
      <w:u w:val="single"/>
    </w:rPr>
  </w:style>
  <w:style w:type="paragraph" w:styleId="ListParagraph">
    <w:name w:val="List Paragraph"/>
    <w:basedOn w:val="Normal"/>
    <w:qFormat/>
    <w:rsid w:val="00763FDD"/>
    <w:pPr>
      <w:ind w:left="720"/>
      <w:contextualSpacing/>
    </w:pPr>
    <w:rPr>
      <w:rFonts w:ascii="Times New Roman" w:eastAsia="Calibri" w:hAnsi="Times New Roman" w:cs="Times New Roman"/>
      <w:sz w:val="24"/>
      <w:szCs w:val="24"/>
      <w:lang w:eastAsia="ko-KR"/>
    </w:rPr>
  </w:style>
  <w:style w:type="paragraph" w:styleId="FootnoteText">
    <w:name w:val="footnote text"/>
    <w:basedOn w:val="Normal"/>
    <w:link w:val="FootnoteTextChar"/>
    <w:semiHidden/>
    <w:rsid w:val="00763FDD"/>
    <w:pPr>
      <w:spacing w:after="0" w:line="240" w:lineRule="auto"/>
    </w:pPr>
    <w:rPr>
      <w:rFonts w:ascii="Times New Roman" w:eastAsia="Batang" w:hAnsi="Times New Roman" w:cs="Times New Roman"/>
      <w:sz w:val="20"/>
      <w:szCs w:val="20"/>
      <w:lang w:eastAsia="ko-KR"/>
    </w:rPr>
  </w:style>
  <w:style w:type="character" w:customStyle="1" w:styleId="FootnoteTextChar">
    <w:name w:val="Footnote Text Char"/>
    <w:basedOn w:val="DefaultParagraphFont"/>
    <w:link w:val="FootnoteText"/>
    <w:semiHidden/>
    <w:rsid w:val="00763FDD"/>
    <w:rPr>
      <w:rFonts w:ascii="Times New Roman" w:eastAsia="Batang" w:hAnsi="Times New Roman" w:cs="Times New Roman"/>
      <w:sz w:val="20"/>
      <w:szCs w:val="20"/>
      <w:lang w:eastAsia="ko-KR"/>
    </w:rPr>
  </w:style>
  <w:style w:type="character" w:styleId="FootnoteReference">
    <w:name w:val="footnote reference"/>
    <w:semiHidden/>
    <w:rsid w:val="00763FDD"/>
    <w:rPr>
      <w:rFonts w:cs="Times New Roman"/>
      <w:vertAlign w:val="superscript"/>
    </w:rPr>
  </w:style>
  <w:style w:type="numbering" w:styleId="111111">
    <w:name w:val="Outline List 2"/>
    <w:basedOn w:val="NoList"/>
    <w:rsid w:val="00763FD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erstubbs@aol.com" TargetMode="External"/><Relationship Id="rId12" Type="http://schemas.openxmlformats.org/officeDocument/2006/relationships/hyperlink" Target="mailto:cgomes@veri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cann.org/en/news/public-comment/uoc-prelim-issue-report-25jul12-en.htm" TargetMode="External"/><Relationship Id="rId9" Type="http://schemas.openxmlformats.org/officeDocument/2006/relationships/hyperlink" Target="mailto:dmaher@pir.org" TargetMode="External"/><Relationship Id="rId10" Type="http://schemas.openxmlformats.org/officeDocument/2006/relationships/hyperlink" Target="mailto:kdrazek@veri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914</Words>
  <Characters>5212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David Maher</cp:lastModifiedBy>
  <cp:revision>3</cp:revision>
  <dcterms:created xsi:type="dcterms:W3CDTF">2012-08-15T22:34:00Z</dcterms:created>
  <dcterms:modified xsi:type="dcterms:W3CDTF">2012-08-15T22:35:00Z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1335930796</vt:i4>
  </property>
  <property fmtid="{D5CDD505-2E9C-101B-9397-08002B2CF9AE}" pid="3" name="_NewReviewCycle">
    <vt:lpwstr/>
  </property>
  <property fmtid="{D5CDD505-2E9C-101B-9397-08002B2CF9AE}" pid="4" name="_EmailSubject">
    <vt:lpwstr>Preliminary Issue Report on Uniformity of Contracts to Address Registration Abuse</vt:lpwstr>
  </property>
  <property fmtid="{D5CDD505-2E9C-101B-9397-08002B2CF9AE}" pid="5" name="_AuthorEmail">
    <vt:lpwstr>cgomes@verisign.com</vt:lpwstr>
  </property>
  <property fmtid="{D5CDD505-2E9C-101B-9397-08002B2CF9AE}" pid="6" name="_AuthorEmailDisplayName">
    <vt:lpwstr>Gomes, Chuck</vt:lpwstr>
  </property>
</Properties>
</file>